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rPr>
          <w:rFonts w:hint="eastAsia"/>
          <w:b/>
          <w:sz w:val="28"/>
          <w:szCs w:val="24"/>
          <w:lang w:val="en-GB"/>
        </w:rPr>
      </w:pPr>
      <w:r>
        <w:rPr>
          <w:rFonts w:hint="eastAsia"/>
          <w:b/>
          <w:sz w:val="28"/>
          <w:szCs w:val="24"/>
          <w:lang w:val="en-GB"/>
        </w:rPr>
        <w:t>附件一：</w:t>
      </w:r>
    </w:p>
    <w:p>
      <w:pPr>
        <w:jc w:val="center"/>
        <w:rPr>
          <w:rFonts w:hint="eastAsia"/>
          <w:b/>
          <w:sz w:val="44"/>
          <w:lang w:val="en-GB"/>
        </w:rPr>
      </w:pPr>
      <w:r>
        <w:rPr>
          <w:rFonts w:hint="eastAsia" w:eastAsia="黑体"/>
          <w:b/>
          <w:sz w:val="36"/>
          <w:szCs w:val="24"/>
          <w:lang w:val="en-GB"/>
        </w:rPr>
        <w:t>毕业论文（设计）格式要求</w:t>
      </w:r>
    </w:p>
    <w:p>
      <w:pPr>
        <w:jc w:val="center"/>
        <w:rPr>
          <w:rFonts w:hint="eastAsia"/>
          <w:bCs/>
          <w:lang w:val="en-GB"/>
        </w:rPr>
      </w:pPr>
      <w:r>
        <w:rPr>
          <w:rFonts w:hint="eastAsia"/>
          <w:bCs/>
          <w:lang w:val="en-GB"/>
        </w:rPr>
        <w:t>（2008年1月修订）</w:t>
      </w:r>
    </w:p>
    <w:p>
      <w:pPr>
        <w:spacing w:line="440" w:lineRule="exact"/>
        <w:ind w:left="556"/>
        <w:rPr>
          <w:rFonts w:hint="eastAsia" w:ascii="宋体" w:hAnsi="宋体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一、论文（设计）组成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 w:ascii="宋体" w:hAnsi="宋体"/>
          <w:lang w:val="en-GB"/>
        </w:rPr>
      </w:pPr>
      <w:r>
        <w:rPr>
          <w:rFonts w:hint="eastAsia"/>
          <w:sz w:val="28"/>
          <w:szCs w:val="24"/>
          <w:lang w:val="en-GB"/>
        </w:rPr>
        <w:t>本科毕业论文（设计）（以下简称为毕业论文）由封面、成绩评定表、内容摘要、关键词、目录、正文、注释、参考文献、附录、致谢等十部分组成。毕业论文装订按以下顺序进行：封面、成绩评定表、中文内容摘要、英文内容摘要、目录、正文、注释、参考文献、附录、致谢。（每位学生定稿论文，按统一要求装订1份）。</w:t>
      </w:r>
    </w:p>
    <w:p>
      <w:pPr>
        <w:spacing w:line="440" w:lineRule="exact"/>
        <w:ind w:left="556"/>
        <w:rPr>
          <w:rFonts w:hint="eastAsia" w:eastAsia="黑体"/>
          <w:b/>
          <w:sz w:val="32"/>
          <w:szCs w:val="24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二、排版与字体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毕业论文的文字图形一律从左至右横写横排。文字一律通栏编辑。字迹必须清楚，忌用异体字、复合字及一切不规范的简化字。除非必要，不要使用繁体字。毕业论文文字、标点必须符合出版要求。正文标题为小二号粗黑体；正文内第一级标题用三号粗黑体，居中上下空一行；第二级标题用小三号黑体，靠左空两个字符，上下空一行；第三级标题用四号黑体，靠左空两个字符，不空行；正文用小四号宋体，行距为固定值20磅；图题及图中文字原则上用五号宋体。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中文“内容摘要”标题四字用三号粗黑体，其正文用四号宋体。英文内容摘要即“Abstract</w:t>
      </w:r>
      <w:r>
        <w:rPr>
          <w:sz w:val="28"/>
          <w:szCs w:val="24"/>
          <w:lang w:val="en-GB"/>
        </w:rPr>
        <w:t>”</w:t>
      </w:r>
      <w:r>
        <w:rPr>
          <w:rFonts w:hint="eastAsia"/>
          <w:sz w:val="28"/>
          <w:szCs w:val="24"/>
          <w:lang w:val="en-GB"/>
        </w:rPr>
        <w:t>标题词用三号Times New Roman字体加粗，其正文用Times New Roman四号。中英文摘要正文均以空两格格式开始行文。中文的“关键词”和英文的“Key words”分别用黑体四号和Times New Roman四号，并加粗左对齐。正文分别用四号宋体和四号Times New Roman。中文“内容摘要”正文要求300个汉字以内。英文内容摘要（“Abstract”）正文要求300个英文词左右。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注释和参考文献标题用粗三号，居中上下空一行。中文注释和参考文献正文用五号宋体。英文注释和参考文献正文用Times New Roman五号。</w:t>
      </w:r>
    </w:p>
    <w:p>
      <w:pPr>
        <w:tabs>
          <w:tab w:val="left" w:pos="540"/>
        </w:tabs>
        <w:spacing w:line="400" w:lineRule="exact"/>
        <w:ind w:left="-2" w:leftChars="-1" w:firstLine="42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 w:ascii="宋体" w:hAnsi="宋体"/>
          <w:lang w:val="en-GB"/>
        </w:rPr>
        <w:t xml:space="preserve"> </w:t>
      </w:r>
      <w:r>
        <w:rPr>
          <w:rFonts w:hint="eastAsia"/>
          <w:sz w:val="28"/>
          <w:szCs w:val="24"/>
          <w:lang w:val="en-GB"/>
        </w:rPr>
        <w:t>毕业论文中的英文均采用Times New Roman字体，其字体号与其相应的部分（注：正文、注释等）一致。注意文中代表变量的英文字母必须用斜体，其它用正体。微分号</w:t>
      </w:r>
      <w:r>
        <w:rPr>
          <w:sz w:val="28"/>
          <w:szCs w:val="24"/>
          <w:lang w:val="en-GB"/>
        </w:rPr>
        <w:t>d</w:t>
      </w:r>
      <w:r>
        <w:rPr>
          <w:rFonts w:hint="eastAsia"/>
          <w:sz w:val="28"/>
          <w:szCs w:val="24"/>
          <w:lang w:val="en-GB"/>
        </w:rPr>
        <w:t>、圆周率π、自然底数</w:t>
      </w:r>
      <w:r>
        <w:rPr>
          <w:sz w:val="28"/>
          <w:szCs w:val="24"/>
          <w:lang w:val="en-GB"/>
        </w:rPr>
        <w:t>e</w:t>
      </w:r>
      <w:r>
        <w:rPr>
          <w:rFonts w:hint="eastAsia"/>
          <w:sz w:val="28"/>
          <w:szCs w:val="24"/>
          <w:lang w:val="en-GB"/>
        </w:rPr>
        <w:t>、矩阵转置</w:t>
      </w:r>
      <w:r>
        <w:rPr>
          <w:sz w:val="28"/>
          <w:szCs w:val="24"/>
          <w:lang w:val="en-GB"/>
        </w:rPr>
        <w:t>T</w:t>
      </w:r>
      <w:r>
        <w:rPr>
          <w:rFonts w:hint="eastAsia"/>
          <w:sz w:val="28"/>
          <w:szCs w:val="24"/>
          <w:lang w:val="en-GB"/>
        </w:rPr>
        <w:t>均应为正体。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 w:ascii="宋体" w:hAnsi="宋体"/>
        </w:rPr>
      </w:pPr>
      <w:r>
        <w:rPr>
          <w:rFonts w:hint="eastAsia"/>
          <w:sz w:val="28"/>
          <w:szCs w:val="24"/>
          <w:lang w:val="en-GB"/>
        </w:rPr>
        <w:t>毕业论文格式的电子版为</w:t>
      </w:r>
      <w:r>
        <w:rPr>
          <w:sz w:val="28"/>
          <w:szCs w:val="24"/>
          <w:lang w:val="en-GB"/>
        </w:rPr>
        <w:t>Word</w:t>
      </w:r>
      <w:r>
        <w:rPr>
          <w:rFonts w:hint="eastAsia"/>
          <w:sz w:val="28"/>
          <w:szCs w:val="24"/>
          <w:lang w:val="en-GB"/>
        </w:rPr>
        <w:t>文件。</w:t>
      </w:r>
    </w:p>
    <w:p>
      <w:pPr>
        <w:spacing w:line="440" w:lineRule="exact"/>
        <w:ind w:left="556"/>
        <w:rPr>
          <w:rFonts w:hint="eastAsia" w:eastAsia="黑体"/>
          <w:b/>
          <w:sz w:val="32"/>
          <w:szCs w:val="24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三、打印用纸要求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 w:ascii="宋体" w:hAnsi="宋体"/>
        </w:rPr>
      </w:pPr>
      <w:r>
        <w:rPr>
          <w:rFonts w:hint="eastAsia"/>
          <w:sz w:val="28"/>
          <w:szCs w:val="24"/>
          <w:lang w:val="en-GB"/>
        </w:rPr>
        <w:t xml:space="preserve">毕业论文采用国际标准A4型（210mm </w:t>
      </w:r>
      <w:r>
        <w:rPr>
          <w:sz w:val="28"/>
          <w:szCs w:val="24"/>
          <w:lang w:val="en-GB"/>
        </w:rPr>
        <w:t>╳</w:t>
      </w:r>
      <w:r>
        <w:rPr>
          <w:rFonts w:hint="eastAsia"/>
          <w:sz w:val="28"/>
          <w:szCs w:val="24"/>
          <w:lang w:val="en-GB"/>
        </w:rPr>
        <w:t xml:space="preserve">  297mm）打印纸或复印纸印制。</w:t>
      </w:r>
    </w:p>
    <w:p>
      <w:pPr>
        <w:spacing w:line="440" w:lineRule="exact"/>
        <w:ind w:left="556"/>
        <w:rPr>
          <w:rFonts w:hint="eastAsia" w:eastAsia="黑体"/>
          <w:b/>
          <w:sz w:val="32"/>
          <w:szCs w:val="24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四、页面设置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毕业论文要求纵向打印，页边距的要求为：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上（T）：2.54cm；下（B）：2.54cm；左（L）：3cm；右（R）：2.2cm</w:t>
      </w:r>
    </w:p>
    <w:p>
      <w:pPr>
        <w:spacing w:line="440" w:lineRule="exact"/>
        <w:ind w:left="556"/>
        <w:rPr>
          <w:rFonts w:hint="eastAsia" w:ascii="宋体" w:hAnsi="宋体"/>
          <w:b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五、封面格式与装订要求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毕业论文封面须注明：论文题目、院（系）、专业、学号、学生姓名、指导教师、提交日期。封面格式推荐用纸要求详见封面格式参见</w:t>
      </w:r>
      <w:r>
        <w:rPr>
          <w:rFonts w:hint="eastAsia"/>
          <w:b/>
          <w:bCs/>
          <w:sz w:val="28"/>
          <w:szCs w:val="24"/>
          <w:lang w:val="en-GB"/>
        </w:rPr>
        <w:t>“附件</w:t>
      </w:r>
      <w:r>
        <w:rPr>
          <w:rFonts w:hint="eastAsia"/>
          <w:b/>
          <w:bCs/>
          <w:sz w:val="28"/>
          <w:szCs w:val="24"/>
          <w:lang w:val="en-US" w:eastAsia="zh-CN"/>
        </w:rPr>
        <w:t>1-9</w:t>
      </w:r>
      <w:r>
        <w:rPr>
          <w:rFonts w:hint="eastAsia"/>
          <w:b/>
          <w:bCs/>
          <w:sz w:val="28"/>
          <w:szCs w:val="24"/>
          <w:lang w:val="en-GB"/>
        </w:rPr>
        <w:t>”。</w:t>
      </w:r>
      <w:r>
        <w:rPr>
          <w:rFonts w:hint="eastAsia"/>
          <w:sz w:val="28"/>
          <w:szCs w:val="24"/>
          <w:lang w:val="en-GB"/>
        </w:rPr>
        <w:t>毕业论文的封面和封底用纸采用</w:t>
      </w:r>
      <w:r>
        <w:rPr>
          <w:rFonts w:hint="eastAsia"/>
          <w:b/>
          <w:bCs/>
          <w:sz w:val="28"/>
          <w:szCs w:val="24"/>
          <w:lang w:val="en-GB"/>
        </w:rPr>
        <w:t>特殊A3规格180g</w:t>
      </w:r>
      <w:r>
        <w:rPr>
          <w:b/>
          <w:bCs/>
          <w:sz w:val="28"/>
          <w:szCs w:val="24"/>
          <w:lang w:val="en-GB"/>
        </w:rPr>
        <w:t>/</w:t>
      </w:r>
      <w:r>
        <w:rPr>
          <w:b/>
        </w:rPr>
        <w:t>m</w:t>
      </w:r>
      <w:r>
        <w:rPr>
          <w:b/>
          <w:vertAlign w:val="superscript"/>
        </w:rPr>
        <w:t>2</w:t>
      </w:r>
      <w:r>
        <w:rPr>
          <w:rFonts w:hint="eastAsia"/>
          <w:b/>
          <w:bCs/>
          <w:sz w:val="28"/>
          <w:szCs w:val="24"/>
          <w:lang w:val="en-GB"/>
        </w:rPr>
        <w:t>米黄色皮纹纸</w:t>
      </w:r>
      <w:r>
        <w:rPr>
          <w:rFonts w:hint="eastAsia"/>
          <w:sz w:val="28"/>
          <w:szCs w:val="24"/>
          <w:lang w:val="en-GB"/>
        </w:rPr>
        <w:t>对折形成。成绩评定为“优秀”的毕业论文装订内页不得用金属材料包括订书钉，以便符合档案管理要求。毕业论文装订建议采用热压方法。</w:t>
      </w:r>
    </w:p>
    <w:p>
      <w:pPr>
        <w:spacing w:line="440" w:lineRule="exact"/>
        <w:ind w:left="556"/>
        <w:rPr>
          <w:rFonts w:hint="eastAsia" w:eastAsia="黑体"/>
          <w:b/>
          <w:sz w:val="32"/>
          <w:szCs w:val="24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六、页眉、页脚和页码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页眉靠左的部分为：广东财经大学；靠右的部分为论文的题目。字体采用黑体小五号。页眉从正文开始至附录结束。</w:t>
      </w:r>
    </w:p>
    <w:p>
      <w:pPr>
        <w:tabs>
          <w:tab w:val="left" w:pos="540"/>
        </w:tabs>
        <w:spacing w:line="400" w:lineRule="exact"/>
        <w:ind w:left="-2" w:leftChars="-1" w:firstLine="560" w:firstLineChars="200"/>
        <w:jc w:val="left"/>
        <w:rPr>
          <w:rFonts w:hint="eastAsia" w:ascii="宋体" w:hAnsi="宋体"/>
          <w:lang w:val="en-GB"/>
        </w:rPr>
      </w:pPr>
      <w:r>
        <w:rPr>
          <w:rFonts w:hint="eastAsia"/>
          <w:sz w:val="28"/>
          <w:szCs w:val="24"/>
          <w:lang w:val="en-GB"/>
        </w:rPr>
        <w:t>页脚需要设置页码。页码采用五号黑体，加粗居中放置，格式为：</w:t>
      </w:r>
      <w:r>
        <w:rPr>
          <w:rFonts w:hint="eastAsia" w:ascii="黑体" w:eastAsia="黑体"/>
          <w:b/>
          <w:bCs/>
          <w:sz w:val="18"/>
          <w:szCs w:val="24"/>
          <w:lang w:val="en-GB"/>
        </w:rPr>
        <w:t>第1页</w:t>
      </w:r>
      <w:r>
        <w:rPr>
          <w:rFonts w:hint="eastAsia"/>
          <w:sz w:val="28"/>
          <w:szCs w:val="24"/>
          <w:lang w:val="en-GB"/>
        </w:rPr>
        <w:t>。页码从正文（含注释、参考文献和附录）页开始标注。</w:t>
      </w:r>
    </w:p>
    <w:p>
      <w:pPr>
        <w:spacing w:line="400" w:lineRule="exact"/>
        <w:ind w:firstLine="643" w:firstLineChars="200"/>
        <w:rPr>
          <w:rFonts w:hint="eastAsia" w:ascii="宋体" w:hAnsi="宋体"/>
          <w:b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七、内容摘要格式</w:t>
      </w:r>
    </w:p>
    <w:p>
      <w:pPr>
        <w:spacing w:line="400" w:lineRule="exact"/>
        <w:ind w:firstLine="560" w:firstLineChars="200"/>
        <w:rPr>
          <w:rFonts w:hint="eastAsia" w:ascii="宋体" w:hAnsi="宋体"/>
          <w:lang w:val="en-GB"/>
        </w:rPr>
      </w:pPr>
      <w:r>
        <w:rPr>
          <w:rFonts w:hint="eastAsia"/>
          <w:sz w:val="28"/>
          <w:szCs w:val="24"/>
          <w:lang w:val="en-GB"/>
        </w:rPr>
        <w:t>内容摘要格式参见</w:t>
      </w:r>
      <w:r>
        <w:rPr>
          <w:rFonts w:hint="eastAsia"/>
          <w:b/>
          <w:bCs/>
          <w:sz w:val="28"/>
          <w:szCs w:val="24"/>
          <w:lang w:val="en-GB"/>
        </w:rPr>
        <w:t>“附</w:t>
      </w:r>
      <w:r>
        <w:rPr>
          <w:rFonts w:hint="eastAsia"/>
          <w:b/>
          <w:bCs/>
          <w:sz w:val="28"/>
          <w:szCs w:val="24"/>
          <w:lang w:val="en-GB" w:eastAsia="zh-CN"/>
        </w:rPr>
        <w:t>件</w:t>
      </w:r>
      <w:r>
        <w:rPr>
          <w:rFonts w:hint="eastAsia"/>
          <w:b/>
          <w:bCs/>
          <w:sz w:val="28"/>
          <w:szCs w:val="24"/>
          <w:lang w:val="en-US" w:eastAsia="zh-CN"/>
        </w:rPr>
        <w:t>1-9</w:t>
      </w:r>
      <w:r>
        <w:rPr>
          <w:rFonts w:hint="eastAsia"/>
          <w:b/>
          <w:bCs/>
          <w:sz w:val="28"/>
          <w:szCs w:val="24"/>
          <w:lang w:val="en-GB"/>
        </w:rPr>
        <w:t>”</w:t>
      </w:r>
      <w:r>
        <w:rPr>
          <w:rFonts w:hint="eastAsia" w:ascii="宋体" w:hAnsi="宋体"/>
          <w:lang w:val="en-GB"/>
        </w:rPr>
        <w:t>。</w:t>
      </w:r>
      <w:bookmarkStart w:id="0" w:name="_GoBack"/>
      <w:bookmarkEnd w:id="0"/>
    </w:p>
    <w:p>
      <w:pPr>
        <w:spacing w:line="400" w:lineRule="exact"/>
        <w:ind w:firstLine="643" w:firstLineChars="200"/>
        <w:rPr>
          <w:rFonts w:hint="eastAsia" w:ascii="宋体" w:hAnsi="宋体"/>
          <w:b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八、目录格式</w:t>
      </w:r>
    </w:p>
    <w:p>
      <w:pPr>
        <w:spacing w:line="400" w:lineRule="exact"/>
        <w:ind w:firstLine="560" w:firstLineChars="200"/>
        <w:rPr>
          <w:rFonts w:hint="eastAsia"/>
          <w:b/>
          <w:bCs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目录格式要求参见</w:t>
      </w:r>
      <w:r>
        <w:rPr>
          <w:rFonts w:hint="eastAsia"/>
          <w:b/>
          <w:bCs/>
          <w:sz w:val="28"/>
          <w:szCs w:val="24"/>
          <w:lang w:val="en-GB"/>
        </w:rPr>
        <w:t>“附</w:t>
      </w:r>
      <w:r>
        <w:rPr>
          <w:rFonts w:hint="eastAsia"/>
          <w:b/>
          <w:bCs/>
          <w:sz w:val="28"/>
          <w:szCs w:val="24"/>
          <w:lang w:val="en-GB" w:eastAsia="zh-CN"/>
        </w:rPr>
        <w:t>件</w:t>
      </w:r>
      <w:r>
        <w:rPr>
          <w:rFonts w:hint="eastAsia"/>
          <w:b/>
          <w:bCs/>
          <w:sz w:val="28"/>
          <w:szCs w:val="24"/>
          <w:lang w:val="en-US" w:eastAsia="zh-CN"/>
        </w:rPr>
        <w:t>1-9</w:t>
      </w:r>
      <w:r>
        <w:rPr>
          <w:rFonts w:hint="eastAsia"/>
          <w:b/>
          <w:bCs/>
          <w:sz w:val="28"/>
          <w:szCs w:val="24"/>
          <w:lang w:val="en-GB"/>
        </w:rPr>
        <w:t>”。</w:t>
      </w:r>
    </w:p>
    <w:p>
      <w:pPr>
        <w:spacing w:line="400" w:lineRule="exact"/>
        <w:ind w:firstLine="643" w:firstLineChars="200"/>
        <w:rPr>
          <w:rFonts w:hint="eastAsia" w:eastAsia="黑体"/>
          <w:b/>
          <w:sz w:val="32"/>
          <w:szCs w:val="24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九、注释</w:t>
      </w:r>
    </w:p>
    <w:p>
      <w:pPr>
        <w:snapToGrid w:val="0"/>
        <w:spacing w:line="400" w:lineRule="exact"/>
        <w:ind w:firstLine="560" w:firstLineChars="200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注释采用尾注的形式，正文排版字体为五号宋体。注释要求参见</w:t>
      </w:r>
      <w:r>
        <w:rPr>
          <w:rFonts w:hint="eastAsia"/>
          <w:b/>
          <w:bCs/>
          <w:sz w:val="28"/>
          <w:szCs w:val="24"/>
          <w:lang w:val="en-GB"/>
        </w:rPr>
        <w:t>“附件</w:t>
      </w:r>
      <w:r>
        <w:rPr>
          <w:rFonts w:hint="eastAsia"/>
          <w:b/>
          <w:bCs/>
          <w:sz w:val="28"/>
          <w:szCs w:val="24"/>
          <w:lang w:val="en-US" w:eastAsia="zh-CN"/>
        </w:rPr>
        <w:t>1-9</w:t>
      </w:r>
      <w:r>
        <w:rPr>
          <w:rFonts w:hint="eastAsia"/>
          <w:b/>
          <w:bCs/>
          <w:sz w:val="28"/>
          <w:szCs w:val="24"/>
          <w:lang w:val="en-GB"/>
        </w:rPr>
        <w:t>”</w:t>
      </w:r>
      <w:r>
        <w:rPr>
          <w:rFonts w:hint="eastAsia"/>
          <w:sz w:val="28"/>
          <w:szCs w:val="24"/>
          <w:lang w:val="en-GB"/>
        </w:rPr>
        <w:t>。具体规范格式要求如下。</w:t>
      </w:r>
    </w:p>
    <w:p>
      <w:pPr>
        <w:snapToGrid w:val="0"/>
        <w:spacing w:line="400" w:lineRule="exact"/>
        <w:ind w:firstLine="560" w:firstLineChars="200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注释中文部分所采用的标准和规范是中华人民共和国新闻出版署于１９９９年２月１日试行文本，即《中国学术期刊（光盘版）技术规范》（CAJ-CDＢ／Ｔ１—１９９８）。英文注释部分建议采用哈佛规则。</w:t>
      </w:r>
    </w:p>
    <w:p>
      <w:pPr>
        <w:snapToGrid w:val="0"/>
        <w:spacing w:line="400" w:lineRule="exact"/>
        <w:ind w:firstLine="560" w:firstLineChars="200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根据GB3469规定，以单字母方式标识以下各种文献类型：</w:t>
      </w:r>
    </w:p>
    <w:tbl>
      <w:tblPr>
        <w:tblStyle w:val="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720"/>
        <w:gridCol w:w="900"/>
        <w:gridCol w:w="720"/>
        <w:gridCol w:w="900"/>
        <w:gridCol w:w="900"/>
        <w:gridCol w:w="900"/>
        <w:gridCol w:w="90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参考文献类型</w:t>
            </w:r>
          </w:p>
        </w:tc>
        <w:tc>
          <w:tcPr>
            <w:tcW w:w="7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专著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论文集</w:t>
            </w:r>
          </w:p>
        </w:tc>
        <w:tc>
          <w:tcPr>
            <w:tcW w:w="7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报纸</w:t>
            </w:r>
          </w:p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文章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期刊</w:t>
            </w:r>
          </w:p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文章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学位</w:t>
            </w:r>
          </w:p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论文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报告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标准</w:t>
            </w:r>
          </w:p>
        </w:tc>
        <w:tc>
          <w:tcPr>
            <w:tcW w:w="7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文献类型标识</w:t>
            </w:r>
          </w:p>
        </w:tc>
        <w:tc>
          <w:tcPr>
            <w:tcW w:w="7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M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C</w:t>
            </w:r>
          </w:p>
        </w:tc>
        <w:tc>
          <w:tcPr>
            <w:tcW w:w="7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N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J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D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R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S</w:t>
            </w:r>
          </w:p>
        </w:tc>
        <w:tc>
          <w:tcPr>
            <w:tcW w:w="720" w:type="dxa"/>
            <w:vAlign w:val="top"/>
          </w:tcPr>
          <w:p>
            <w:pPr>
              <w:snapToGrid w:val="0"/>
              <w:spacing w:line="440" w:lineRule="exact"/>
              <w:jc w:val="center"/>
              <w:rPr>
                <w:rFonts w:hint="eastAsia"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P</w:t>
            </w:r>
          </w:p>
        </w:tc>
      </w:tr>
    </w:tbl>
    <w:p>
      <w:pPr>
        <w:snapToGrid w:val="0"/>
        <w:spacing w:line="400" w:lineRule="exact"/>
        <w:ind w:firstLine="560" w:firstLineChars="200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对于专著、论文集中的析出文献，其文献型标识建议采用单字母“A”；对于其他未说明的文献类型，建议采用单字母“Z”。</w:t>
      </w:r>
    </w:p>
    <w:p>
      <w:pPr>
        <w:snapToGrid w:val="0"/>
        <w:spacing w:line="400" w:lineRule="exact"/>
        <w:ind w:firstLine="560" w:firstLineChars="200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注释按在正文中出现的先后次序列表于文后；表上以</w:t>
      </w:r>
      <w:r>
        <w:rPr>
          <w:sz w:val="28"/>
          <w:szCs w:val="24"/>
          <w:lang w:val="en-GB"/>
        </w:rPr>
        <w:t>“</w:t>
      </w:r>
      <w:r>
        <w:rPr>
          <w:rFonts w:hint="eastAsia"/>
          <w:sz w:val="28"/>
          <w:szCs w:val="24"/>
          <w:lang w:val="en-GB"/>
        </w:rPr>
        <w:t>注释</w:t>
      </w:r>
      <w:r>
        <w:rPr>
          <w:sz w:val="28"/>
          <w:szCs w:val="24"/>
          <w:lang w:val="en-GB"/>
        </w:rPr>
        <w:t>”</w:t>
      </w:r>
      <w:r>
        <w:rPr>
          <w:rFonts w:hint="eastAsia"/>
          <w:sz w:val="28"/>
          <w:szCs w:val="24"/>
          <w:lang w:val="en-GB"/>
        </w:rPr>
        <w:t>居中作为标识; 注释的序号左顶格,并用数字加方括号表示,如[1]、[2]、</w:t>
      </w:r>
      <w:r>
        <w:rPr>
          <w:sz w:val="28"/>
          <w:szCs w:val="24"/>
          <w:lang w:val="en-GB"/>
        </w:rPr>
        <w:t>……</w:t>
      </w:r>
      <w:r>
        <w:rPr>
          <w:rFonts w:hint="eastAsia"/>
          <w:sz w:val="28"/>
          <w:szCs w:val="24"/>
          <w:lang w:val="en-GB"/>
        </w:rPr>
        <w:t>,以与正文中的指示序号格式一致。参照IS0690及IS0690-2，每一注释条目的最后均以“.</w:t>
      </w:r>
      <w:r>
        <w:rPr>
          <w:sz w:val="28"/>
          <w:szCs w:val="24"/>
          <w:lang w:val="en-GB"/>
        </w:rPr>
        <w:t>”</w:t>
      </w:r>
      <w:r>
        <w:rPr>
          <w:rFonts w:hint="eastAsia"/>
          <w:sz w:val="28"/>
          <w:szCs w:val="24"/>
          <w:lang w:val="en-GB"/>
        </w:rPr>
        <w:t>结束。</w:t>
      </w:r>
    </w:p>
    <w:p>
      <w:pPr>
        <w:snapToGrid w:val="0"/>
        <w:spacing w:line="400" w:lineRule="exact"/>
        <w:ind w:firstLine="560" w:firstLineChars="200"/>
        <w:rPr>
          <w:rFonts w:hint="eastAsia"/>
          <w:lang w:val="en-GB"/>
        </w:rPr>
      </w:pPr>
      <w:r>
        <w:rPr>
          <w:rFonts w:hint="eastAsia"/>
          <w:sz w:val="28"/>
          <w:szCs w:val="24"/>
          <w:lang w:val="en-GB"/>
        </w:rPr>
        <w:t>各种注释条目的编排格式及示例如下：</w:t>
      </w:r>
    </w:p>
    <w:p>
      <w:pPr>
        <w:pStyle w:val="3"/>
        <w:snapToGrid w:val="0"/>
        <w:spacing w:line="440" w:lineRule="exact"/>
        <w:ind w:left="629" w:hanging="62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/>
          <w:b w:val="0"/>
          <w:sz w:val="28"/>
          <w:szCs w:val="24"/>
          <w:lang w:val="en-GB"/>
        </w:rPr>
        <w:t xml:space="preserve">    </w:t>
      </w:r>
      <w:r>
        <w:rPr>
          <w:rFonts w:hint="eastAsia" w:ascii="黑体" w:hAnsi="宋体" w:eastAsia="黑体"/>
          <w:color w:val="000000"/>
          <w:sz w:val="30"/>
        </w:rPr>
        <w:t>（一）专著、论文集、学位论文、报告</w:t>
      </w:r>
    </w:p>
    <w:p>
      <w:pPr>
        <w:pStyle w:val="3"/>
        <w:snapToGrid w:val="0"/>
        <w:spacing w:line="400" w:lineRule="exact"/>
        <w:ind w:left="1402" w:leftChars="266" w:hanging="843" w:hangingChars="300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宋体" w:hAnsi="宋体"/>
          <w:color w:val="000000"/>
          <w:sz w:val="28"/>
        </w:rPr>
        <w:t>规则</w:t>
      </w:r>
      <w:r>
        <w:rPr>
          <w:rFonts w:hint="eastAsia" w:ascii="宋体" w:hAnsi="宋体"/>
          <w:color w:val="000000"/>
          <w:sz w:val="21"/>
        </w:rPr>
        <w:t>：</w:t>
      </w:r>
      <w:r>
        <w:rPr>
          <w:rFonts w:hint="eastAsia"/>
          <w:b w:val="0"/>
          <w:sz w:val="28"/>
          <w:szCs w:val="24"/>
          <w:lang w:val="en-GB"/>
        </w:rPr>
        <w:t xml:space="preserve">[序号] </w:t>
      </w:r>
      <w:r>
        <w:rPr>
          <w:rFonts w:hint="eastAsia" w:ascii="宋体" w:hAnsi="宋体"/>
          <w:b w:val="0"/>
          <w:color w:val="000000"/>
          <w:sz w:val="21"/>
        </w:rPr>
        <w:t>□</w:t>
      </w:r>
      <w:r>
        <w:rPr>
          <w:rFonts w:hint="eastAsia" w:ascii="宋体" w:hAnsi="宋体"/>
          <w:color w:val="000000"/>
          <w:sz w:val="28"/>
        </w:rPr>
        <w:t>（空一格，下同）</w:t>
      </w:r>
      <w:r>
        <w:rPr>
          <w:rFonts w:hint="eastAsia"/>
          <w:b w:val="0"/>
          <w:sz w:val="28"/>
          <w:szCs w:val="24"/>
          <w:lang w:val="en-GB"/>
        </w:rPr>
        <w:t>主要责任者.文献题名[文献类型标识].出版地:出版者,出版年.起止页码.</w:t>
      </w:r>
    </w:p>
    <w:p>
      <w:pPr>
        <w:pStyle w:val="3"/>
        <w:snapToGrid w:val="0"/>
        <w:spacing w:line="400" w:lineRule="exact"/>
        <w:ind w:firstLine="562" w:firstLineChars="200"/>
        <w:jc w:val="both"/>
        <w:rPr>
          <w:rFonts w:hint="eastAsia"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</w:rPr>
        <w:t>示例：（示例为五号宋体，下同）</w:t>
      </w:r>
    </w:p>
    <w:p>
      <w:pPr>
        <w:pStyle w:val="3"/>
        <w:snapToGrid w:val="0"/>
        <w:spacing w:line="440" w:lineRule="exact"/>
        <w:ind w:left="630" w:leftChars="200" w:hanging="210" w:hangingChars="100"/>
        <w:jc w:val="both"/>
        <w:rPr>
          <w:rFonts w:hint="eastAsia" w:ascii="宋体" w:hAnsi="宋体"/>
          <w:color w:val="000000"/>
          <w:sz w:val="28"/>
        </w:rPr>
      </w:pPr>
      <w:r>
        <w:rPr>
          <w:rFonts w:hint="eastAsia" w:ascii="宋体" w:hAnsi="宋体"/>
          <w:b w:val="0"/>
          <w:color w:val="000000"/>
          <w:sz w:val="21"/>
        </w:rPr>
        <w:t>[</w:t>
      </w:r>
      <w:r>
        <w:rPr>
          <w:rFonts w:hint="eastAsia" w:ascii="宋体" w:hAnsi="宋体"/>
          <w:b w:val="0"/>
          <w:sz w:val="21"/>
        </w:rPr>
        <w:t>1] 刘国钧,陈绍业,王凤翥.图书馆目录[M</w:t>
      </w:r>
      <w:r>
        <w:rPr>
          <w:rFonts w:ascii="宋体" w:hAnsi="宋体"/>
          <w:b w:val="0"/>
          <w:sz w:val="21"/>
        </w:rPr>
        <w:t>]</w:t>
      </w:r>
      <w:r>
        <w:rPr>
          <w:rFonts w:hint="eastAsia" w:ascii="宋体" w:hAnsi="宋体"/>
          <w:b w:val="0"/>
          <w:sz w:val="21"/>
        </w:rPr>
        <w:t>.北京:高等教育出版社,1957.15-18.</w:t>
      </w:r>
    </w:p>
    <w:p>
      <w:pPr>
        <w:pStyle w:val="3"/>
        <w:snapToGrid w:val="0"/>
        <w:spacing w:line="440" w:lineRule="exact"/>
        <w:ind w:left="842" w:leftChars="201" w:hanging="420" w:hangingChars="200"/>
        <w:jc w:val="left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[2] 辛希孟.信息技术与信息服务国际研讨会论文集:A集[C].北京:中国社会科学出版社,`1994.</w:t>
      </w:r>
    </w:p>
    <w:p>
      <w:pPr>
        <w:pStyle w:val="3"/>
        <w:snapToGrid w:val="0"/>
        <w:spacing w:line="440" w:lineRule="exact"/>
        <w:ind w:left="630" w:leftChars="200" w:hanging="210" w:hangingChars="1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[3] 张筑生.微分半动力系统的不变集[D].北京:北京大学数学系数学研究所,1993.</w:t>
      </w:r>
    </w:p>
    <w:p>
      <w:pPr>
        <w:pStyle w:val="3"/>
        <w:snapToGrid w:val="0"/>
        <w:spacing w:line="440" w:lineRule="exact"/>
        <w:ind w:left="840" w:leftChars="200" w:hanging="420" w:hangingChars="2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[4] 冯西桥.核反应堆压力管道与压力容器的LBB分析[R].北京:清华大学核能技术设计研究院,1997.</w:t>
      </w:r>
    </w:p>
    <w:p>
      <w:pPr>
        <w:pStyle w:val="3"/>
        <w:snapToGrid w:val="0"/>
        <w:spacing w:line="440" w:lineRule="exact"/>
        <w:ind w:left="628" w:leftChars="286" w:hanging="27" w:hangingChars="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（二）期刊文章</w:t>
      </w:r>
    </w:p>
    <w:p>
      <w:pPr>
        <w:pStyle w:val="3"/>
        <w:snapToGrid w:val="0"/>
        <w:spacing w:line="400" w:lineRule="exact"/>
        <w:ind w:left="1263" w:leftChars="200" w:hanging="843" w:hangingChars="300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宋体" w:hAnsi="宋体"/>
          <w:color w:val="000000"/>
          <w:sz w:val="28"/>
        </w:rPr>
        <w:t>规则</w:t>
      </w:r>
      <w:r>
        <w:rPr>
          <w:rFonts w:hint="eastAsia" w:ascii="宋体" w:hAnsi="宋体"/>
          <w:b w:val="0"/>
          <w:color w:val="000000"/>
          <w:sz w:val="21"/>
        </w:rPr>
        <w:t>：</w:t>
      </w:r>
      <w:r>
        <w:rPr>
          <w:rFonts w:hint="eastAsia"/>
          <w:b w:val="0"/>
          <w:sz w:val="28"/>
          <w:szCs w:val="24"/>
          <w:lang w:val="en-GB"/>
        </w:rPr>
        <w:t>[序号] □主要责任者.文献题名[文献类型标识].刊名,年,卷(期):起止页码</w:t>
      </w:r>
    </w:p>
    <w:p>
      <w:pPr>
        <w:pStyle w:val="3"/>
        <w:snapToGrid w:val="0"/>
        <w:spacing w:line="400" w:lineRule="exact"/>
        <w:ind w:left="701" w:leftChars="200" w:hanging="281" w:hangingChars="1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color w:val="000000"/>
          <w:sz w:val="28"/>
        </w:rPr>
        <w:t>示例</w:t>
      </w:r>
      <w:r>
        <w:rPr>
          <w:rFonts w:hint="eastAsia" w:ascii="宋体" w:hAnsi="宋体"/>
          <w:b w:val="0"/>
          <w:color w:val="000000"/>
          <w:sz w:val="21"/>
        </w:rPr>
        <w:t>：</w:t>
      </w:r>
    </w:p>
    <w:p>
      <w:pPr>
        <w:pStyle w:val="3"/>
        <w:snapToGrid w:val="0"/>
        <w:spacing w:line="440" w:lineRule="exact"/>
        <w:ind w:left="630" w:leftChars="200" w:hanging="210" w:hangingChars="1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 xml:space="preserve">[5] 何龄修.读顾城《南明史》[J].中国史研究,1998年,(3):167-173.                  </w:t>
      </w:r>
    </w:p>
    <w:p>
      <w:pPr>
        <w:pStyle w:val="3"/>
        <w:snapToGrid w:val="0"/>
        <w:spacing w:line="440" w:lineRule="exact"/>
        <w:ind w:left="418" w:leftChars="199"/>
        <w:jc w:val="left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[6] 金显贺,王昌长,王忠东等.一种用于在线检测局部放电的数字滤波技术[J].清华大学学报(自然科学版),1993,33(4):62-67.</w:t>
      </w:r>
    </w:p>
    <w:p>
      <w:pPr>
        <w:pStyle w:val="3"/>
        <w:snapToGrid w:val="0"/>
        <w:spacing w:line="400" w:lineRule="exact"/>
        <w:ind w:firstLine="602" w:firstLineChars="200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（三）论文集中的析出文献</w:t>
      </w:r>
    </w:p>
    <w:p>
      <w:pPr>
        <w:pStyle w:val="3"/>
        <w:snapToGrid w:val="0"/>
        <w:spacing w:line="400" w:lineRule="exact"/>
        <w:ind w:left="598" w:leftChars="285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规则：</w:t>
      </w:r>
      <w:r>
        <w:rPr>
          <w:rFonts w:hint="eastAsia"/>
          <w:b w:val="0"/>
          <w:sz w:val="28"/>
          <w:szCs w:val="24"/>
          <w:lang w:val="en-GB"/>
        </w:rPr>
        <w:t>[序号] □主要责任者.析出文献题名[A].原文献主要责任者(任选).原文献题名[C].出版地:出版者,出版年.析出文献起止页码.</w:t>
      </w:r>
    </w:p>
    <w:p>
      <w:pPr>
        <w:pStyle w:val="3"/>
        <w:snapToGrid w:val="0"/>
        <w:spacing w:line="400" w:lineRule="exact"/>
        <w:ind w:firstLine="602" w:firstLineChars="2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黑体" w:hAnsi="宋体" w:eastAsia="黑体"/>
          <w:color w:val="000000"/>
          <w:sz w:val="30"/>
        </w:rPr>
        <w:t>示例：</w:t>
      </w:r>
    </w:p>
    <w:p>
      <w:pPr>
        <w:pStyle w:val="3"/>
        <w:snapToGrid w:val="0"/>
        <w:spacing w:line="400" w:lineRule="exact"/>
        <w:ind w:left="840" w:leftChars="200" w:hanging="420" w:hangingChars="2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[7] 钟文发.非线性规划在可燃毒物配置中的应用[A].赵玮.运筹学的理论与应用---中国运筹学会第五届大会论文集[C].西安电子科技大学出版社,1996.486-471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（四）报纸文章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规则：</w:t>
      </w:r>
      <w:r>
        <w:rPr>
          <w:rFonts w:hint="eastAsia"/>
          <w:b w:val="0"/>
          <w:sz w:val="28"/>
          <w:szCs w:val="24"/>
          <w:lang w:val="en-GB"/>
        </w:rPr>
        <w:t>[序号] □主要责任者.文献题名[N].报纸名,出版日期(版次)</w:t>
      </w:r>
    </w:p>
    <w:p>
      <w:pPr>
        <w:pStyle w:val="3"/>
        <w:snapToGrid w:val="0"/>
        <w:spacing w:line="400" w:lineRule="exact"/>
        <w:ind w:firstLine="602" w:firstLineChars="200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示例：</w:t>
      </w:r>
    </w:p>
    <w:p>
      <w:pPr>
        <w:pStyle w:val="3"/>
        <w:snapToGrid w:val="0"/>
        <w:spacing w:line="440" w:lineRule="exact"/>
        <w:ind w:left="630" w:leftChars="200" w:hanging="210" w:hangingChars="1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[8] 谢希德.创造学习的新思路[N].人民日报,1998-12-25(10)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（五）国际、国家标准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规则</w:t>
      </w:r>
      <w:r>
        <w:rPr>
          <w:rFonts w:hint="eastAsia"/>
          <w:b w:val="0"/>
          <w:sz w:val="28"/>
          <w:szCs w:val="24"/>
          <w:lang w:val="en-GB"/>
        </w:rPr>
        <w:t>：[序号] □标准编号，标准名称[S].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示例：</w:t>
      </w:r>
    </w:p>
    <w:p>
      <w:pPr>
        <w:pStyle w:val="3"/>
        <w:snapToGrid w:val="0"/>
        <w:spacing w:line="400" w:lineRule="exact"/>
        <w:ind w:left="627" w:leftChars="200" w:hanging="207" w:hangingChars="99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[9] GB/T16159-1996，汉语拼音正词法基本规则[S]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（六）专利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规则：</w:t>
      </w:r>
      <w:r>
        <w:rPr>
          <w:rFonts w:hint="eastAsia"/>
          <w:b w:val="0"/>
          <w:sz w:val="28"/>
          <w:szCs w:val="24"/>
          <w:lang w:val="en-GB"/>
        </w:rPr>
        <w:t>[序号] □专利所有者.专利题名[P].专利国别:专利号,出版日期.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示例</w:t>
      </w:r>
      <w:r>
        <w:rPr>
          <w:rFonts w:hint="eastAsia"/>
          <w:b w:val="0"/>
          <w:sz w:val="28"/>
          <w:szCs w:val="24"/>
          <w:lang w:val="en-GB"/>
        </w:rPr>
        <w:t>：</w:t>
      </w:r>
    </w:p>
    <w:p>
      <w:pPr>
        <w:pStyle w:val="3"/>
        <w:snapToGrid w:val="0"/>
        <w:spacing w:line="400" w:lineRule="exact"/>
        <w:ind w:left="627" w:leftChars="200" w:hanging="207" w:hangingChars="99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[10] 姜锡洲.一种温热外用药制备方案[P].中国专利:881056073,1989-07-26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（七）电子文献</w:t>
      </w:r>
    </w:p>
    <w:p>
      <w:pPr>
        <w:pStyle w:val="3"/>
        <w:tabs>
          <w:tab w:val="left" w:pos="180"/>
        </w:tabs>
        <w:snapToGrid w:val="0"/>
        <w:spacing w:line="400" w:lineRule="exact"/>
        <w:ind w:firstLine="361" w:firstLineChars="120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黑体" w:hAnsi="宋体" w:eastAsia="黑体"/>
          <w:color w:val="000000"/>
          <w:sz w:val="30"/>
        </w:rPr>
        <w:t>规则：</w:t>
      </w:r>
      <w:r>
        <w:rPr>
          <w:rFonts w:hint="eastAsia"/>
          <w:b w:val="0"/>
          <w:sz w:val="28"/>
          <w:szCs w:val="24"/>
          <w:lang w:val="en-GB"/>
        </w:rPr>
        <w:t>[序号] □主要责任者.文献题名.电子文献出处或可获得地址,发表或更新日期/引用日期.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示例：</w:t>
      </w:r>
    </w:p>
    <w:p>
      <w:pPr>
        <w:pStyle w:val="3"/>
        <w:snapToGrid w:val="0"/>
        <w:spacing w:line="400" w:lineRule="exact"/>
        <w:ind w:left="627" w:leftChars="200" w:hanging="207" w:hangingChars="99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[11] 王明亮.关于中国学术期刊标准化数据库系统工程的进展</w:t>
      </w:r>
    </w:p>
    <w:p>
      <w:pPr>
        <w:pStyle w:val="3"/>
        <w:snapToGrid w:val="0"/>
        <w:spacing w:line="400" w:lineRule="exact"/>
        <w:ind w:left="628" w:leftChars="299" w:firstLine="420" w:firstLineChars="200"/>
        <w:jc w:val="both"/>
        <w:rPr>
          <w:rFonts w:ascii="宋体" w:hAnsi="宋体"/>
          <w:b w:val="0"/>
          <w:color w:val="000000"/>
          <w:sz w:val="21"/>
        </w:rPr>
      </w:pPr>
      <w:r>
        <w:rPr>
          <w:rFonts w:ascii="宋体" w:hAnsi="宋体"/>
          <w:b w:val="0"/>
          <w:color w:val="000000"/>
          <w:sz w:val="21"/>
        </w:rPr>
        <w:t>http://www.cajcd.cn/pub/wml.txt/980810-2.html,1998-08-16/1998-10-04.</w:t>
      </w:r>
    </w:p>
    <w:p>
      <w:pPr>
        <w:pStyle w:val="3"/>
        <w:snapToGrid w:val="0"/>
        <w:spacing w:line="400" w:lineRule="exact"/>
        <w:ind w:left="698" w:leftChars="200" w:hanging="278" w:hangingChars="99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b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635" cy="247650"/>
                <wp:effectExtent l="48895" t="0" r="6477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7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pt;margin-top:5.6pt;height:19.5pt;width:0.05pt;z-index:251658240;mso-width-relative:page;mso-height-relative:page;" filled="f" stroked="t" coordsize="21600,21600" o:gfxdata="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20tGNUAAAAJAQAADwAA&#10;AAAAAAABACAAAAAiAAAAZHJzL2Rvd25yZXYueG1sUEsBAhQAFAAAAAgAh07iQBSXzyvgAQAAlwMA&#10;AA4AAAAAAAAAAQAgAAAAJAEAAGRycy9lMm9Eb2MueG1sUEsFBgAAAAAGAAYAWQEAAHYF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sz w:val="28"/>
          <w:szCs w:val="24"/>
          <w:lang w:val="en-GB"/>
        </w:rPr>
        <w:t xml:space="preserve">          </w:t>
      </w:r>
      <w:r>
        <w:rPr>
          <w:rFonts w:hint="eastAsia" w:ascii="宋体" w:hAnsi="宋体"/>
          <w:b w:val="0"/>
          <w:color w:val="000000"/>
          <w:sz w:val="21"/>
        </w:rPr>
        <w:t xml:space="preserve">        </w:t>
      </w:r>
    </w:p>
    <w:p>
      <w:pPr>
        <w:pStyle w:val="3"/>
        <w:snapToGrid w:val="0"/>
        <w:spacing w:line="440" w:lineRule="exact"/>
        <w:ind w:left="630" w:leftChars="300" w:firstLine="1160" w:firstLineChars="550"/>
        <w:jc w:val="both"/>
        <w:rPr>
          <w:rFonts w:hint="eastAsia"/>
          <w:b w:val="0"/>
          <w:sz w:val="28"/>
          <w:szCs w:val="24"/>
          <w:lang w:val="en-GB"/>
        </w:rPr>
      </w:pPr>
      <w:r>
        <w:rPr>
          <w:rFonts w:hint="eastAsia" w:ascii="宋体" w:hAnsi="宋体"/>
          <w:i/>
          <w:sz w:val="21"/>
          <w:u w:val="single"/>
        </w:rPr>
        <w:t xml:space="preserve">网址 </w:t>
      </w:r>
      <w:r>
        <w:rPr>
          <w:i/>
          <w:sz w:val="21"/>
          <w:u w:val="single"/>
        </w:rPr>
        <w:t xml:space="preserve">Times New Roman  五号  </w:t>
      </w:r>
      <w:r>
        <w:rPr>
          <w:rFonts w:hint="eastAsia" w:ascii="宋体" w:hAnsi="宋体"/>
          <w:i/>
          <w:sz w:val="21"/>
          <w:u w:val="single"/>
        </w:rPr>
        <w:t xml:space="preserve"> </w:t>
      </w:r>
      <w:r>
        <w:rPr>
          <w:rFonts w:hint="eastAsia" w:ascii="宋体" w:hAnsi="宋体"/>
          <w:b w:val="0"/>
          <w:color w:val="000000"/>
          <w:sz w:val="21"/>
        </w:rPr>
        <w:t xml:space="preserve"> </w:t>
      </w:r>
    </w:p>
    <w:p>
      <w:pPr>
        <w:pStyle w:val="3"/>
        <w:snapToGrid w:val="0"/>
        <w:spacing w:line="400" w:lineRule="exact"/>
        <w:ind w:left="718" w:leftChars="200" w:hanging="298" w:hangingChars="99"/>
        <w:jc w:val="both"/>
        <w:rPr>
          <w:rFonts w:hint="eastAsia" w:ascii="黑体" w:hAnsi="宋体" w:eastAsia="黑体"/>
          <w:color w:val="000000"/>
          <w:sz w:val="30"/>
        </w:rPr>
      </w:pPr>
      <w:r>
        <w:rPr>
          <w:rFonts w:hint="eastAsia" w:ascii="黑体" w:hAnsi="宋体" w:eastAsia="黑体"/>
          <w:color w:val="000000"/>
          <w:sz w:val="30"/>
        </w:rPr>
        <w:t>（八）英文注释</w:t>
      </w:r>
    </w:p>
    <w:p>
      <w:pPr>
        <w:spacing w:line="440" w:lineRule="exact"/>
        <w:ind w:firstLine="554" w:firstLineChars="198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英文注释方法建议采用哈佛规则（Harvard System）。以下示例仅限于期刊、报纸和书等三种标注注释的规则。</w:t>
      </w:r>
    </w:p>
    <w:p>
      <w:pPr>
        <w:spacing w:line="440" w:lineRule="exact"/>
        <w:ind w:left="555"/>
        <w:jc w:val="left"/>
        <w:rPr>
          <w:rFonts w:hint="eastAsia"/>
          <w:b/>
          <w:bCs/>
          <w:sz w:val="28"/>
          <w:szCs w:val="24"/>
          <w:lang w:val="en-GB"/>
        </w:rPr>
      </w:pPr>
      <w:r>
        <w:rPr>
          <w:rFonts w:hint="eastAsia"/>
          <w:b/>
          <w:bCs/>
          <w:sz w:val="28"/>
          <w:szCs w:val="24"/>
          <w:lang w:val="en-GB"/>
        </w:rPr>
        <w:t>1．期刊或报纸</w:t>
      </w:r>
    </w:p>
    <w:p>
      <w:pPr>
        <w:spacing w:line="440" w:lineRule="exact"/>
        <w:ind w:left="1458" w:leftChars="264" w:hanging="904" w:hangingChars="300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 w:ascii="黑体" w:hAnsi="宋体" w:eastAsia="黑体"/>
          <w:b/>
          <w:color w:val="000000"/>
          <w:sz w:val="30"/>
        </w:rPr>
        <w:t>规则</w:t>
      </w:r>
      <w:r>
        <w:rPr>
          <w:rFonts w:hint="eastAsia"/>
          <w:sz w:val="28"/>
          <w:szCs w:val="24"/>
          <w:lang w:val="en-GB"/>
        </w:rPr>
        <w:t xml:space="preserve">：[序号] □主要责任者（注：姓氏在前，名在后只注其名的第一个字母大写），出版时间（注：以年为单位）, </w:t>
      </w:r>
      <w:r>
        <w:rPr>
          <w:sz w:val="28"/>
          <w:szCs w:val="24"/>
          <w:lang w:val="en-GB"/>
        </w:rPr>
        <w:t>“</w:t>
      </w:r>
      <w:r>
        <w:rPr>
          <w:rFonts w:hint="eastAsia"/>
          <w:sz w:val="28"/>
          <w:szCs w:val="24"/>
          <w:lang w:val="en-GB"/>
        </w:rPr>
        <w:t>文献题名</w:t>
      </w:r>
      <w:r>
        <w:rPr>
          <w:sz w:val="28"/>
          <w:szCs w:val="24"/>
          <w:lang w:val="en-GB"/>
        </w:rPr>
        <w:t>”</w:t>
      </w:r>
      <w:r>
        <w:rPr>
          <w:rFonts w:hint="eastAsia"/>
          <w:sz w:val="28"/>
          <w:szCs w:val="24"/>
          <w:lang w:val="en-GB"/>
        </w:rPr>
        <w:t>,刊名（注：或报纸，斜体）, 期（或出版日期），起止页码。</w:t>
      </w:r>
    </w:p>
    <w:p>
      <w:pPr>
        <w:spacing w:line="440" w:lineRule="exact"/>
        <w:ind w:left="555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 w:ascii="黑体" w:hAnsi="宋体" w:eastAsia="黑体"/>
          <w:b/>
          <w:color w:val="000000"/>
          <w:sz w:val="30"/>
        </w:rPr>
        <w:t>示例:</w:t>
      </w:r>
      <w:r>
        <w:rPr>
          <w:rFonts w:hint="eastAsia"/>
          <w:sz w:val="28"/>
          <w:szCs w:val="24"/>
          <w:lang w:val="en-GB"/>
        </w:rPr>
        <w:t xml:space="preserve"> </w:t>
      </w:r>
    </w:p>
    <w:p>
      <w:pPr>
        <w:pStyle w:val="3"/>
        <w:snapToGrid w:val="0"/>
        <w:spacing w:line="400" w:lineRule="exact"/>
        <w:ind w:left="837" w:leftChars="200" w:hanging="417" w:hangingChars="199"/>
        <w:jc w:val="both"/>
        <w:rPr>
          <w:rFonts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[12]</w:t>
      </w:r>
      <w:r>
        <w:rPr>
          <w:rFonts w:ascii="宋体" w:hAnsi="宋体"/>
          <w:b w:val="0"/>
          <w:color w:val="000000"/>
          <w:sz w:val="21"/>
        </w:rPr>
        <w:t>Dattner F, 1999, “Formidable, Reflective Capacity”, Management</w:t>
      </w:r>
      <w:r>
        <w:rPr>
          <w:rFonts w:hint="eastAsia" w:ascii="宋体" w:hAnsi="宋体"/>
          <w:b w:val="0"/>
          <w:color w:val="000000"/>
          <w:sz w:val="21"/>
        </w:rPr>
        <w:t xml:space="preserve"> </w:t>
      </w:r>
      <w:r>
        <w:rPr>
          <w:rFonts w:ascii="宋体" w:hAnsi="宋体"/>
          <w:b w:val="0"/>
          <w:color w:val="000000"/>
          <w:sz w:val="21"/>
        </w:rPr>
        <w:t xml:space="preserve">Today, </w:t>
      </w:r>
      <w:r>
        <w:rPr>
          <w:rFonts w:hint="eastAsia" w:ascii="宋体" w:hAnsi="宋体"/>
          <w:b w:val="0"/>
          <w:color w:val="000000"/>
          <w:sz w:val="21"/>
        </w:rPr>
        <w:t xml:space="preserve"> </w:t>
      </w:r>
      <w:r>
        <w:rPr>
          <w:rFonts w:ascii="宋体" w:hAnsi="宋体"/>
          <w:b w:val="0"/>
          <w:color w:val="000000"/>
          <w:sz w:val="21"/>
        </w:rPr>
        <w:t>September, p</w:t>
      </w:r>
      <w:r>
        <w:rPr>
          <w:rFonts w:hint="eastAsia" w:ascii="宋体" w:hAnsi="宋体"/>
          <w:b w:val="0"/>
          <w:color w:val="000000"/>
          <w:sz w:val="21"/>
        </w:rPr>
        <w:t>p</w:t>
      </w:r>
      <w:r>
        <w:rPr>
          <w:rFonts w:ascii="宋体" w:hAnsi="宋体"/>
          <w:b w:val="0"/>
          <w:color w:val="000000"/>
          <w:sz w:val="21"/>
        </w:rPr>
        <w:t>.12.</w:t>
      </w:r>
    </w:p>
    <w:p>
      <w:pPr>
        <w:pStyle w:val="3"/>
        <w:snapToGrid w:val="0"/>
        <w:spacing w:line="400" w:lineRule="exact"/>
        <w:ind w:left="837" w:leftChars="200" w:hanging="417" w:hangingChars="199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[13]</w:t>
      </w:r>
      <w:r>
        <w:rPr>
          <w:rFonts w:ascii="宋体" w:hAnsi="宋体"/>
          <w:b w:val="0"/>
          <w:color w:val="000000"/>
          <w:sz w:val="21"/>
        </w:rPr>
        <w:t>Cameron M, 2000, "Firms pay high price for e-mail overload",</w:t>
      </w:r>
      <w:r>
        <w:rPr>
          <w:rFonts w:hint="eastAsia" w:ascii="宋体" w:hAnsi="宋体"/>
          <w:b w:val="0"/>
          <w:color w:val="000000"/>
          <w:sz w:val="21"/>
        </w:rPr>
        <w:t xml:space="preserve"> </w:t>
      </w:r>
      <w:r>
        <w:rPr>
          <w:rFonts w:ascii="宋体" w:hAnsi="宋体"/>
          <w:b w:val="0"/>
          <w:color w:val="000000"/>
          <w:sz w:val="21"/>
        </w:rPr>
        <w:t>The Courier Mail, 15 January, p</w:t>
      </w:r>
      <w:r>
        <w:rPr>
          <w:rFonts w:hint="eastAsia" w:ascii="宋体" w:hAnsi="宋体"/>
          <w:b w:val="0"/>
          <w:color w:val="000000"/>
          <w:sz w:val="21"/>
        </w:rPr>
        <w:t>p</w:t>
      </w:r>
      <w:r>
        <w:rPr>
          <w:rFonts w:ascii="宋体" w:hAnsi="宋体"/>
          <w:b w:val="0"/>
          <w:color w:val="000000"/>
          <w:sz w:val="21"/>
        </w:rPr>
        <w:t>.17.</w:t>
      </w:r>
    </w:p>
    <w:p>
      <w:pPr>
        <w:spacing w:line="440" w:lineRule="exact"/>
        <w:ind w:left="555"/>
        <w:jc w:val="left"/>
        <w:rPr>
          <w:rFonts w:hint="eastAsia"/>
          <w:b/>
          <w:bCs/>
          <w:sz w:val="28"/>
          <w:szCs w:val="24"/>
          <w:lang w:val="en-GB"/>
        </w:rPr>
      </w:pPr>
      <w:r>
        <w:rPr>
          <w:rFonts w:hint="eastAsia"/>
          <w:b/>
          <w:bCs/>
          <w:sz w:val="28"/>
          <w:szCs w:val="24"/>
          <w:lang w:val="en-GB"/>
        </w:rPr>
        <w:t>2．著作</w:t>
      </w:r>
    </w:p>
    <w:p>
      <w:pPr>
        <w:spacing w:line="440" w:lineRule="exact"/>
        <w:ind w:left="1458" w:leftChars="258" w:hanging="916" w:hangingChars="304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 w:ascii="黑体" w:hAnsi="宋体" w:eastAsia="黑体"/>
          <w:b/>
          <w:color w:val="000000"/>
          <w:sz w:val="30"/>
        </w:rPr>
        <w:t>规则：</w:t>
      </w:r>
      <w:r>
        <w:rPr>
          <w:rFonts w:hint="eastAsia"/>
          <w:sz w:val="28"/>
          <w:szCs w:val="24"/>
          <w:lang w:val="en-GB"/>
        </w:rPr>
        <w:t>[序号] □主要责任者（注：姓氏在前，名在后只注其名的第一个字母大写），出版时间（注：以年为单位）, 文献题名（版次）（注：斜体）,出版者，出版地，起止页码。</w:t>
      </w:r>
    </w:p>
    <w:p>
      <w:pPr>
        <w:spacing w:line="440" w:lineRule="exact"/>
        <w:ind w:left="555"/>
        <w:jc w:val="left"/>
        <w:rPr>
          <w:rFonts w:hint="eastAsia"/>
          <w:sz w:val="28"/>
          <w:szCs w:val="24"/>
          <w:lang w:val="en-GB"/>
        </w:rPr>
      </w:pPr>
      <w:r>
        <w:rPr>
          <w:rFonts w:hint="eastAsia" w:ascii="黑体" w:hAnsi="宋体" w:eastAsia="黑体"/>
          <w:b/>
          <w:color w:val="000000"/>
          <w:sz w:val="30"/>
        </w:rPr>
        <w:t>示例:</w:t>
      </w:r>
    </w:p>
    <w:p>
      <w:pPr>
        <w:spacing w:line="440" w:lineRule="exact"/>
        <w:ind w:left="1170" w:leftChars="257" w:hanging="630" w:hangingChars="300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[14] </w:t>
      </w:r>
      <w:r>
        <w:rPr>
          <w:rFonts w:ascii="宋体" w:hAnsi="宋体"/>
          <w:color w:val="000000"/>
        </w:rPr>
        <w:t>Dwyer J, 1999, Communication in Business – Strategies and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>Techniques</w:t>
      </w:r>
      <w:r>
        <w:rPr>
          <w:rFonts w:hint="eastAsia" w:ascii="宋体" w:hAnsi="宋体"/>
          <w:color w:val="000000"/>
          <w:lang w:val="en-GB"/>
        </w:rPr>
        <w:t>（</w:t>
      </w:r>
      <w:r>
        <w:rPr>
          <w:rFonts w:hint="eastAsia" w:ascii="宋体" w:hAnsi="宋体"/>
          <w:color w:val="000000"/>
        </w:rPr>
        <w:t>3rd edn.</w:t>
      </w:r>
      <w:r>
        <w:rPr>
          <w:rFonts w:hint="eastAsia" w:ascii="宋体" w:hAnsi="宋体"/>
          <w:color w:val="000000"/>
          <w:lang w:val="en-GB"/>
        </w:rPr>
        <w:t>）</w:t>
      </w:r>
      <w:r>
        <w:rPr>
          <w:rFonts w:hint="eastAsia" w:ascii="宋体" w:hAnsi="宋体"/>
          <w:color w:val="000000"/>
        </w:rPr>
        <w:t xml:space="preserve">, </w:t>
      </w:r>
      <w:r>
        <w:rPr>
          <w:rFonts w:ascii="宋体" w:hAnsi="宋体"/>
          <w:color w:val="000000"/>
        </w:rPr>
        <w:t>Prentice Hall, Sydney, pp.45</w:t>
      </w:r>
    </w:p>
    <w:p>
      <w:pPr>
        <w:spacing w:line="400" w:lineRule="exact"/>
        <w:ind w:firstLine="643" w:firstLineChars="200"/>
        <w:rPr>
          <w:rFonts w:hint="eastAsia" w:eastAsia="黑体"/>
          <w:b/>
          <w:sz w:val="32"/>
          <w:szCs w:val="24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十、参考文献</w:t>
      </w:r>
    </w:p>
    <w:p>
      <w:pPr>
        <w:spacing w:line="440" w:lineRule="exact"/>
        <w:ind w:firstLine="554" w:firstLineChars="198"/>
        <w:jc w:val="left"/>
        <w:rPr>
          <w:rFonts w:hint="eastAsia"/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文后参考文献是在学术研究过程中,对某一著作或论文的整体的参考或借鉴</w:t>
      </w:r>
      <w:r>
        <w:rPr>
          <w:rFonts w:hint="eastAsia"/>
          <w:sz w:val="28"/>
          <w:szCs w:val="24"/>
          <w:lang w:val="en-GB"/>
        </w:rPr>
        <w:t>。</w:t>
      </w:r>
    </w:p>
    <w:p>
      <w:pPr>
        <w:spacing w:line="440" w:lineRule="exact"/>
        <w:ind w:firstLine="554" w:firstLineChars="198"/>
        <w:jc w:val="left"/>
        <w:rPr>
          <w:rFonts w:hint="eastAsia"/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(</w:t>
      </w:r>
      <w:r>
        <w:rPr>
          <w:rFonts w:hint="eastAsia"/>
          <w:sz w:val="28"/>
          <w:szCs w:val="24"/>
          <w:lang w:val="en-GB"/>
        </w:rPr>
        <w:t>一</w:t>
      </w:r>
      <w:r>
        <w:rPr>
          <w:sz w:val="28"/>
          <w:szCs w:val="24"/>
          <w:lang w:val="en-GB"/>
        </w:rPr>
        <w:t>)</w:t>
      </w:r>
      <w:r>
        <w:rPr>
          <w:sz w:val="28"/>
          <w:szCs w:val="24"/>
          <w:highlight w:val="none"/>
          <w:shd w:val="clear" w:color="auto" w:fill="auto"/>
          <w:lang w:val="en-GB"/>
        </w:rPr>
        <w:t>文后参考文献不编序号</w:t>
      </w:r>
      <w:r>
        <w:rPr>
          <w:sz w:val="28"/>
          <w:szCs w:val="24"/>
          <w:highlight w:val="none"/>
          <w:lang w:val="en-GB"/>
        </w:rPr>
        <w:t>,</w:t>
      </w:r>
      <w:r>
        <w:rPr>
          <w:sz w:val="28"/>
          <w:szCs w:val="24"/>
          <w:lang w:val="en-GB"/>
        </w:rPr>
        <w:t>仅在文末按其重要程度或参考的先后顺序排列</w:t>
      </w:r>
      <w:r>
        <w:rPr>
          <w:rFonts w:hint="eastAsia"/>
          <w:sz w:val="28"/>
          <w:szCs w:val="24"/>
          <w:lang w:val="en-GB"/>
        </w:rPr>
        <w:t>。</w:t>
      </w:r>
    </w:p>
    <w:p>
      <w:pPr>
        <w:spacing w:line="440" w:lineRule="exact"/>
        <w:ind w:left="555"/>
        <w:jc w:val="left"/>
        <w:rPr>
          <w:rFonts w:hint="eastAsia"/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(</w:t>
      </w:r>
      <w:r>
        <w:rPr>
          <w:rFonts w:hint="eastAsia"/>
          <w:sz w:val="28"/>
          <w:szCs w:val="24"/>
          <w:lang w:val="en-GB" w:eastAsia="zh-CN"/>
        </w:rPr>
        <w:t>二</w:t>
      </w:r>
      <w:r>
        <w:rPr>
          <w:sz w:val="28"/>
          <w:szCs w:val="24"/>
          <w:lang w:val="en-GB"/>
        </w:rPr>
        <w:t>)文后参考文献的著录项目及次序与注释基本相同</w:t>
      </w:r>
      <w:r>
        <w:rPr>
          <w:rFonts w:hint="eastAsia"/>
          <w:sz w:val="28"/>
          <w:szCs w:val="24"/>
          <w:lang w:val="en-GB"/>
        </w:rPr>
        <w:t>。</w:t>
      </w:r>
      <w:r>
        <w:rPr>
          <w:sz w:val="28"/>
          <w:szCs w:val="24"/>
          <w:lang w:val="en-GB"/>
        </w:rPr>
        <w:t>如:</w:t>
      </w:r>
    </w:p>
    <w:p>
      <w:pPr>
        <w:spacing w:line="440" w:lineRule="exact"/>
        <w:ind w:left="555"/>
        <w:jc w:val="left"/>
        <w:rPr>
          <w:sz w:val="28"/>
          <w:szCs w:val="24"/>
          <w:lang w:val="en-GB"/>
        </w:rPr>
      </w:pPr>
      <w:r>
        <w:rPr>
          <w:rFonts w:hint="eastAsia"/>
          <w:sz w:val="28"/>
          <w:szCs w:val="24"/>
          <w:lang w:val="en-GB"/>
        </w:rPr>
        <w:t>(</w:t>
      </w:r>
      <w:r>
        <w:rPr>
          <w:rFonts w:hint="eastAsia"/>
          <w:sz w:val="28"/>
          <w:szCs w:val="24"/>
          <w:lang w:val="en-GB" w:eastAsia="zh-CN"/>
        </w:rPr>
        <w:t>三</w:t>
      </w:r>
      <w:r>
        <w:rPr>
          <w:rFonts w:hint="eastAsia"/>
          <w:sz w:val="28"/>
          <w:szCs w:val="24"/>
          <w:lang w:val="en-GB"/>
        </w:rPr>
        <w:t>)除以上三点要求外，其它仍按注释格式要求处理。示例如下：</w:t>
      </w:r>
    </w:p>
    <w:p>
      <w:pPr>
        <w:pStyle w:val="3"/>
        <w:snapToGrid w:val="0"/>
        <w:spacing w:line="400" w:lineRule="exact"/>
        <w:ind w:firstLine="420" w:firstLineChars="200"/>
        <w:jc w:val="both"/>
        <w:rPr>
          <w:rFonts w:hint="eastAsia" w:ascii="宋体" w:hAnsi="宋体"/>
          <w:b w:val="0"/>
          <w:color w:val="000000"/>
          <w:sz w:val="21"/>
        </w:rPr>
      </w:pPr>
      <w:r>
        <w:rPr>
          <w:rFonts w:hint="eastAsia" w:ascii="宋体" w:hAnsi="宋体"/>
          <w:b w:val="0"/>
          <w:color w:val="000000"/>
          <w:sz w:val="21"/>
        </w:rPr>
        <w:t>黄鹤，李仕明，兰永.论制度变迁的实质[J].经济社会体制改革，2001，(4).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黄卫华.制度变迁研究的层次[N].天津商学院学报，2003，(2).</w:t>
      </w:r>
    </w:p>
    <w:p>
      <w:pPr>
        <w:spacing w:line="400" w:lineRule="exact"/>
        <w:ind w:firstLine="643" w:firstLineChars="200"/>
        <w:rPr>
          <w:rFonts w:hint="eastAsia" w:eastAsia="黑体"/>
          <w:b/>
          <w:sz w:val="32"/>
          <w:szCs w:val="24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十一、附录</w:t>
      </w:r>
    </w:p>
    <w:p>
      <w:pPr>
        <w:pStyle w:val="2"/>
        <w:rPr>
          <w:rFonts w:hint="eastAsia"/>
        </w:rPr>
      </w:pPr>
      <w:r>
        <w:rPr>
          <w:rFonts w:hint="eastAsia"/>
        </w:rPr>
        <w:t>附录在这里是指附在正文后面与正文有关的参考资料，包括调查问卷表、小组访谈的提纲、实验数据等资料。“附录”两字采用黑体三号加粗。其相关资料以附录形式出现，如附录一、附录二等。附录的正文建议用小四号宋体。附录的页码接续参考文献的页码。</w:t>
      </w:r>
    </w:p>
    <w:p>
      <w:pPr>
        <w:pStyle w:val="2"/>
        <w:ind w:firstLine="634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32"/>
        </w:rPr>
        <w:t>十二、致谢</w:t>
      </w:r>
    </w:p>
    <w:p>
      <w:pPr>
        <w:pStyle w:val="2"/>
        <w:rPr>
          <w:rFonts w:hint="eastAsia"/>
        </w:rPr>
      </w:pPr>
      <w:r>
        <w:rPr>
          <w:rFonts w:hint="eastAsia"/>
        </w:rPr>
        <w:t>致谢主要是简述毕业论文（设计）作者完成本论文（设计）的体会，并对指导教师以及协助完成论文（设计）的有关人员表示谢意。“致谢”两字采用黑体三号加粗。致谢的正文建议用小四号宋体。致谢不编页码。</w:t>
      </w:r>
    </w:p>
    <w:p>
      <w:pPr>
        <w:spacing w:line="400" w:lineRule="exact"/>
        <w:ind w:firstLine="643" w:firstLineChars="200"/>
        <w:rPr>
          <w:rFonts w:hint="eastAsia" w:ascii="宋体" w:hAnsi="宋体"/>
          <w:b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十三、档案号</w:t>
      </w:r>
    </w:p>
    <w:p>
      <w:pPr>
        <w:spacing w:line="440" w:lineRule="exact"/>
        <w:ind w:firstLine="557" w:firstLineChars="264"/>
        <w:rPr>
          <w:rFonts w:hint="eastAsia" w:ascii="宋体" w:hAnsi="宋体"/>
          <w:lang w:val="en-GB"/>
        </w:rPr>
      </w:pPr>
      <w:r>
        <w:rPr>
          <w:rFonts w:hint="eastAsia" w:ascii="宋体" w:hAnsi="宋体"/>
          <w:b/>
          <w:lang w:val="en-GB"/>
        </w:rPr>
        <w:t xml:space="preserve"> </w:t>
      </w:r>
      <w:r>
        <w:rPr>
          <w:rFonts w:hint="eastAsia"/>
          <w:sz w:val="28"/>
          <w:szCs w:val="24"/>
          <w:lang w:val="en-GB"/>
        </w:rPr>
        <w:t>毕业论文封面格式右上角的档案号图形，如下图所示。此图内的空白处为学校档案室根据档案管理要求填写，学生不必再填写内容。档案号图示中的“2006”为可变更的毕业届数，学生采用时可根据学生毕业时的年份进行修订。如，某学生毕业时间为2007年，则该数应修订为“2007”。</w:t>
      </w:r>
    </w:p>
    <w:tbl>
      <w:tblPr>
        <w:tblStyle w:val="5"/>
        <w:tblW w:w="40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624"/>
        <w:gridCol w:w="22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174" w:type="dxa"/>
            <w:vMerge w:val="restart"/>
            <w:vAlign w:val="center"/>
          </w:tcPr>
          <w:p>
            <w:pPr>
              <w:framePr w:hSpace="180" w:wrap="around" w:vAnchor="text" w:hAnchor="page" w:x="1921" w:y="375"/>
              <w:spacing w:line="440" w:lineRule="exact"/>
              <w:jc w:val="right"/>
            </w:pPr>
            <w:r>
              <w:rPr>
                <w:rFonts w:hint="eastAsia"/>
                <w:b/>
                <w:sz w:val="30"/>
              </w:rPr>
              <w:t>广东财经大学</w:t>
            </w:r>
          </w:p>
        </w:tc>
        <w:tc>
          <w:tcPr>
            <w:tcW w:w="624" w:type="dxa"/>
            <w:vMerge w:val="restart"/>
            <w:vAlign w:val="center"/>
          </w:tcPr>
          <w:p>
            <w:pPr>
              <w:framePr w:hSpace="180" w:wrap="around" w:vAnchor="text" w:hAnchor="page" w:x="1921" w:y="375"/>
              <w:spacing w:line="440" w:lineRule="exact"/>
              <w:jc w:val="center"/>
              <w:rPr>
                <w:rFonts w:hint="eastAsia"/>
                <w:b/>
                <w:sz w:val="30"/>
              </w:rPr>
            </w:pPr>
          </w:p>
        </w:tc>
        <w:tc>
          <w:tcPr>
            <w:tcW w:w="2270" w:type="dxa"/>
            <w:vAlign w:val="center"/>
          </w:tcPr>
          <w:p>
            <w:pPr>
              <w:framePr w:hSpace="180" w:wrap="around" w:vAnchor="text" w:hAnchor="page" w:x="1921" w:y="375"/>
              <w:spacing w:line="440" w:lineRule="exact"/>
              <w:rPr>
                <w:rFonts w:hint="eastAsia"/>
                <w:b/>
                <w:sz w:val="30"/>
              </w:rPr>
            </w:pPr>
            <w:r>
              <w:rPr>
                <w:b/>
                <w:sz w:val="30"/>
              </w:rPr>
              <w:t>200</w:t>
            </w:r>
            <w:r>
              <w:rPr>
                <w:rFonts w:hint="eastAsia"/>
                <w:b/>
                <w:sz w:val="30"/>
              </w:rPr>
              <w:t>6-JX16-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174" w:type="dxa"/>
            <w:vMerge w:val="continue"/>
            <w:vAlign w:val="center"/>
          </w:tcPr>
          <w:p>
            <w:pPr>
              <w:framePr w:hSpace="180" w:wrap="around" w:vAnchor="text" w:hAnchor="page" w:x="1921" w:y="375"/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624" w:type="dxa"/>
            <w:vMerge w:val="continue"/>
            <w:vAlign w:val="center"/>
          </w:tcPr>
          <w:p>
            <w:pPr>
              <w:framePr w:hSpace="180" w:wrap="around" w:vAnchor="text" w:hAnchor="page" w:x="1921" w:y="375"/>
              <w:spacing w:line="400" w:lineRule="exact"/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2270" w:type="dxa"/>
            <w:vAlign w:val="center"/>
          </w:tcPr>
          <w:p>
            <w:pPr>
              <w:framePr w:hSpace="180" w:wrap="around" w:vAnchor="text" w:hAnchor="page" w:x="1921" w:y="375"/>
              <w:spacing w:line="400" w:lineRule="exact"/>
              <w:jc w:val="center"/>
              <w:rPr>
                <w:rFonts w:hint="eastAsia" w:ascii="宋体" w:hAnsi="宋体"/>
                <w:b/>
              </w:rPr>
            </w:pPr>
          </w:p>
        </w:tc>
      </w:tr>
    </w:tbl>
    <w:p>
      <w:pPr>
        <w:spacing w:line="400" w:lineRule="exact"/>
        <w:rPr>
          <w:rFonts w:hint="eastAsia" w:ascii="宋体" w:hAnsi="宋体"/>
          <w:lang w:val="en-GB"/>
        </w:rPr>
      </w:pPr>
    </w:p>
    <w:p>
      <w:pPr>
        <w:spacing w:line="400" w:lineRule="exact"/>
        <w:rPr>
          <w:rFonts w:hint="eastAsia" w:ascii="宋体" w:hAnsi="宋体"/>
          <w:lang w:val="en-GB"/>
        </w:rPr>
      </w:pPr>
    </w:p>
    <w:p>
      <w:pPr>
        <w:spacing w:line="400" w:lineRule="exact"/>
        <w:rPr>
          <w:rFonts w:hint="eastAsia" w:ascii="宋体" w:hAnsi="宋体"/>
          <w:lang w:val="en-GB"/>
        </w:rPr>
      </w:pPr>
    </w:p>
    <w:p>
      <w:pPr>
        <w:spacing w:line="400" w:lineRule="exact"/>
        <w:rPr>
          <w:rFonts w:hint="eastAsia" w:ascii="宋体" w:hAnsi="宋体"/>
          <w:b/>
          <w:lang w:val="en-GB"/>
        </w:rPr>
      </w:pPr>
      <w:r>
        <w:rPr>
          <w:rFonts w:hint="eastAsia" w:ascii="宋体" w:hAnsi="宋体"/>
          <w:b/>
          <w:lang w:val="en-GB"/>
        </w:rPr>
        <w:t xml:space="preserve">    </w:t>
      </w:r>
    </w:p>
    <w:p>
      <w:pPr>
        <w:spacing w:line="400" w:lineRule="exact"/>
        <w:ind w:firstLine="643" w:firstLineChars="200"/>
        <w:rPr>
          <w:rFonts w:hint="eastAsia" w:ascii="宋体" w:hAnsi="宋体"/>
          <w:lang w:val="en-GB"/>
        </w:rPr>
      </w:pPr>
      <w:r>
        <w:rPr>
          <w:rFonts w:hint="eastAsia" w:eastAsia="黑体"/>
          <w:b/>
          <w:sz w:val="32"/>
          <w:szCs w:val="24"/>
          <w:lang w:val="en-GB"/>
        </w:rPr>
        <w:t>十三、本规定自2005年起执行，解释权属教务处。</w:t>
      </w:r>
      <w:r>
        <w:rPr>
          <w:rFonts w:hint="eastAsia" w:ascii="宋体" w:hAnsi="宋体"/>
          <w:lang w:val="en-GB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B01E4"/>
    <w:rsid w:val="200805B6"/>
    <w:rsid w:val="6151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uiPriority w:val="0"/>
    <w:pPr>
      <w:spacing w:line="440" w:lineRule="exact"/>
      <w:ind w:firstLine="554" w:firstLineChars="198"/>
    </w:pPr>
    <w:rPr>
      <w:sz w:val="28"/>
      <w:szCs w:val="24"/>
      <w:lang w:val="en-GB"/>
    </w:rPr>
  </w:style>
  <w:style w:type="paragraph" w:styleId="3">
    <w:name w:val="Title"/>
    <w:basedOn w:val="1"/>
    <w:qFormat/>
    <w:uiPriority w:val="0"/>
    <w:pPr>
      <w:jc w:val="center"/>
    </w:pPr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2018-06-07T08:43:43Z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