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Беднара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актуальность-тем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 темы</w:t>
      </w:r>
    </w:p>
    <w:p>
      <w:pPr>
        <w:pStyle w:val="FirstParagraph"/>
      </w:pPr>
      <w:r>
        <w:t xml:space="preserve">В условиях глобализации и постоянных социальных трансформаций наблюдается рост интереса к механизмам формирования, передачи и устойчивости культурных норм. Культура — не статическая система, а динамическое множество практик и установок, которые возникают и изменяются в результате взаимодействия индивидов. Эти процессы происходят не в изоляции, а в контексте взаимодействий, где важную роль играют согласование (координация) и совместные усилия (сотрудничество).</w:t>
      </w:r>
    </w:p>
    <w:p>
      <w:pPr>
        <w:pStyle w:val="BodyText"/>
      </w:pPr>
      <w:r>
        <w:t xml:space="preserve">Изучение культуры через призму теории игр позволяет формализовать эти взаимодействия, выявить устойчивые механизмы формирования культурных паттернов, а также объяснить, почему даже в однородных группах могут возникать устойчивые различия. Модель Беднара — один из таких подходов, в котором культура рассматривается как результат взаимодействия ограниченно рациональных агентов, стремящихся к согласованному и когнитивно устойчивому поведению.</w:t>
      </w:r>
    </w:p>
    <w:bookmarkEnd w:id="20"/>
    <w:bookmarkStart w:id="21" w:name="цель-доклад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Цель доклада</w:t>
      </w:r>
    </w:p>
    <w:p>
      <w:pPr>
        <w:pStyle w:val="FirstParagraph"/>
      </w:pPr>
      <w:r>
        <w:t xml:space="preserve">Цель данного доклада — подробно рассмотреть модель Беднара как аналитическую рамку для описания культурной динамики. Особое внимание будет уделено механизму координации и сотрудничества в пространстве культурных признаков, роли ошибок и инноваций в культурной эволюции, а также практическому применению модели в различных социокультурных контекстах.</w:t>
      </w:r>
    </w:p>
    <w:bookmarkEnd w:id="21"/>
    <w:bookmarkEnd w:id="22"/>
    <w:bookmarkStart w:id="29" w:name="описание-модели-беднар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модели Беднара</w:t>
      </w:r>
    </w:p>
    <w:bookmarkStart w:id="23" w:name="общая-структур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Общая структура модели</w:t>
      </w:r>
    </w:p>
    <w:p>
      <w:pPr>
        <w:pStyle w:val="FirstParagraph"/>
      </w:pPr>
      <w:r>
        <w:t xml:space="preserve">Модель Беднара (Bednar et al., 2007) представляет собой формализованный подход к изучению культуры с использованием инструментов теории игр, агентного моделирования и когнитивной науки. В основе модели лежит идея, что культура — это результат множества микровзаимодействий между агентами, которые:</w:t>
      </w:r>
    </w:p>
    <w:p>
      <w:pPr>
        <w:numPr>
          <w:ilvl w:val="0"/>
          <w:numId w:val="1001"/>
        </w:numPr>
      </w:pPr>
      <w:r>
        <w:t xml:space="preserve">стремятся к координации с соседями (социальное давление),</w:t>
      </w:r>
    </w:p>
    <w:p>
      <w:pPr>
        <w:numPr>
          <w:ilvl w:val="0"/>
          <w:numId w:val="1001"/>
        </w:numPr>
      </w:pPr>
      <w:r>
        <w:t xml:space="preserve">сохраняют внутреннюю когнитивную целостность (внутренняя логика поведения),</w:t>
      </w:r>
    </w:p>
    <w:p>
      <w:pPr>
        <w:numPr>
          <w:ilvl w:val="0"/>
          <w:numId w:val="1001"/>
        </w:numPr>
      </w:pPr>
      <w:r>
        <w:t xml:space="preserve">подвергаются случайным или направленным изменениям (ошибки и инновации).</w:t>
      </w:r>
    </w:p>
    <w:p>
      <w:pPr>
        <w:pStyle w:val="FirstParagraph"/>
      </w:pPr>
      <w:r>
        <w:t xml:space="preserve">Каждый агент обладает набором культурных признаков (атрибутов), которые могут принимать дискретные значения (например, «традиционный»/«модернистский», «индивидуалист»/«коллективист» и т. д.). Эти признаки составляют культурное пространство, в котором происходит взаимодействие.</w:t>
      </w:r>
    </w:p>
    <w:bookmarkEnd w:id="23"/>
    <w:bookmarkStart w:id="24" w:name="координац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Координация</w:t>
      </w:r>
    </w:p>
    <w:p>
      <w:pPr>
        <w:pStyle w:val="FirstParagraph"/>
      </w:pPr>
      <w:r>
        <w:t xml:space="preserve">Координация в модели означает стремление агентов быть похожими на своих соседей. Эта часть модели опирается на классическую модель Аксельрода (Axelrod, 1997), в которой каждый агент с большей вероятностью взаимодействует с теми, кто уже похож на него. Это приводит к локальной конвергенции — внутри группы агенты приходят к соглашению по ключевым признакам. Однако на границах таких групп может возникать резкая культурная граница, если междугрупповые контакты слабы.</w:t>
      </w:r>
    </w:p>
    <w:bookmarkEnd w:id="24"/>
    <w:bookmarkStart w:id="25" w:name="сотрудничество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Сотрудничество</w:t>
      </w:r>
    </w:p>
    <w:p>
      <w:pPr>
        <w:pStyle w:val="FirstParagraph"/>
      </w:pPr>
      <w:r>
        <w:t xml:space="preserve">Ключевое отличие модели Беднара заключается во введении когнитивных зависимостей между признаками. Сотрудничество моделируется не как внешняя кооперация, а как внутренняя логическая взаимосвязь между различными культурными установками. В базовом варианте модели это реализуется следующим образом: значение одного признака (например, A2) автоматически подстраивается под значение другого (например, A1). Это отражает когнитивную привязку: если человек верит в A1, то он, с высокой вероятностью, будет верить и в A2.</w:t>
      </w:r>
    </w:p>
    <w:p>
      <w:pPr>
        <w:pStyle w:val="BodyText"/>
      </w:pPr>
      <w:r>
        <w:t xml:space="preserve">Эта структура соответствует наблюдаемым феноменам в реальном обществе: например, в политике взгляды на налогообложение часто связаны с мнением о роли государства. То есть, установка</w:t>
      </w:r>
      <w:r>
        <w:t xml:space="preserve"> </w:t>
      </w:r>
      <w:r>
        <w:t xml:space="preserve">“</w:t>
      </w:r>
      <w:r>
        <w:t xml:space="preserve">государство должно заботиться о гражданах</w:t>
      </w:r>
      <w:r>
        <w:t xml:space="preserve">”</w:t>
      </w:r>
      <w:r>
        <w:t xml:space="preserve"> </w:t>
      </w:r>
      <w:r>
        <w:t xml:space="preserve">логически и когнитивно тянет за собой</w:t>
      </w:r>
      <w:r>
        <w:t xml:space="preserve"> </w:t>
      </w:r>
      <w:r>
        <w:t xml:space="preserve">“</w:t>
      </w:r>
      <w:r>
        <w:t xml:space="preserve">необходимость прогрессивного налогообложения</w:t>
      </w:r>
      <w:r>
        <w:t xml:space="preserve">”</w:t>
      </w:r>
      <w:r>
        <w:t xml:space="preserve">.</w:t>
      </w:r>
    </w:p>
    <w:bookmarkEnd w:id="25"/>
    <w:bookmarkStart w:id="26" w:name="когнитивные-ограничения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Когнитивные ограничения</w:t>
      </w:r>
    </w:p>
    <w:p>
      <w:pPr>
        <w:pStyle w:val="FirstParagraph"/>
      </w:pPr>
      <w:r>
        <w:t xml:space="preserve">Каждый агент имеет ограниченную когнитивную ёмкость — он не может осознавать и удерживать бесконечное количество зависимостей. Поэтому агент «оптимизирует» свой когнитивный профиль: он выбирает устойчивые связи между признаками и минимизирует внутренние противоречия. Это позволяет смоделировать не только внешнее поведение, но и внутренние когнитивные ограничения.</w:t>
      </w:r>
    </w:p>
    <w:bookmarkEnd w:id="26"/>
    <w:bookmarkStart w:id="27" w:name="ошибки-и-инноваци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Ошибки и инновации</w:t>
      </w:r>
    </w:p>
    <w:p>
      <w:pPr>
        <w:pStyle w:val="FirstParagraph"/>
      </w:pPr>
      <w:r>
        <w:t xml:space="preserve">Ошибки и инновации — фундаментальная часть модели. Агент может случайно изменить значение одного из признаков (по аналогии с мутацией). Несмотря на то что такие изменения единичны и локальны, они могут запускать каскад изменений во всей сети агентов — особенно если нарушается когнитивная связь. Пример: изменение одного мнения может подтолкнуть агента пересмотреть и другие, логически связанные установки.</w:t>
      </w:r>
    </w:p>
    <w:p>
      <w:pPr>
        <w:pStyle w:val="BodyText"/>
      </w:pPr>
      <w:r>
        <w:t xml:space="preserve">Именно наличие ошибок и инноваций обеспечивает вариативность культурных конфигураций, даже в том случае, если у всех агентов одинаковые цели и структура.</w:t>
      </w:r>
    </w:p>
    <w:bookmarkEnd w:id="27"/>
    <w:bookmarkStart w:id="28" w:name="примеры-и-применение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Примеры и применение</w:t>
      </w:r>
    </w:p>
    <w:p>
      <w:pPr>
        <w:pStyle w:val="FirstParagraph"/>
      </w:pPr>
      <w:r>
        <w:rPr>
          <w:bCs/>
          <w:b/>
        </w:rPr>
        <w:t xml:space="preserve">Пример 1. Рабочий коллектив</w:t>
      </w:r>
    </w:p>
    <w:p>
      <w:pPr>
        <w:pStyle w:val="BodyText"/>
      </w:pPr>
      <w:r>
        <w:t xml:space="preserve">В офисной команде сотрудники придерживаются определённых норм: например, ценят пунктуальность (A1) и уважают чужое время (A2). Эти два признака связаны: если человек ценит пунктуальность, он, как правило, будет также не мешать другим. Если в коллектив приходит новый сотрудник с другой культурой (не считает опоздание проблемой), он может нарушить локальную координацию. Его поведение вызовет реакцию — либо адаптацию под коллектив, либо изменение норм у других членов команды.</w:t>
      </w:r>
    </w:p>
    <w:p>
      <w:pPr>
        <w:pStyle w:val="BodyText"/>
      </w:pPr>
      <w:r>
        <w:rPr>
          <w:bCs/>
          <w:b/>
        </w:rPr>
        <w:t xml:space="preserve">Пример 2. Политическая культура</w:t>
      </w:r>
    </w:p>
    <w:p>
      <w:pPr>
        <w:pStyle w:val="BodyText"/>
      </w:pPr>
      <w:r>
        <w:t xml:space="preserve">Группа граждан в одном районе поддерживает идею сильного государства (A1), что когнитивно связано с поддержкой социальной справедливости (A2). Если на выборах в район приходит партия с либертарианской повесткой, и часть жителей меняет своё мнение по A1, это может спровоцировать и пересмотр взглядов по A2 — даже если напрямую агитация этого не касалась.</w:t>
      </w:r>
    </w:p>
    <w:p>
      <w:pPr>
        <w:pStyle w:val="BodyText"/>
      </w:pPr>
      <w:r>
        <w:rPr>
          <w:bCs/>
          <w:b/>
        </w:rPr>
        <w:t xml:space="preserve">Пример 3. Образовательная система</w:t>
      </w:r>
    </w:p>
    <w:p>
      <w:pPr>
        <w:pStyle w:val="BodyText"/>
      </w:pPr>
      <w:r>
        <w:t xml:space="preserve">Учителя могут быть носителями определённого педагогического подхода (например, авторитарного). Этот подход может быть связан с мнением о том, что ученики не способны к самоорганизации. Изменение в одной установке — например, участие в инновационной программе — может изменить как поведение учителя, так и его когнитивные убеждения, которые затем транслируются ученикам, формируя новую локальную культуру.</w:t>
      </w:r>
    </w:p>
    <w:p>
      <w:pPr>
        <w:pStyle w:val="BodyText"/>
      </w:pPr>
      <w:r>
        <w:rPr>
          <w:bCs/>
          <w:b/>
        </w:rPr>
        <w:t xml:space="preserve">Пример 4. Цифровые платформы и алгоритмы</w:t>
      </w:r>
    </w:p>
    <w:p>
      <w:pPr>
        <w:pStyle w:val="BodyText"/>
      </w:pPr>
      <w:r>
        <w:t xml:space="preserve">В социальных сетях алгоритмы подбора контента могут поддерживать когнитивные связи между установками. Например, пользователь, читающий посты про ЗОЖ (здоровый образ жизни), может быть склонен к принятию взглядов о важности личной ответственности и самодисциплины. Если пользователь сталкивается с альтернативным мнением (по ошибке алгоритма), это может либо разрушить устоявшуюся структуру, либо вызвать реакцию отторжения, усиливающую изоляцию. Таким образом, даже случайные ошибки алгоритмов могут иметь значительное влияние на культурную эволюцию.</w:t>
      </w:r>
    </w:p>
    <w:bookmarkEnd w:id="28"/>
    <w:bookmarkEnd w:id="29"/>
    <w:bookmarkStart w:id="30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Модель Беднара — мощный аналитический инструмент для изучения культурной динамики, сочетающий элементы теории игр, когнитивной науки и социальной теории. Она позволяет понять, каким образом культура формируется как результат координации и когнитивного сотрудничества между индивидами, а также почему в обществе возникает устойчивое разнообразие норм и установок.</w:t>
      </w:r>
    </w:p>
    <w:p>
      <w:pPr>
        <w:pStyle w:val="BodyText"/>
      </w:pPr>
      <w:r>
        <w:t xml:space="preserve">Модель демонстрирует, что даже в однородной среде, где агенты преследуют одинаковые цели, могут возникать устойчивые различия — за счёт ограничений когнитивной архитектуры, случайных ошибок и локальных взаимодействий. Это делает модель Беднара особенно ценной в эпоху цифровых коммуникаций, поляризации мнений и глобальных изменений.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Bednar, J., Page, S. E. (2007). Can Game(s) Theory Explain Culture? The Emergence of Cultural Behavior Within Multiple Games. Rationality and Society, 19(1), 65–97.</w:t>
      </w:r>
    </w:p>
    <w:p>
      <w:pPr>
        <w:numPr>
          <w:ilvl w:val="0"/>
          <w:numId w:val="1002"/>
        </w:numPr>
      </w:pPr>
      <w:r>
        <w:t xml:space="preserve">Axelrod, R. (1997). The Dissemination of Culture: A Model with Local Convergence and Global Polarization. Journal of Conflict Resolution, 41(2), 203–226.</w:t>
      </w:r>
    </w:p>
    <w:p>
      <w:pPr>
        <w:numPr>
          <w:ilvl w:val="0"/>
          <w:numId w:val="1002"/>
        </w:numPr>
      </w:pPr>
      <w:r>
        <w:t xml:space="preserve">Bednar, J. (2009). The Robust Federation: Principles of Design. Cambridge University Press.</w:t>
      </w:r>
    </w:p>
    <w:p>
      <w:pPr>
        <w:numPr>
          <w:ilvl w:val="0"/>
          <w:numId w:val="1002"/>
        </w:numPr>
      </w:pPr>
      <w:r>
        <w:t xml:space="preserve">Young, H. P. (1998). Individual Strategy and Social Structure: An Evolutionary Theory of Institutions. Princeton University Press.</w:t>
      </w:r>
    </w:p>
    <w:p>
      <w:pPr>
        <w:numPr>
          <w:ilvl w:val="0"/>
          <w:numId w:val="1002"/>
        </w:numPr>
      </w:pPr>
      <w:r>
        <w:t xml:space="preserve">Boyd, R., Richerson, P. J. (1985). Culture and the Evolutionary Process. University of Chicago Press.</w:t>
      </w:r>
    </w:p>
    <w:p>
      <w:pPr>
        <w:numPr>
          <w:ilvl w:val="0"/>
          <w:numId w:val="1002"/>
        </w:numPr>
      </w:pPr>
      <w:r>
        <w:t xml:space="preserve">North, D. C. (2005). Understanding the Process of Economic Change. Princeton University Press.</w:t>
      </w:r>
    </w:p>
    <w:p>
      <w:pPr>
        <w:numPr>
          <w:ilvl w:val="0"/>
          <w:numId w:val="1002"/>
        </w:numPr>
      </w:pPr>
      <w:r>
        <w:t xml:space="preserve">Centola, D., Macy, M. (2007). Complex Contagions and the Weakness of Long Ties. American Journal of Sociology, 113(3), 702–734.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Клюкин Михаил Александрович</dc:creator>
  <dc:language>ru-RU</dc:language>
  <cp:keywords/>
  <dcterms:created xsi:type="dcterms:W3CDTF">2025-05-16T16:55:21Z</dcterms:created>
  <dcterms:modified xsi:type="dcterms:W3CDTF">2025-05-16T16:55:21Z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Беднара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