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gif" ContentType="image/gif"/>
  <Override PartName="/word/media/rId27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Этап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Результаты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Канева</w:t>
      </w:r>
      <w:r>
        <w:t xml:space="preserve"> </w:t>
      </w:r>
      <w:r>
        <w:t xml:space="preserve">Екатерина</w:t>
      </w:r>
    </w:p>
    <w:p>
      <w:pPr>
        <w:pStyle w:val="Author"/>
      </w:pPr>
      <w:r>
        <w:t xml:space="preserve">Клюкин</w:t>
      </w:r>
      <w:r>
        <w:t xml:space="preserve"> </w:t>
      </w:r>
      <w:r>
        <w:t xml:space="preserve">Михаил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rPr>
          <w:bCs/>
          <w:b/>
        </w:rPr>
        <w:t xml:space="preserve">Актуальность</w:t>
      </w:r>
    </w:p>
    <w:p>
      <w:pPr>
        <w:pStyle w:val="BodyText"/>
      </w:pPr>
      <w:r>
        <w:t xml:space="preserve">Все вещества состоят из атомов, которые постоянно колеблются. Изучение этих колебаний помогает нам понять, как материалы ведут себя при разных температурах. Особенно важно понимать, как колебания приводят к тепловому равновесию. Исследование цепочек атомов, связанных пружинками, это простая модель, чтобы понять, как возникают колебания в кристаллах. Эта модель помогает объяснить, почему некоторые классические законы физики работают только при высоких температурах. Понимание колебаний важно для создания новых материалов с нужными свойствами, например, для электроники или термоизоляции.</w:t>
      </w:r>
    </w:p>
    <w:p>
      <w:pPr>
        <w:pStyle w:val="BodyText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Исследовать закономерности колебаний в простейшей одномерной цепочке атомов, связанных между собой.</w:t>
      </w:r>
    </w:p>
    <w:p>
      <w:pPr>
        <w:pStyle w:val="BodyText"/>
      </w:pPr>
      <w:r>
        <w:rPr>
          <w:bCs/>
          <w:b/>
        </w:rPr>
        <w:t xml:space="preserve">Объект и предмет исследования</w:t>
      </w:r>
    </w:p>
    <w:p>
      <w:pPr>
        <w:numPr>
          <w:ilvl w:val="0"/>
          <w:numId w:val="1001"/>
        </w:numPr>
        <w:pStyle w:val="Compact"/>
      </w:pPr>
      <w:r>
        <w:t xml:space="preserve">Изучение условий для установления равновесия</w:t>
      </w:r>
    </w:p>
    <w:p>
      <w:pPr>
        <w:numPr>
          <w:ilvl w:val="0"/>
          <w:numId w:val="1001"/>
        </w:numPr>
        <w:pStyle w:val="Compact"/>
      </w:pPr>
      <w:r>
        <w:t xml:space="preserve">Изучение условий для приближения к равновесию</w:t>
      </w:r>
    </w:p>
    <w:p>
      <w:pPr>
        <w:numPr>
          <w:ilvl w:val="0"/>
          <w:numId w:val="1001"/>
        </w:numPr>
        <w:pStyle w:val="Compact"/>
      </w:pPr>
      <w:r>
        <w:t xml:space="preserve">Изучение явлений в простейшем одномерном случае</w:t>
      </w:r>
    </w:p>
    <w:p>
      <w:pPr>
        <w:pStyle w:val="FirstParagraph"/>
      </w:pPr>
      <w:r>
        <w:rPr>
          <w:bCs/>
          <w:b/>
        </w:rPr>
        <w:t xml:space="preserve">Задачи</w:t>
      </w:r>
    </w:p>
    <w:p>
      <w:pPr>
        <w:numPr>
          <w:ilvl w:val="0"/>
          <w:numId w:val="1002"/>
        </w:numPr>
        <w:pStyle w:val="Compact"/>
      </w:pPr>
      <w:r>
        <w:t xml:space="preserve">Построить модель цепочки из N частиц.</w:t>
      </w:r>
    </w:p>
    <w:p>
      <w:pPr>
        <w:numPr>
          <w:ilvl w:val="0"/>
          <w:numId w:val="1002"/>
        </w:numPr>
        <w:pStyle w:val="Compact"/>
      </w:pPr>
      <w:r>
        <w:t xml:space="preserve">Описать алгоритм для моделирования гармонических и ангармонических колебаний.</w:t>
      </w:r>
    </w:p>
    <w:p>
      <w:pPr>
        <w:numPr>
          <w:ilvl w:val="0"/>
          <w:numId w:val="1002"/>
        </w:numPr>
        <w:pStyle w:val="Compact"/>
      </w:pPr>
      <w:r>
        <w:t xml:space="preserve">Реализовать программу для моделирования гармонических и ангармонических колебаний.</w:t>
      </w:r>
    </w:p>
    <w:p>
      <w:pPr>
        <w:pStyle w:val="FirstParagraph"/>
      </w:pPr>
      <w:r>
        <w:rPr>
          <w:bCs/>
          <w:b/>
        </w:rPr>
        <w:t xml:space="preserve">Материалы и методы</w:t>
      </w:r>
    </w:p>
    <w:p>
      <w:pPr>
        <w:pStyle w:val="BodyText"/>
      </w:pPr>
      <w:r>
        <w:t xml:space="preserve">Язык программирования Julia</w:t>
      </w:r>
    </w:p>
    <w:p>
      <w:pPr>
        <w:numPr>
          <w:ilvl w:val="0"/>
          <w:numId w:val="1003"/>
        </w:numPr>
        <w:pStyle w:val="Compact"/>
      </w:pPr>
      <w:r>
        <w:t xml:space="preserve">Plots.jl</w:t>
      </w:r>
    </w:p>
    <w:p>
      <w:pPr>
        <w:numPr>
          <w:ilvl w:val="0"/>
          <w:numId w:val="1003"/>
        </w:numPr>
        <w:pStyle w:val="Compact"/>
      </w:pPr>
      <w:r>
        <w:t xml:space="preserve">LinearAlgebra</w:t>
      </w:r>
    </w:p>
    <w:p>
      <w:pPr>
        <w:numPr>
          <w:ilvl w:val="0"/>
          <w:numId w:val="1003"/>
        </w:numPr>
        <w:pStyle w:val="Compact"/>
      </w:pPr>
      <w:r>
        <w:t xml:space="preserve">FFTW</w:t>
      </w:r>
    </w:p>
    <w:bookmarkEnd w:id="20"/>
    <w:bookmarkStart w:id="25" w:name="теоретическое-описание-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описание задачи</w:t>
      </w:r>
    </w:p>
    <w:bookmarkStart w:id="23" w:name="гармоническая-цепоч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Гармоническая цепочка</w:t>
      </w:r>
    </w:p>
    <w:p>
      <w:pPr>
        <w:pStyle w:val="FirstParagraph"/>
      </w:pPr>
      <w:r>
        <w:t xml:space="preserve">Если начально пружины не деформированы, то положение равновесия i-й частицы — это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i</m:t>
        </m:r>
        <m:r>
          <m:t>d</m:t>
        </m:r>
      </m:oMath>
      <w:r>
        <w:t xml:space="preserve">. Вводятся малые смещения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от положения равновесия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(считаем, что</w:t>
      </w:r>
      <w:r>
        <w:t xml:space="preserve"> 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много меньше</w:t>
      </w:r>
      <w:r>
        <w:t xml:space="preserve"> </w:t>
      </w:r>
      <m:oMath>
        <m:r>
          <m:t>d</m:t>
        </m:r>
      </m:oMath>
      <w:r>
        <w:t xml:space="preserve">). Тогда силы, действующие на</w:t>
      </w:r>
      <w:r>
        <w:t xml:space="preserve"> </w:t>
      </w:r>
      <m:oMath>
        <m:r>
          <m:t>i</m:t>
        </m:r>
      </m:oMath>
      <w:r>
        <w:t xml:space="preserve">-ю частицу, записываются как: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k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k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r>
            <m:t>k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2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Соответственно, уравнение движения имеет вид:</w:t>
      </w:r>
    </w:p>
    <w:p>
      <w:pPr>
        <w:pStyle w:val="BodyText"/>
      </w:pPr>
      <m:oMathPara>
        <m:oMathParaPr>
          <m:jc m:val="center"/>
        </m:oMathParaPr>
        <m:oMath>
          <m:r>
            <m:t>m</m:t>
          </m:r>
          <m:f>
            <m:fPr>
              <m:type m:val="bar"/>
            </m:fPr>
            <m:num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d</m:t>
              </m:r>
              <m:sSup>
                <m:e>
                  <m:r>
                    <m:t>t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t>k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2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  <m:r>
            <m:rPr>
              <m:sty m:val="p"/>
            </m:rPr>
            <m:t>,</m:t>
          </m:r>
          <m:r>
            <m:t> </m:t>
          </m:r>
          <m:r>
            <m:t>i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…</m:t>
          </m:r>
          <m:r>
            <m:rPr>
              <m:sty m:val="p"/>
            </m:rPr>
            <m:t>,</m:t>
          </m:r>
          <m:r>
            <m:t>N</m:t>
          </m:r>
          <m:r>
            <m:rPr>
              <m:sty m:val="p"/>
            </m:rPr>
            <m:t>.</m:t>
          </m:r>
        </m:oMath>
      </m:oMathPara>
    </w:p>
    <w:bookmarkStart w:id="21" w:name="полная-энергия-системы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Полная энергия системы</w:t>
      </w:r>
    </w:p>
    <w:p>
      <w:pPr>
        <w:pStyle w:val="FirstParagraph"/>
      </w:pPr>
      <w:r>
        <w:t xml:space="preserve">Полная энергия системы учитывает как кинетическую, так и потенциальную энергию:</w:t>
      </w:r>
    </w:p>
    <w:p>
      <w:pPr>
        <w:pStyle w:val="BodyText"/>
      </w:pPr>
      <m:oMathPara>
        <m:oMathParaPr>
          <m:jc m:val="center"/>
        </m:oMathParaPr>
        <m:oMath>
          <m:r>
            <m:t>U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</m:num>
            <m:den>
              <m:r>
                <m:t>2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d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m:t>d</m:t>
                          </m:r>
                          <m: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nary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</m:num>
            <m:den>
              <m:r>
                <m:t>2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e>
          </m:nary>
          <m:r>
            <m:rPr>
              <m:sty m:val="p"/>
            </m:rPr>
            <m:t>.</m:t>
          </m:r>
        </m:oMath>
      </m:oMathPara>
    </w:p>
    <w:bookmarkEnd w:id="21"/>
    <w:bookmarkStart w:id="22" w:name="решение-уравнения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Решение уравнения</w:t>
      </w:r>
    </w:p>
    <w:p>
      <w:pPr>
        <w:pStyle w:val="FirstParagraph"/>
      </w:pPr>
      <w:r>
        <w:t xml:space="preserve">Физически обоснованным решением является форма стоячей волны: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p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t>B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p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cos</m:t>
          </m:r>
          <m:d>
            <m:dPr>
              <m:begChr m:val="("/>
              <m:endChr m:val=")"/>
              <m:sepChr m:val=""/>
              <m:grow/>
            </m:dPr>
            <m:e>
              <m:r>
                <m:t>ω</m:t>
              </m:r>
              <m:r>
                <m:t>t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Граничные условия</w:t>
      </w:r>
      <w:r>
        <w:t xml:space="preserve"> </w:t>
      </w:r>
      <m:oMath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приводят к ограничению на</w:t>
      </w:r>
      <w:r>
        <w:t xml:space="preserve"> </w:t>
      </w:r>
      <m:oMath>
        <m:r>
          <m:t>p</m:t>
        </m:r>
      </m:oMath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sin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t>d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Это выполняется при значениях: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l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π</m:t>
              </m:r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t>d</m:t>
              </m:r>
            </m:den>
          </m:f>
          <m:r>
            <m:rPr>
              <m:sty m:val="p"/>
            </m:rPr>
            <m:t>,</m:t>
          </m:r>
          <m:r>
            <m:t> </m:t>
          </m:r>
          <m:r>
            <m:t>l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rPr>
              <m:sty m:val="p"/>
            </m:rPr>
            <m:t>…</m:t>
          </m:r>
          <m:r>
            <m:rPr>
              <m:sty m:val="p"/>
            </m:rPr>
            <m:t>,</m:t>
          </m:r>
          <m:r>
            <m:t>N</m:t>
          </m:r>
          <m:r>
            <m:rPr>
              <m:sty m:val="p"/>
            </m:rPr>
            <m:t>.</m:t>
          </m:r>
        </m:oMath>
      </m:oMathPara>
    </w:p>
    <w:bookmarkEnd w:id="22"/>
    <w:bookmarkEnd w:id="23"/>
    <w:bookmarkStart w:id="24" w:name="ангармоническая-цепочк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Ангармоническая цепочка</w:t>
      </w:r>
    </w:p>
    <w:p>
      <w:pPr>
        <w:pStyle w:val="FirstParagraph"/>
      </w:pPr>
      <w:r>
        <w:t xml:space="preserve">Для реальных пружин линейное выражение для возвращающей силы</w:t>
      </w:r>
      <w:r>
        <w:t xml:space="preserve"> </w:t>
      </w:r>
      <m:oMath>
        <m:r>
          <m:t>F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k</m:t>
        </m:r>
        <m:r>
          <m:t>x</m:t>
        </m:r>
      </m:oMath>
      <w:r>
        <w:t xml:space="preserve"> </w:t>
      </w:r>
      <w:r>
        <w:t xml:space="preserve">верно только для малых деформаций. При больших сжатиях</w:t>
      </w:r>
      <w:r>
        <w:t xml:space="preserve"> </w:t>
      </w:r>
      <w:r>
        <w:t xml:space="preserve">пружины сила обычно больше, а при больших растяжениях меньше, чем</w:t>
      </w:r>
      <w:r>
        <w:t xml:space="preserve"> </w:t>
      </w:r>
      <m:oMath>
        <m:r>
          <m:t>k</m:t>
        </m:r>
        <m:r>
          <m:t>x</m:t>
        </m:r>
      </m:oMath>
      <w:r>
        <w:t xml:space="preserve">. Такую зависимость можно получить, добавив еще одно слагаемое к силе: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k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α</m:t>
                  </m:r>
                  <m:r>
                    <m:t>x</m:t>
                  </m:r>
                </m:num>
                <m:den>
                  <m:r>
                    <m:t>d</m:t>
                  </m:r>
                </m:den>
              </m:f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Здесь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— безразмерный коэффициент. В этом случае выражение для энергии будет выглядеть так:</w:t>
      </w:r>
    </w:p>
    <w:p>
      <w:pPr>
        <w:pStyle w:val="BodyText"/>
      </w:pPr>
      <m:oMathPara>
        <m:oMathParaPr>
          <m:jc m:val="center"/>
        </m:oMathParaPr>
        <m:oMath>
          <m:r>
            <m:t>U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</m:num>
            <m:den>
              <m:r>
                <m:t>2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d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m:t>d</m:t>
                          </m:r>
                          <m: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nary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</m:num>
            <m:den>
              <m:r>
                <m:t>2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e>
          </m:nary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k</m:t>
              </m:r>
              <m:r>
                <m:t>α</m:t>
              </m:r>
            </m:num>
            <m:den>
              <m:r>
                <m:t>3</m:t>
              </m:r>
              <m:r>
                <m:t>d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sup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t>3</m:t>
                  </m:r>
                </m:sup>
              </m:sSup>
            </m:e>
          </m:nary>
          <m:r>
            <m:rPr>
              <m:sty m:val="p"/>
            </m:rPr>
            <m:t>.</m:t>
          </m:r>
        </m:oMath>
      </m:oMathPara>
    </w:p>
    <w:bookmarkEnd w:id="24"/>
    <w:bookmarkEnd w:id="25"/>
    <w:bookmarkStart w:id="26" w:name="программная-реализац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Программная реализация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LinearAlgebra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FFTW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Dates</w:t>
      </w:r>
      <w:r>
        <w:br/>
      </w:r>
      <w:r>
        <w:br/>
      </w:r>
      <w:r>
        <w:rPr>
          <w:rStyle w:val="CommentTok"/>
        </w:rPr>
        <w:t xml:space="preserve"># Гармонические колебания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harmonic_chain_simulation</w:t>
      </w:r>
      <w:r>
        <w:rPr>
          <w:rStyle w:val="NormalTok"/>
        </w:rPr>
        <w:t xml:space="preserve">(;</w:t>
      </w:r>
      <w:r>
        <w:br/>
      </w:r>
      <w:r>
        <w:rPr>
          <w:rStyle w:val="NormalTok"/>
        </w:rPr>
        <w:t xml:space="preserve">    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20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Количество частиц</w:t>
      </w:r>
      <w:r>
        <w:br/>
      </w:r>
      <w:r>
        <w:rPr>
          <w:rStyle w:val="NormalTok"/>
        </w:rPr>
        <w:t xml:space="preserve">    m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Масса частицы</w:t>
      </w:r>
      <w:r>
        <w:br/>
      </w:r>
      <w:r>
        <w:rPr>
          <w:rStyle w:val="NormalTok"/>
        </w:rPr>
        <w:t xml:space="preserve">    k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Жёсткость пружины</w:t>
      </w:r>
      <w:r>
        <w:br/>
      </w:r>
      <w:r>
        <w:rPr>
          <w:rStyle w:val="NormalTok"/>
        </w:rPr>
        <w:t xml:space="preserve">   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Коэффициент ангармоничности (0 для гармонического случая)</w:t>
      </w:r>
      <w:r>
        <w:br/>
      </w:r>
      <w:r>
        <w:rPr>
          <w:rStyle w:val="NormalTok"/>
        </w:rPr>
        <w:t xml:space="preserve">    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100.0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Общее время моделирования</w:t>
      </w:r>
      <w:r>
        <w:br/>
      </w:r>
      <w:r>
        <w:rPr>
          <w:rStyle w:val="NormalTok"/>
        </w:rPr>
        <w:t xml:space="preserve">    dt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Шаг по времени</w:t>
      </w:r>
      <w:r>
        <w:br/>
      </w:r>
      <w:r>
        <w:rPr>
          <w:rStyle w:val="NormalTok"/>
        </w:rPr>
        <w:t xml:space="preserve">    dd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Расстояние между частицами</w:t>
      </w:r>
      <w:r>
        <w:br/>
      </w:r>
      <w:r>
        <w:rPr>
          <w:rStyle w:val="NormalTok"/>
        </w:rPr>
        <w:t xml:space="preserve">    initial_displacement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Амплитуда начального возмущения</w:t>
      </w:r>
      <w:r>
        <w:br/>
      </w:r>
      <w:r>
        <w:rPr>
          <w:rStyle w:val="NormalTok"/>
        </w:rPr>
        <w:t xml:space="preserve">    save_every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Сохранять состояние каждые save_every шагов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Инициализация массивов (включая граничные условия)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Смещения (y[1] и y[N+2] - граничные условия)</w:t>
      </w:r>
      <w:r>
        <w:br/>
      </w:r>
      <w:r>
        <w:rPr>
          <w:rStyle w:val="NormalTok"/>
        </w:rPr>
        <w:t xml:space="preserve">    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Скорости</w:t>
      </w:r>
      <w:r>
        <w:br/>
      </w:r>
      <w:r>
        <w:rPr>
          <w:rStyle w:val="NormalTok"/>
        </w:rPr>
        <w:t xml:space="preserve">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zeros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Ускорения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Начальные условия - синусоидальное возмущение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y[i]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initial_displacement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pi*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Массивы для сохранения результатов</w:t>
      </w:r>
      <w:r>
        <w:br/>
      </w:r>
      <w:r>
        <w:rPr>
          <w:rStyle w:val="NormalTok"/>
        </w:rPr>
        <w:t xml:space="preserve">    times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[]</w:t>
      </w:r>
      <w:r>
        <w:br/>
      </w:r>
      <w:r>
        <w:rPr>
          <w:rStyle w:val="NormalTok"/>
        </w:rPr>
        <w:t xml:space="preserve">    positions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Vector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}[]</w:t>
      </w:r>
      <w:r>
        <w:br/>
      </w:r>
      <w:r>
        <w:rPr>
          <w:rStyle w:val="NormalTok"/>
        </w:rPr>
        <w:t xml:space="preserve">    velocities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Vector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}[]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Основной цикл моделирования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Вычисление ускорений для внутренних частиц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dy_prev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y[i]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y[i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dy_next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y[i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Гармоническая часть силы</w:t>
      </w:r>
      <w:r>
        <w:br/>
      </w:r>
      <w:r>
        <w:rPr>
          <w:rStyle w:val="NormalTok"/>
        </w:rPr>
        <w:t xml:space="preserve">            F_harmonic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(y[i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y[i]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y[i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Ангармоническая часть силы (если alpha ≠ 0)</w:t>
      </w:r>
      <w:r>
        <w:br/>
      </w:r>
      <w:r>
        <w:rPr>
          <w:rStyle w:val="NormalTok"/>
        </w:rPr>
        <w:t xml:space="preserve">            F_anharmonic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alpha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(dy_next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dy_prev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(F_harmonic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F_anharmonic)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Обновление скоростей и смещений (метод Верле)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        v[i]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a[i]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        y[i]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v[i]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dt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Применение граничных условий</w:t>
      </w:r>
      <w:r>
        <w:br/>
      </w:r>
      <w:r>
        <w:rPr>
          <w:rStyle w:val="NormalTok"/>
        </w:rPr>
        <w:t xml:space="preserve">        y[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NormalTok"/>
        </w:rPr>
        <w:t xml:space="preserve">        y[N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Сохранение состояния (не на каждом шаге для экономии памяти)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dt), save_every)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(times, t)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(positions, </w:t>
      </w:r>
      <w:r>
        <w:rPr>
          <w:rStyle w:val="FunctionTok"/>
        </w:rPr>
        <w:t xml:space="preserve">copy</w:t>
      </w:r>
      <w:r>
        <w:rPr>
          <w:rStyle w:val="NormalTok"/>
        </w:rPr>
        <w:t xml:space="preserve">(y[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  </w:t>
      </w:r>
      <w:r>
        <w:rPr>
          <w:rStyle w:val="CommentTok"/>
        </w:rPr>
        <w:t xml:space="preserve"># Исключаем граничные точки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(velocities, </w:t>
      </w:r>
      <w:r>
        <w:rPr>
          <w:rStyle w:val="FunctionTok"/>
        </w:rPr>
        <w:t xml:space="preserve">copy</w:t>
      </w:r>
      <w:r>
        <w:rPr>
          <w:rStyle w:val="NormalTok"/>
        </w:rPr>
        <w:t xml:space="preserve">(v[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times, positions, velocities</w:t>
      </w:r>
      <w:r>
        <w:br/>
      </w:r>
      <w:r>
        <w:rPr>
          <w:rStyle w:val="KeywordTok"/>
        </w:rPr>
        <w:t xml:space="preserve">end</w:t>
      </w:r>
    </w:p>
    <w:bookmarkEnd w:id="26"/>
    <w:bookmarkStart w:id="35" w:name="результа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Результаты</w:t>
      </w:r>
    </w:p>
    <w:p>
      <w:pPr>
        <w:pStyle w:val="FirstParagraph"/>
      </w:pPr>
      <w:r>
        <w:t xml:space="preserve">Выполнив моделирование, получим колебания гармонического осциллятора (рис. 1).</w:t>
      </w:r>
    </w:p>
    <w:p>
      <w:pPr>
        <w:pStyle w:val="CaptionedFigure"/>
      </w:pPr>
      <w:bookmarkStart w:id="30" w:name="fig:001"/>
      <w:r>
        <w:drawing>
          <wp:inline>
            <wp:extent cx="5334000" cy="4000500"/>
            <wp:effectExtent b="0" l="0" r="0" t="0"/>
            <wp:docPr descr="Рис. 1: Колебания гармонического осциллятора" title="" id="28" name="Picture"/>
            <a:graphic>
              <a:graphicData uri="http://schemas.openxmlformats.org/drawingml/2006/picture">
                <pic:pic>
                  <pic:nvPicPr>
                    <pic:cNvPr descr="image/harmonic_2025-05-02_09-58-07.gif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1: Колебания гармонического осциллятора</w:t>
      </w:r>
    </w:p>
    <w:p>
      <w:pPr>
        <w:pStyle w:val="BodyText"/>
      </w:pPr>
      <w:r>
        <w:t xml:space="preserve">Также смоделируем колебания ангармонического осциллятора при коэффициенте ангармоничности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50</m:t>
        </m:r>
      </m:oMath>
      <w:r>
        <w:t xml:space="preserve"> </w:t>
      </w:r>
      <w:r>
        <w:t xml:space="preserve">(рис. 2).</w:t>
      </w:r>
    </w:p>
    <w:p>
      <w:pPr>
        <w:pStyle w:val="CaptionedFigure"/>
      </w:pPr>
      <w:bookmarkStart w:id="34" w:name="fig:002"/>
      <w:r>
        <w:drawing>
          <wp:inline>
            <wp:extent cx="5334000" cy="4000500"/>
            <wp:effectExtent b="0" l="0" r="0" t="0"/>
            <wp:docPr descr="Рис. 2: Колебания ангармонического осциллятора" title="" id="32" name="Picture"/>
            <a:graphic>
              <a:graphicData uri="http://schemas.openxmlformats.org/drawingml/2006/picture">
                <pic:pic>
                  <pic:nvPicPr>
                    <pic:cNvPr descr="image/anharmonic_2025-05-02_09-58-15.gif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2: Колебания ангармонического осциллятора</w:t>
      </w:r>
    </w:p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04"/>
        </w:numPr>
        <w:pStyle w:val="Compact"/>
      </w:pPr>
      <w:r>
        <w:t xml:space="preserve">Построили модель цепочки из N частиц.</w:t>
      </w:r>
    </w:p>
    <w:p>
      <w:pPr>
        <w:numPr>
          <w:ilvl w:val="0"/>
          <w:numId w:val="1004"/>
        </w:numPr>
        <w:pStyle w:val="Compact"/>
      </w:pPr>
      <w:r>
        <w:t xml:space="preserve">Описали алгоритм для моделирования гармонических и ангармонических колебаний.</w:t>
      </w:r>
    </w:p>
    <w:p>
      <w:pPr>
        <w:numPr>
          <w:ilvl w:val="0"/>
          <w:numId w:val="1004"/>
        </w:numPr>
        <w:pStyle w:val="Compact"/>
      </w:pPr>
      <w:r>
        <w:t xml:space="preserve">Реализовали программу для моделирования гармонических и ангармонических колебаний.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gif" /><Relationship Type="http://schemas.openxmlformats.org/officeDocument/2006/relationships/image" Id="rId27" Target="media/rId27.gi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4</dc:title>
  <dc:creator>Канева Екатерина; Клюкин Михаил; Ланцова Яна</dc:creator>
  <dc:language>ru-RU</dc:language>
  <cp:keywords/>
  <dcterms:created xsi:type="dcterms:W3CDTF">2025-05-17T08:44:55Z</dcterms:created>
  <dcterms:modified xsi:type="dcterms:W3CDTF">2025-05-17T08:44:55Z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Результаты проекта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