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моделирующей системы и нарисовать графики очереди.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 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 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 на отдельных листах модели (с помощью соответствующего инструмента меню —</w:t>
      </w:r>
      <w:r>
        <w:t xml:space="preserve"> </w:t>
      </w:r>
      <w:r>
        <w:rPr>
          <w:rStyle w:val="VerbatimChar"/>
        </w:rPr>
        <w:t xml:space="preserve">Hierarchy</w:t>
      </w:r>
      <w:r>
        <w:t xml:space="preserve">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 Queue,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bookmarkStart w:id="25" w:name="fig:001"/>
      <w:r>
        <w:drawing>
          <wp:inline>
            <wp:extent cx="5334000" cy="4071619"/>
            <wp:effectExtent b="0" l="0" r="0" t="0"/>
            <wp:docPr descr="Рис. 1: 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 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 распределение поступления заявок по экспоненциальному закону с интенсивностью 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bookmarkStart w:id="29" w:name="fig:002"/>
      <w:r>
        <w:drawing>
          <wp:inline>
            <wp:extent cx="5334000" cy="4071619"/>
            <wp:effectExtent b="0" l="0" r="0" t="0"/>
            <wp:docPr descr="Рис. 2: Граф генератора заявок систе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 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bookmarkStart w:id="33" w:name="fig:003"/>
      <w:r>
        <w:drawing>
          <wp:inline>
            <wp:extent cx="5334000" cy="4071619"/>
            <wp:effectExtent b="0" l="0" r="0" t="0"/>
            <wp:docPr descr="Рис. 3: 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 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 заявки (</w:t>
      </w:r>
      <w:r>
        <w:rPr>
          <w:rStyle w:val="VerbatimChar"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</w:t>
      </w:r>
      <w:r>
        <w:t xml:space="preserve">).</w:t>
      </w:r>
    </w:p>
    <w:p>
      <w:pPr>
        <w:pStyle w:val="CaptionedFigure"/>
      </w:pPr>
      <w:bookmarkStart w:id="37" w:name="fig:004"/>
      <w:r>
        <w:drawing>
          <wp:inline>
            <wp:extent cx="5168900" cy="5105400"/>
            <wp:effectExtent b="0" l="0" r="0" t="0"/>
            <wp:docPr descr="Рис. 4: Задание деклараций систе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 ystem (рис. 5):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t xml:space="preserve">$1`[]$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4085237"/>
            <wp:effectExtent b="0" l="0" r="0" t="0"/>
            <wp:docPr descr="Рис. 5: Параметры элементов основного графа системы обработки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 1</w:t>
      </w:r>
      <w:r>
        <w:t xml:space="preserve">$`()@0$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</w:p>
    <w:p>
      <w:pPr>
        <w:numPr>
          <w:ilvl w:val="0"/>
          <w:numId w:val="1006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задаёт генерацию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 поступлениями заявок;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задаёт перемещение фишки;</w:t>
      </w:r>
    </w:p>
    <w:p>
      <w:pPr>
        <w:numPr>
          <w:ilvl w:val="0"/>
          <w:numId w:val="1006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 поступление заявки в очередь;</w:t>
      </w:r>
    </w:p>
    <w:p>
      <w:pPr>
        <w:numPr>
          <w:ilvl w:val="0"/>
          <w:numId w:val="1006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 связь.</w:t>
      </w:r>
    </w:p>
    <w:p>
      <w:pPr>
        <w:pStyle w:val="CaptionedFigure"/>
      </w:pPr>
      <w:bookmarkStart w:id="45" w:name="fig:006"/>
      <w:r>
        <w:drawing>
          <wp:inline>
            <wp:extent cx="5334000" cy="4085237"/>
            <wp:effectExtent b="0" l="0" r="0" t="0"/>
            <wp:docPr descr="Рис. 6: Параметры элементов генератора заявок систе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маркировки —</w:t>
      </w:r>
      <w:r>
        <w:t xml:space="preserve"> </w:t>
      </w:r>
      <w:r>
        <w:t xml:space="preserve">$1`server@0$</w:t>
      </w:r>
      <w:r>
        <w:t xml:space="preserve"> </w:t>
      </w:r>
      <w:r>
        <w:t xml:space="preserve">определяет, что изначально на сервере нет заявок на обслуживание;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 временем обработки в 90 единиц времени;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 что сервер может начать обработку заявки, если в очереди есть хотя бы одна заявка;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 о завершении обработки заявки на сервере;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 заявка считается обслуженной;</w:t>
      </w:r>
    </w:p>
    <w:p>
      <w:pPr>
        <w:numPr>
          <w:ilvl w:val="0"/>
          <w:numId w:val="1007"/>
        </w:numPr>
        <w:pStyle w:val="Compact"/>
      </w:pPr>
      <w:r>
        <w:t xml:space="preserve">выражение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 сервера (обрабатывает заявки или ожидает);</w:t>
      </w:r>
    </w:p>
    <w:p>
      <w:pPr>
        <w:numPr>
          <w:ilvl w:val="0"/>
          <w:numId w:val="1007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 связь.</w:t>
      </w:r>
    </w:p>
    <w:p>
      <w:pPr>
        <w:pStyle w:val="CaptionedFigure"/>
      </w:pPr>
      <w:bookmarkStart w:id="49" w:name="fig:007"/>
      <w:r>
        <w:drawing>
          <wp:inline>
            <wp:extent cx="5334000" cy="4085237"/>
            <wp:effectExtent b="0" l="0" r="0" t="0"/>
            <wp:docPr descr="Рис. 7: Параметры элементов обработчика заявок систе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50"/>
    <w:bookmarkStart w:id="91" w:name="X064ddc7dd2d7c16b1ffbb5b3d20df092cd9b7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</w:t>
      </w:r>
    </w:p>
    <w:p>
      <w:pPr>
        <w:pStyle w:val="BodyText"/>
      </w:pPr>
      <w:r>
        <w:t xml:space="preserve">Изначально, когда функция начинает работать, она возвращает значение true, в противном случае — false. В теле функции вызывается процедура predBindElem, которую определяем в предварительных декларациях. Зададим число шагов, через которое будем останавливать мониторинг. Для этого true заменим на Queue_Delay.count()=200 (рис. 8).</w:t>
      </w:r>
    </w:p>
    <w:p>
      <w:pPr>
        <w:pStyle w:val="CaptionedFigure"/>
      </w:pPr>
      <w:bookmarkStart w:id="54" w:name="fig:008"/>
      <w:r>
        <w:drawing>
          <wp:inline>
            <wp:extent cx="5334000" cy="1569872"/>
            <wp:effectExtent b="0" l="0" r="0" t="0"/>
            <wp:docPr descr="Рис. 8: Функция Predicate монитора Ostanovka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</w:t>
      </w:r>
    </w:p>
    <w:p>
      <w:pPr>
        <w:pStyle w:val="BodyText"/>
      </w:pPr>
      <w:r>
        <w:t xml:space="preserve">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</w:t>
      </w:r>
    </w:p>
    <w:p>
      <w:pPr>
        <w:pStyle w:val="BodyText"/>
      </w:pPr>
      <w:r>
        <w:t xml:space="preserve">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 (рис. 9).</w:t>
      </w:r>
    </w:p>
    <w:p>
      <w:pPr>
        <w:pStyle w:val="CaptionedFigure"/>
      </w:pPr>
      <w:bookmarkStart w:id="58" w:name="fig:009"/>
      <w:r>
        <w:drawing>
          <wp:inline>
            <wp:extent cx="5334000" cy="1569872"/>
            <wp:effectExtent b="0" l="0" r="0" t="0"/>
            <wp:docPr descr="Рис. 9: Функция Observer монитора Queue Delay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 очереди, во второй — счётчик, в третьей — шаг, в четвёртой — время.</w:t>
      </w:r>
    </w:p>
    <w:p>
      <w:pPr>
        <w:pStyle w:val="CaptionedFigure"/>
      </w:pPr>
      <w:bookmarkStart w:id="62" w:name="fig:010"/>
      <w:r>
        <w:drawing>
          <wp:inline>
            <wp:extent cx="5334000" cy="4987329"/>
            <wp:effectExtent b="0" l="0" r="0" t="0"/>
            <wp:docPr descr="Рис. 10: Файл Queue_Delay.log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bookmarkStart w:id="66" w:name="fig:011"/>
      <w:r>
        <w:drawing>
          <wp:inline>
            <wp:extent cx="5334000" cy="3973200"/>
            <wp:effectExtent b="0" l="0" r="0" t="0"/>
            <wp:docPr descr="Рис. 11: График изменения задержки в очеред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 (рис. 12):</w:t>
      </w:r>
    </w:p>
    <w:p>
      <w:pPr>
        <w:pStyle w:val="CaptionedFigure"/>
      </w:pPr>
      <w:bookmarkStart w:id="70" w:name="fig:012"/>
      <w:r>
        <w:drawing>
          <wp:inline>
            <wp:extent cx="5334000" cy="1342390"/>
            <wp:effectExtent b="0" l="0" r="0" t="0"/>
            <wp:docPr descr="Рис. 12: Функция Observer монитора Queue Delay Real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bookmarkStart w:id="74" w:name="fig:013"/>
      <w:r>
        <w:drawing>
          <wp:inline>
            <wp:extent cx="5334000" cy="2959323"/>
            <wp:effectExtent b="0" l="0" r="0" t="0"/>
            <wp:docPr descr="Рис. 13: Содержимое Queue_Delay_Real.log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 Функцию Observer изменим следующим образом (рис. 14):</w:t>
      </w:r>
    </w:p>
    <w:p>
      <w:pPr>
        <w:pStyle w:val="CaptionedFigure"/>
      </w:pPr>
      <w:bookmarkStart w:id="78" w:name="fig:014"/>
      <w:r>
        <w:drawing>
          <wp:inline>
            <wp:extent cx="5334000" cy="967397"/>
            <wp:effectExtent b="0" l="0" r="0" t="0"/>
            <wp:docPr descr="Рис. 14: Функция Observer монитора Long Delay Time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(рис. 15) задать глобальную переменную (в форме ссылки на число 200): longdelaytime.</w:t>
      </w:r>
    </w:p>
    <w:p>
      <w:pPr>
        <w:pStyle w:val="CaptionedFigure"/>
      </w:pPr>
      <w:bookmarkStart w:id="82" w:name="fig:015"/>
      <w:r>
        <w:drawing>
          <wp:inline>
            <wp:extent cx="2794000" cy="685800"/>
            <wp:effectExtent b="0" l="0" r="0" t="0"/>
            <wp:docPr descr="Рис. 15: Определение longdelaytime в декларациях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16).</w:t>
      </w:r>
    </w:p>
    <w:p>
      <w:pPr>
        <w:pStyle w:val="CaptionedFigure"/>
      </w:pPr>
      <w:bookmarkStart w:id="86" w:name="fig:016"/>
      <w:r>
        <w:drawing>
          <wp:inline>
            <wp:extent cx="5334000" cy="3541058"/>
            <wp:effectExtent b="0" l="0" r="0" t="0"/>
            <wp:docPr descr="Рис. 16: Содержимое Long_Delay_Time.log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построим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bookmarkStart w:id="90" w:name="fig:017"/>
      <w:r>
        <w:drawing>
          <wp:inline>
            <wp:extent cx="5334000" cy="3973370"/>
            <wp:effectExtent b="0" l="0" r="0" t="0"/>
            <wp:docPr descr="Рис. 17: Периоды времени значения задержки в очереди превышали заданное значение 200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Периоды времени значения задержки в очереди превышали заданное значение 200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Реализовали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Клюкин Михаил Александрович</dc:creator>
  <dc:language>ru-RU</dc:language>
  <cp:keywords/>
  <dcterms:created xsi:type="dcterms:W3CDTF">2025-04-18T21:27:55Z</dcterms:created>
  <dcterms:modified xsi:type="dcterms:W3CDTF">2025-04-18T21:27:55Z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системы массового обслуживания M|M|1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