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Клюкин</w:t>
      </w:r>
      <w:r>
        <w:t xml:space="preserve"> </w:t>
      </w:r>
      <w:r>
        <w:t xml:space="preserve">Михаил</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модель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 помощью ПО gpss реализовать:</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судов двух типов в порту</w:t>
      </w:r>
    </w:p>
    <w:bookmarkEnd w:id="21"/>
    <w:bookmarkStart w:id="3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6"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 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 запросов первой категории.</w:t>
      </w:r>
    </w:p>
    <w:p>
      <w:pPr>
        <w:pStyle w:val="BodyText"/>
      </w:pPr>
      <w:r>
        <w:t xml:space="preserve">Получаем модель обслуживания механиков:</w:t>
      </w:r>
    </w:p>
    <w:p>
      <w:pPr>
        <w:pStyle w:val="SourceCode"/>
      </w:pPr>
      <w:r>
        <w:rPr>
          <w:rStyle w:val="VerbatimChar"/>
        </w:rPr>
        <w:t xml:space="preserve">; type 1</w:t>
      </w:r>
      <w:r>
        <w:br/>
      </w:r>
      <w:r>
        <w:rPr>
          <w:rStyle w:val="VerbatimChar"/>
        </w:rPr>
        <w:t xml:space="preserve">GENERATE 420,360,,,1</w:t>
      </w:r>
      <w:r>
        <w:br/>
      </w:r>
      <w:r>
        <w:rPr>
          <w:rStyle w:val="VerbatimChar"/>
        </w:rPr>
        <w:t xml:space="preserve">QUEUE qs1</w:t>
      </w:r>
      <w:r>
        <w:br/>
      </w:r>
      <w:r>
        <w:rPr>
          <w:rStyle w:val="VerbatimChar"/>
        </w:rPr>
        <w:t xml:space="preserve">SEIZE stockman</w:t>
      </w:r>
      <w:r>
        <w:br/>
      </w:r>
      <w:r>
        <w:rPr>
          <w:rStyle w:val="VerbatimChar"/>
        </w:rPr>
        <w:t xml:space="preserve">DEPART qs1</w:t>
      </w:r>
      <w:r>
        <w:br/>
      </w:r>
      <w:r>
        <w:rPr>
          <w:rStyle w:val="VerbatimChar"/>
        </w:rPr>
        <w:t xml:space="preserve">ADVANCE 300,90</w:t>
      </w:r>
      <w:r>
        <w:br/>
      </w:r>
      <w:r>
        <w:rPr>
          <w:rStyle w:val="VerbatimChar"/>
        </w:rPr>
        <w:t xml:space="preserve">RELEASE stockman</w:t>
      </w:r>
      <w:r>
        <w:br/>
      </w:r>
      <w:r>
        <w:rPr>
          <w:rStyle w:val="VerbatimChar"/>
        </w:rPr>
        <w:t xml:space="preserve">TERMINATE 0</w:t>
      </w:r>
      <w:r>
        <w:br/>
      </w:r>
      <w:r>
        <w:rPr>
          <w:rStyle w:val="VerbatimChar"/>
        </w:rPr>
        <w:t xml:space="preserve">; type 2</w:t>
      </w:r>
      <w:r>
        <w:br/>
      </w:r>
      <w:r>
        <w:rPr>
          <w:rStyle w:val="VerbatimChar"/>
        </w:rPr>
        <w:t xml:space="preserve">GENERATE 360,240,,,2</w:t>
      </w:r>
      <w:r>
        <w:br/>
      </w:r>
      <w:r>
        <w:rPr>
          <w:rStyle w:val="VerbatimChar"/>
        </w:rPr>
        <w:t xml:space="preserve">QUEUE qs2</w:t>
      </w:r>
      <w:r>
        <w:br/>
      </w:r>
      <w:r>
        <w:rPr>
          <w:rStyle w:val="VerbatimChar"/>
        </w:rPr>
        <w:t xml:space="preserve">SEIZE stockman</w:t>
      </w:r>
      <w:r>
        <w:br/>
      </w:r>
      <w:r>
        <w:rPr>
          <w:rStyle w:val="VerbatimChar"/>
        </w:rPr>
        <w:t xml:space="preserve">DEPART qs2</w:t>
      </w:r>
      <w:r>
        <w:br/>
      </w:r>
      <w:r>
        <w:rPr>
          <w:rStyle w:val="VerbatimChar"/>
        </w:rPr>
        <w:t xml:space="preserve">ADVANCE 100,30</w:t>
      </w:r>
      <w:r>
        <w:br/>
      </w:r>
      <w:r>
        <w:rPr>
          <w:rStyle w:val="VerbatimChar"/>
        </w:rPr>
        <w:t xml:space="preserve">RELEASE stockman</w:t>
      </w:r>
      <w:r>
        <w:br/>
      </w:r>
      <w:r>
        <w:rPr>
          <w:rStyle w:val="VerbatimChar"/>
        </w:rPr>
        <w:t xml:space="preserve">TERMINATE 0</w:t>
      </w:r>
      <w:r>
        <w:br/>
      </w:r>
      <w:r>
        <w:rPr>
          <w:rStyle w:val="VerbatimChar"/>
        </w:rPr>
        <w:t xml:space="preserve">;timer</w:t>
      </w:r>
      <w:r>
        <w:br/>
      </w:r>
      <w:r>
        <w:rPr>
          <w:rStyle w:val="VerbatimChar"/>
        </w:rPr>
        <w:t xml:space="preserve">GENERATE 28800</w:t>
      </w:r>
      <w:r>
        <w:br/>
      </w:r>
      <w:r>
        <w:rPr>
          <w:rStyle w:val="VerbatimChar"/>
        </w:rPr>
        <w:t xml:space="preserve">TERMINATE 1</w:t>
      </w:r>
      <w:r>
        <w:br/>
      </w:r>
      <w:r>
        <w:rPr>
          <w:rStyle w:val="VerbatimChar"/>
        </w:rPr>
        <w:t xml:space="preserve">START 1</w:t>
      </w:r>
    </w:p>
    <w:p>
      <w:pPr>
        <w:pStyle w:val="FirstParagraph"/>
      </w:pPr>
      <w:r>
        <w:t xml:space="preserve">За приоритеты отвечает пятый аргумент генерации заявок.</w:t>
      </w:r>
    </w:p>
    <w:p>
      <w:pPr>
        <w:pStyle w:val="BodyText"/>
      </w:pPr>
      <w:r>
        <w:t xml:space="preserve">После запуска симуляции получаем отчёт (рис. 1).</w:t>
      </w:r>
    </w:p>
    <w:p>
      <w:pPr>
        <w:pStyle w:val="CaptionedFigure"/>
      </w:pPr>
      <w:bookmarkStart w:id="25" w:name="fig:001"/>
      <w:r>
        <w:drawing>
          <wp:inline>
            <wp:extent cx="5334000" cy="6407304"/>
            <wp:effectExtent b="0" l="0" r="0" t="0"/>
            <wp:docPr descr="Рис. 1: Отчёт по модели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6407304"/>
                    </a:xfrm>
                    <a:prstGeom prst="rect">
                      <a:avLst/>
                    </a:prstGeom>
                    <a:noFill/>
                    <a:ln w="9525">
                      <a:noFill/>
                      <a:headEnd/>
                      <a:tailEnd/>
                    </a:ln>
                  </pic:spPr>
                </pic:pic>
              </a:graphicData>
            </a:graphic>
          </wp:inline>
        </w:drawing>
      </w:r>
      <w:bookmarkEnd w:id="25"/>
    </w:p>
    <w:p>
      <w:pPr>
        <w:pStyle w:val="ImageCaption"/>
      </w:pPr>
      <w:r>
        <w:t xml:space="preserve">Рис. 1: Отчёт по модели обслуживания механиков с приоритетами</w:t>
      </w:r>
    </w:p>
    <w:p>
      <w:pPr>
        <w:pStyle w:val="BodyText"/>
      </w:pPr>
      <w:r>
        <w:t xml:space="preserve">Результаты работы модели:</w:t>
      </w:r>
    </w:p>
    <w:p>
      <w:pPr>
        <w:numPr>
          <w:ilvl w:val="0"/>
          <w:numId w:val="1002"/>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4"/>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4"/>
        </w:numPr>
        <w:pStyle w:val="Compact"/>
      </w:pPr>
      <w:r>
        <w:rPr>
          <w:rStyle w:val="VerbatimChar"/>
        </w:rPr>
        <w:t xml:space="preserve">PRI</w:t>
      </w:r>
      <w:r>
        <w:t xml:space="preserve">=1 – следующая заявка с приоритетом 1, то есть первого типа;</w:t>
      </w:r>
    </w:p>
    <w:p>
      <w:pPr>
        <w:numPr>
          <w:ilvl w:val="0"/>
          <w:numId w:val="1004"/>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4"/>
        </w:numPr>
        <w:pStyle w:val="Compact"/>
      </w:pPr>
      <w:r>
        <w:rPr>
          <w:rStyle w:val="VerbatimChar"/>
        </w:rPr>
        <w:t xml:space="preserve">ASSEM</w:t>
      </w:r>
      <w:r>
        <w:t xml:space="preserve">=141 – номер семейства транзактов;</w:t>
      </w:r>
    </w:p>
    <w:p>
      <w:pPr>
        <w:numPr>
          <w:ilvl w:val="0"/>
          <w:numId w:val="1004"/>
        </w:numPr>
        <w:pStyle w:val="Compact"/>
      </w:pPr>
      <w:r>
        <w:rPr>
          <w:rStyle w:val="VerbatimChar"/>
        </w:rPr>
        <w:t xml:space="preserve">CURRENT</w:t>
      </w:r>
      <w:r>
        <w:t xml:space="preserve">=5 – номер блока, в котором находится транзакт;</w:t>
      </w:r>
    </w:p>
    <w:p>
      <w:pPr>
        <w:numPr>
          <w:ilvl w:val="0"/>
          <w:numId w:val="1004"/>
        </w:numPr>
        <w:pStyle w:val="Compact"/>
      </w:pPr>
      <w:r>
        <w:rPr>
          <w:rStyle w:val="VerbatimChar"/>
        </w:rPr>
        <w:t xml:space="preserve">NEXT</w:t>
      </w:r>
      <w:r>
        <w:t xml:space="preserve">=6 – номер блока, в который должен войти транзакт.</w:t>
      </w:r>
    </w:p>
    <w:bookmarkEnd w:id="26"/>
    <w:bookmarkStart w:id="35"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w:t>
      </w:r>
    </w:p>
    <w:p>
      <w:pPr>
        <w:pStyle w:val="SourceCode"/>
      </w:pPr>
      <w:r>
        <w:rPr>
          <w:rStyle w:val="VerbatimChar"/>
        </w:rPr>
        <w:t xml:space="preserve">prch1 STORAGE 6 ; 6 причалов для кораблей 1 типа</w:t>
      </w:r>
      <w:r>
        <w:br/>
      </w:r>
      <w:r>
        <w:rPr>
          <w:rStyle w:val="VerbatimChar"/>
        </w:rPr>
        <w:t xml:space="preserve">prch2 STORAGE 3 ; 3 причала для кораблей 2 типа</w:t>
      </w:r>
      <w:r>
        <w:br/>
      </w:r>
      <w:r>
        <w:rPr>
          <w:rStyle w:val="VerbatimChar"/>
        </w:rPr>
        <w:t xml:space="preserve">buks STORAGE 2 ; 2 буксира</w:t>
      </w:r>
      <w:r>
        <w:br/>
      </w:r>
      <w:r>
        <w:rPr>
          <w:rStyle w:val="VerbatimChar"/>
        </w:rPr>
        <w:t xml:space="preserve">; ships of type 1</w:t>
      </w:r>
      <w:r>
        <w:br/>
      </w:r>
      <w:r>
        <w:rPr>
          <w:rStyle w:val="VerbatimChar"/>
        </w:rPr>
        <w:t xml:space="preserve">GENERATE 130,30 ; подход к порту</w:t>
      </w:r>
      <w:r>
        <w:br/>
      </w:r>
      <w:r>
        <w:rPr>
          <w:rStyle w:val="VerbatimChar"/>
        </w:rPr>
        <w:t xml:space="preserve">QUEUE type1</w:t>
      </w:r>
      <w:r>
        <w:br/>
      </w:r>
      <w:r>
        <w:rPr>
          <w:rStyle w:val="VerbatimChar"/>
        </w:rPr>
        <w:t xml:space="preserve">ENTER prch1 ; получение причала</w:t>
      </w:r>
      <w:r>
        <w:br/>
      </w:r>
      <w:r>
        <w:rPr>
          <w:rStyle w:val="VerbatimChar"/>
        </w:rPr>
        <w:t xml:space="preserve">ENTER buks ; получение буксира</w:t>
      </w:r>
      <w:r>
        <w:br/>
      </w:r>
      <w:r>
        <w:rPr>
          <w:rStyle w:val="VerbatimChar"/>
        </w:rPr>
        <w:t xml:space="preserve">DEPART type1 ;</w:t>
      </w:r>
      <w:r>
        <w:br/>
      </w:r>
      <w:r>
        <w:rPr>
          <w:rStyle w:val="VerbatimChar"/>
        </w:rPr>
        <w:t xml:space="preserve">ADVANCE 30,7 ; буксирование до причала</w:t>
      </w:r>
      <w:r>
        <w:br/>
      </w:r>
      <w:r>
        <w:rPr>
          <w:rStyle w:val="VerbatimChar"/>
        </w:rPr>
        <w:t xml:space="preserve">LEAVE buks ; освобождение буксира</w:t>
      </w:r>
      <w:r>
        <w:br/>
      </w:r>
      <w:r>
        <w:rPr>
          <w:rStyle w:val="VerbatimChar"/>
        </w:rPr>
        <w:t xml:space="preserve">ADVANCE 720,120 ; погрузка / разгрузка</w:t>
      </w:r>
      <w:r>
        <w:br/>
      </w:r>
      <w:r>
        <w:rPr>
          <w:rStyle w:val="VerbatimChar"/>
        </w:rPr>
        <w:t xml:space="preserve">ENTER buks ; получение буксира</w:t>
      </w:r>
      <w:r>
        <w:br/>
      </w:r>
      <w:r>
        <w:rPr>
          <w:rStyle w:val="VerbatimChar"/>
        </w:rPr>
        <w:t xml:space="preserve">LEAVE prch1 ; освобождение причала</w:t>
      </w:r>
      <w:r>
        <w:br/>
      </w:r>
      <w:r>
        <w:rPr>
          <w:rStyle w:val="VerbatimChar"/>
        </w:rPr>
        <w:t xml:space="preserve">ADVANCE 20,5 ; буксирование (отчаливание)</w:t>
      </w:r>
      <w:r>
        <w:br/>
      </w:r>
      <w:r>
        <w:rPr>
          <w:rStyle w:val="VerbatimChar"/>
        </w:rPr>
        <w:t xml:space="preserve">LEAVE buks ; освобождение буксира</w:t>
      </w:r>
      <w:r>
        <w:br/>
      </w:r>
      <w:r>
        <w:rPr>
          <w:rStyle w:val="VerbatimChar"/>
        </w:rPr>
        <w:t xml:space="preserve">TERMINATE</w:t>
      </w:r>
      <w:r>
        <w:br/>
      </w:r>
      <w:r>
        <w:rPr>
          <w:rStyle w:val="VerbatimChar"/>
        </w:rPr>
        <w:t xml:space="preserve">; ships of type 2</w:t>
      </w:r>
      <w:r>
        <w:br/>
      </w:r>
      <w:r>
        <w:rPr>
          <w:rStyle w:val="VerbatimChar"/>
        </w:rPr>
        <w:t xml:space="preserve">GENERATE 390,60 ; подход к порту</w:t>
      </w:r>
      <w:r>
        <w:br/>
      </w:r>
      <w:r>
        <w:rPr>
          <w:rStyle w:val="VerbatimChar"/>
        </w:rPr>
        <w:t xml:space="preserve">QUEUE type2</w:t>
      </w:r>
      <w:r>
        <w:br/>
      </w:r>
      <w:r>
        <w:rPr>
          <w:rStyle w:val="VerbatimChar"/>
        </w:rPr>
        <w:t xml:space="preserve">ENTER prch2 ; получение причала</w:t>
      </w:r>
      <w:r>
        <w:br/>
      </w:r>
      <w:r>
        <w:rPr>
          <w:rStyle w:val="VerbatimChar"/>
        </w:rPr>
        <w:t xml:space="preserve">ENTER buks,2 ; получение 2-х буксиров</w:t>
      </w:r>
      <w:r>
        <w:br/>
      </w:r>
      <w:r>
        <w:rPr>
          <w:rStyle w:val="VerbatimChar"/>
        </w:rPr>
        <w:t xml:space="preserve">DEPART type2 ;</w:t>
      </w:r>
      <w:r>
        <w:br/>
      </w:r>
      <w:r>
        <w:rPr>
          <w:rStyle w:val="VerbatimChar"/>
        </w:rPr>
        <w:t xml:space="preserve">ADVANCE 45,12 ; буксирование до причала</w:t>
      </w:r>
      <w:r>
        <w:br/>
      </w:r>
      <w:r>
        <w:rPr>
          <w:rStyle w:val="VerbatimChar"/>
        </w:rPr>
        <w:t xml:space="preserve">LEAVE buks,2 ; освобождение буксиров</w:t>
      </w:r>
      <w:r>
        <w:br/>
      </w:r>
      <w:r>
        <w:rPr>
          <w:rStyle w:val="VerbatimChar"/>
        </w:rPr>
        <w:t xml:space="preserve">ADVANCE 1080,240; погрузка / разгрузка</w:t>
      </w:r>
      <w:r>
        <w:br/>
      </w:r>
      <w:r>
        <w:rPr>
          <w:rStyle w:val="VerbatimChar"/>
        </w:rPr>
        <w:t xml:space="preserve">ENTER buks,2 ; получение 2-х буксиров</w:t>
      </w:r>
      <w:r>
        <w:br/>
      </w:r>
      <w:r>
        <w:rPr>
          <w:rStyle w:val="VerbatimChar"/>
        </w:rPr>
        <w:t xml:space="preserve">LEAVE prch2 ; освобождение причала</w:t>
      </w:r>
      <w:r>
        <w:br/>
      </w:r>
      <w:r>
        <w:rPr>
          <w:rStyle w:val="VerbatimChar"/>
        </w:rPr>
        <w:t xml:space="preserve">ADVANCE 35,10 ; буксирование (отчаливание)</w:t>
      </w:r>
      <w:r>
        <w:br/>
      </w:r>
      <w:r>
        <w:rPr>
          <w:rStyle w:val="VerbatimChar"/>
        </w:rPr>
        <w:t xml:space="preserve">LEAVE buks,2 ; освобождение буксира</w:t>
      </w:r>
      <w:r>
        <w:br/>
      </w:r>
      <w:r>
        <w:rPr>
          <w:rStyle w:val="VerbatimChar"/>
        </w:rPr>
        <w:t xml:space="preserve">TERMINATE 0</w:t>
      </w:r>
      <w:r>
        <w:br/>
      </w:r>
      <w:r>
        <w:rPr>
          <w:rStyle w:val="VerbatimChar"/>
        </w:rPr>
        <w:t xml:space="preserve">;timer</w:t>
      </w:r>
      <w:r>
        <w:br/>
      </w:r>
      <w:r>
        <w:rPr>
          <w:rStyle w:val="VerbatimChar"/>
        </w:rPr>
        <w:t xml:space="preserve">GENERATE 480 ; 8 часов рабочего дня</w:t>
      </w:r>
      <w:r>
        <w:br/>
      </w:r>
      <w:r>
        <w:rPr>
          <w:rStyle w:val="VerbatimChar"/>
        </w:rPr>
        <w:t xml:space="preserve">TERMINATE 1</w:t>
      </w:r>
      <w:r>
        <w:br/>
      </w:r>
      <w:r>
        <w:rPr>
          <w:rStyle w:val="VerbatimChar"/>
        </w:rPr>
        <w:t xml:space="preserve">START 365 ; число дней моделирования</w:t>
      </w:r>
    </w:p>
    <w:p>
      <w:pPr>
        <w:pStyle w:val="FirstParagraph"/>
      </w:pPr>
      <w:r>
        <w:t xml:space="preserve">Получим отчет по симуляции (рис. 2, 3).</w:t>
      </w:r>
    </w:p>
    <w:p>
      <w:pPr>
        <w:pStyle w:val="CaptionedFigure"/>
      </w:pPr>
      <w:bookmarkStart w:id="30" w:name="fig:002"/>
      <w:r>
        <w:drawing>
          <wp:inline>
            <wp:extent cx="5334000" cy="6407304"/>
            <wp:effectExtent b="0" l="0" r="0" t="0"/>
            <wp:docPr descr="Рис. 2: Отчёт по модели обслуживания в порту судов двух типов"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6407304"/>
                    </a:xfrm>
                    <a:prstGeom prst="rect">
                      <a:avLst/>
                    </a:prstGeom>
                    <a:noFill/>
                    <a:ln w="9525">
                      <a:noFill/>
                      <a:headEnd/>
                      <a:tailEnd/>
                    </a:ln>
                  </pic:spPr>
                </pic:pic>
              </a:graphicData>
            </a:graphic>
          </wp:inline>
        </w:drawing>
      </w:r>
      <w:bookmarkEnd w:id="30"/>
    </w:p>
    <w:p>
      <w:pPr>
        <w:pStyle w:val="ImageCaption"/>
      </w:pPr>
      <w:r>
        <w:t xml:space="preserve">Рис. 2: Отчёт по модели обслуживания в порту судов двух типов</w:t>
      </w:r>
    </w:p>
    <w:p>
      <w:pPr>
        <w:pStyle w:val="CaptionedFigure"/>
      </w:pPr>
      <w:bookmarkStart w:id="34" w:name="fig:003"/>
      <w:r>
        <w:drawing>
          <wp:inline>
            <wp:extent cx="5334000" cy="3251657"/>
            <wp:effectExtent b="0" l="0" r="0" t="0"/>
            <wp:docPr descr="Рис. 3: Отчёт по модели обслуживания в порту судов двух типов"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251657"/>
                    </a:xfrm>
                    <a:prstGeom prst="rect">
                      <a:avLst/>
                    </a:prstGeom>
                    <a:noFill/>
                    <a:ln w="9525">
                      <a:noFill/>
                      <a:headEnd/>
                      <a:tailEnd/>
                    </a:ln>
                  </pic:spPr>
                </pic:pic>
              </a:graphicData>
            </a:graphic>
          </wp:inline>
        </w:drawing>
      </w:r>
      <w:bookmarkEnd w:id="34"/>
    </w:p>
    <w:p>
      <w:pPr>
        <w:pStyle w:val="ImageCaption"/>
      </w:pPr>
      <w:r>
        <w:t xml:space="preserve">Рис. 3: Отчёт по модели обслуживания в порту судов двух типов</w:t>
      </w:r>
    </w:p>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5"/>
    <w:bookmarkEnd w:id="36"/>
    <w:bookmarkStart w:id="37"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7"/>
        </w:numPr>
        <w:pStyle w:val="Compact"/>
      </w:pPr>
      <w:r>
        <w:t xml:space="preserve">Модель обслуживания механиков на складе;</w:t>
      </w:r>
    </w:p>
    <w:p>
      <w:pPr>
        <w:numPr>
          <w:ilvl w:val="0"/>
          <w:numId w:val="1007"/>
        </w:numPr>
        <w:pStyle w:val="Compact"/>
      </w:pPr>
      <w:r>
        <w:t xml:space="preserve">Модель обслуживания в порту судов двух типов.</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Клюкин Михаил Александрович</dc:creator>
  <dc:language>ru-RU</dc:language>
  <cp:keywords/>
  <dcterms:created xsi:type="dcterms:W3CDTF">2025-05-17T17:36:15Z</dcterms:created>
  <dcterms:modified xsi:type="dcterms:W3CDTF">2025-05-17T17:36:15Z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Модели обслуживания с приоритетами</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