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corp-crm</w:t>
      </w:r>
    </w:p>
    <w:p>
      <w:pPr>
        <w:jc w:val="center"/>
      </w:pPr>
      <w:r>
        <w:rPr>
          <w:color w:val="6B6B6B"/>
          <w:sz w:val="28"/>
        </w:rPr>
        <w:t>Profile: corp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alz-lz-corp-crm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&lt;SUB-6-ID&gt;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22:47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'corp-crm' landing zone deployed to subscription 'alz-lz-corp-crm' in southcentralus. This landing zone provides internal corporate workloads with private connectivity, ExpressRoute peering, and on-prem DNS integration.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corp-crm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corp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alz-lz-corp-crm (&lt;SUB-6-ID&gt;)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corp-crm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Corp CIDR 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App, Data, Shared Services, Private Endpoints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deny-all-inbound baseline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Storage Account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Corp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Shared Services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Private Endpoints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10.2.4.0/26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Hub Private DNS Zones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Application 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Recovery Services Vault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RPO: 24h / RTO: 4h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Soft delete + purge protection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Automatic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GRS replication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Automatic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