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web-portal</w:t>
      </w:r>
    </w:p>
    <w:p>
      <w:pPr>
        <w:jc w:val="center"/>
      </w:pPr>
      <w:r>
        <w:rPr>
          <w:color w:val="6B6B6B"/>
          <w:sz w:val="28"/>
        </w:rPr>
        <w:t>Profile: online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alz-lz-online-web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&lt;SUB-7-ID&gt;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2026-04-17 22:47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'web-portal' landing zone deployed to subscription 'alz-lz-online-web' in southcentralus. This landing zone provides internet-facing workloads with WAF, DDoS Standard, and public endpoint protection.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web-portal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online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alz-lz-online-web (&lt;SUB-7-ID&gt;)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southcentralus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web-portal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(Spoke)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Online CIDR 10.1.0.0/16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Subnets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Web, App, Data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WAF Policy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OWASP 3.2 ruleset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DDoS Protection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Standard (inherited from hub)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NSGs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Per-subnet rules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Policy Assignments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10+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Online baseline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uses a spoke virtual network peered to the central hub in the Connectivity subscription. All egress traffic routes through Azure Firewall. DNS resolution uses the hub's Private DNS 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Spoke 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10.1.0.0/16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Web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10.1.1.0/24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App Subnet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10.1.2.0/24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Data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10.1.3.0/24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Hub Peering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Active — routes to Azure Firewall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DDoS Protection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Standard (shared plan)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AppServices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$25,000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IaC Templates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repository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Configuration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subscriptions.json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Minutes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