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Artificial intelligence drives energy savings in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2026 Wednesday</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Software developed by researchers at Penn State promises to reduce energy consumption for cooling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-one of the world's largest sources of electricity demand-by up to 25%. This innovation uses artificial intelligence to adjust energy usage based on real-time climate and economic variables, which could transform both the efficiency and profitability of these facilities, according to the technology news outlet TechXplore.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cooling accounts for approximately 40%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total electricity consumption, a proportion that has a direct impact on operating costs and the industry's environmental footprint. Wangda Zuo, a professor of architectural engineering at Penn State and lead author of the study, explained that these facilities must contend with extreme environmental conditions, such as high temperatures, alongside volatility in electricity prices and cryptocurrencies like Bitcoin. This significantly narrows the windows of profitability for those operating these centers.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 Viswanathan Ganesh, a doctoral student and first author of the paper to be presented at the IEEE ITherm international conference in Orlando, noted that many current solutions, including those based on artificial intelligence, require extensive amounts of data for training and struggle to adapt to unprecedented situations.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 State software addresses this limitation through a reinforcement learning model informed by physical principles, which allows for the analysis of dynamic adjustments without deviating from industry safety standards.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Simulation, Validation, and Results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 solution to the problem is a system capable of simulating a digital twin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using this virtual environment to train an artificial intelligence agent that recommends optimal cooling adjustments based on local climate, humidity, and economic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validate their proposal, the researchers conducted a simulation using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located in Houston, Texas, a region characterized by high heat and humidity. Based on these tests, the new approach enabled a trained agent to reduce cooling energy consumption by more than 24% and, furthermore, allowed the profitability of Bitcoin mining operations to exceed 8% during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highlighted that this model is "easily integrable" into any commercial-scale mining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within the United States, as it can evaluate and adapt cooling recommendations based on the current price of the cryptocurrency. By 2024, there will be more than 100 commercial Bitcoin mining facilities in the country, a sector that has grown into a multi-billion-dollar industry, Zuo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noted that one of the novelties of this approach lies in the fact that, traditionally,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operating costs and revenue from cryptocurrency mining were managed separately, according to the tech outlet. Now, by optimizing both elements simultaneously, it is possible to "improve profitability, reduce energy consumption, and lessen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solution garnered commercial interest through its adoption at Alerify,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located in Harrisburg, via the tech startup Glacian Technologies Inc., co-founded by the professor himself.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Potential for Expansion and Applications in Other Industries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presented development is based on the creation of a virtual environment that uses "physics-informed models" to meet recommended standards for temperature and humidity, ensuring hardware safety without excessive energy consumption. Researcher Ganesh explained that the algorithms account for the operational limits of each cooling component and that static requirements are safely incorporated into the dynamic control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energy savings, the cross-cutting potential of this method stands out. Zuo stated that, although the primary application target was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software architecture constitutes a "highly generic framework and could be used to improve cooling efficiency in commercial buildings across various industries."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validation of this model, which combines virtual simulation, machine learning, and adaptation to fluctuating prices, heralds a significant advancement for any energy-intensive industry sensitive to local climatic and economic factors. With tests conducted in critical temperature scenarios, the proposed architecture offers a platform that enables automatic real-time adjustments, with room to expand its impact to new markets and applications in the short term.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(94%);  ENERGY CONSUMPTION (91%);  ENERGY &amp; ENVIRONMENT (90%);  ARTIFICIAL INTELLIGENCE (90%);  ENERGY DEVELOPMENT PROGRAMS (90%);  ENERGY DEMAND (90%);  CONSUMPTION (90%);  SOFTWARE SERVICES &amp; APPLICATIONS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DIGITAL CURRENCY (89%);  TECHNOLOGY (89%);  CRYPTOCURRENCY (89%);  COMPANY PROFITS (89%);  ENVIRONMENT &amp; NATURAL RESOURCES (89%);  CRYPTO ASSETS (88%);  INFORMATION TECHNOLOGY INDUSTRY (79%);  INNOVATION (79%);  BUSINESS NEWS (78%);  ENERGY PRICES (78%);  ENVIRONMENTAL FOOTPRINT (78%);  ENVIRONMENTAL RESEARCH (78%);  TECHNOLOGY &amp; ENVIRONMENT (78%);  ARTIFICIAL INTELLIGENCE &amp; ENVIRONMENT (78%);  RESEARCH REPORTS (78%);  PRICES (78%);  ENERGY &amp; UTILITY SECTOR PERFORMANCE (78%);  ENGINEERING (78%);  DIGITAL TWIN (77%);  ELECTRICITY PRICES (77%);  ECONOMIC CONDITIONS (77%);  ELECTRICITY TRANSMISSION &amp; DISTRIBUTION (77%);  MINING &amp; ENVIRONMENT (75%);  MINE OPERATIONS (75%);  POLLUTION &amp; ENVIRONMENTAL IMPACTS (75%);  CONFERENCES &amp; CONVENTIONS (73%);  INTELLIGENCE SERVICES (72%);  BUSINESS OPERATIONS (71%);  COLLEGE &amp; UNIVERSITY PROFESSORS (69%);  ARCHITECTURAL SERVICES (69%);  DIGITAL ASSET MANAGEMENT (68%);  STANDARDS &amp; MEASUREMENTS (67%);  LEARNING THEORIES (67%);  SAFETY STANDARDS (66%);  MINING &amp; EXTRACTION SECTOR PERFORMANCE (66%);  MINING &amp; EXTRACTION (61%);  MINES &amp; MINING (61%);  ECONOMIC NEWS (50%); COMPANY PROFITS (89%); CONFERENCES &amp; CONVENTIONS (73%); ENERGY PRICES (78%); ENERGY DEVELOPMENT PROGRAMS (90%); ENVIRONMENTAL RESEARCH (78%); ENERGY DEMAND (90%); TECHNOLOGY (89%); BUSINESS OPERATIONS (71%); ENERGY &amp; ENVIRONMENT (90%); ENVIRONMENT &amp; NATURAL RESOURCES (89%); CRYPTOCURRENCY (89%); STANDARDS &amp; MEASUREMENTS (67%); ARTIFICIAL INTELLIGENCE &amp; ENVIRONMENT (78%); ECONOMIC CONDITIONS (77%); PRICES (78%); ELECTRICITY PRICES (77%); LEARNING THEORIES (67%); ENERGY &amp; UTILITY SECTOR PERFORMANCE (78%); SAFETY STANDARDS (66%); RESEARCH REPORTS (78%); ENVIRONMENTAL FOOTPRINT (78%); ENGINEERING (78%); TECHNOLOGY &amp; ENVIRONMENT (78%); DIGITAL CURRENCY (89%); MINING &amp; ENVIRONMENT (75%); DIGITAL TWIN (77%); CONSUMPTION (91%); INNOVATION (79%); MINING &amp; EXTRACTION SECTOR PERFORMANCE (66%); INTELLIGENCE SERVICES (72%); ECONOMIC NEWS (50%); ARTIFICIAL INTELLIGENCE (93%); ARCHITECTURAL SERVICES (69%); BUSINESS NEWS (78%); COLLEGE &amp; UNIVERSITY PROFESSORS (69%); POLLUTION &amp; ENVIRONMENTAL IMPACTS (75%); tecno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(78%); ENERGY DEVELOPMENT PROGRAMS (90%); CRYPTO ASSETS (88%);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(90%); ARCHITECTURE, DESIGN &amp; ENGINEERING (70%); ENERGY &amp; ENVIRONMENT (90%); CRYPTOCURRENCY (89%); SOFTWARE SERVICES &amp; APPLICATIONS (90%); ENERGY &amp; UTILITIES (94%); MINING &amp; EXTRACTION (61%); ARTIFICIAL INTELLIGENCE &amp; ENVIRONMENT (78%); MINES &amp; MINING (61%); ENERGY CONSUMPTION (92%); ELECTRICITY PRICES (77%); ENERGY &amp; UTILITY SECTOR PERFORMANCE (78%); DIGITAL ASSET MANAGEMENT (68%); INFORMATION TECHNOLOGY INDUSTRY (79%); MINE OPERATIONS (75%); ENGINEERING (78%); DIGITAL CURRENCY (89%); MINING &amp; ENVIRONMENT (75%); DIGITAL TWIN (77%); MINING &amp; EXTRACTION SECTOR PERFORMANCE (66%); ARTIFICIAL INTELLIGENCE (93%); ARCHITECTURAL SERVICES (69%); COLLEGE &amp; UNIVERSITY PROFESSORS (69%); ELECTRICITY TRANSMISSION &amp; DISTRIBUTION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(79%);  HARRISBURG, PA, USA (73%);  HOUSTON, TX, USA (68%); ORLANDO, FL, USA (79%); HOUSTON, TX, USA (68%); HARRISBURG, PA, USA (73%);  PENNSYLVANIA, USA (93%);  TEXAS, USA (79%);  FLORIDA, USA (79%); TEXAS, USA (79%); PENNSYLVANIA, USA (96%);  UNITED STATES (93%);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Artificial intelligence drives energy savings in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drives energy savings in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