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Carbondale adopts standards for </w:t>
      </w:r>
      <w:r>
        <w:rPr>
          <w:rFonts w:ascii="arial" w:eastAsia="arial" w:hAnsi="arial" w:cs="arial"/>
          <w:b/>
          <w:i w:val="0"/>
          <w:strike w:val="0"/>
          <w:noProof w:val="0"/>
          <w:color w:val="000000"/>
          <w:position w:val="0"/>
          <w:sz w:val="28"/>
          <w:u w:val="none"/>
          <w:vertAlign w:val="baseline"/>
        </w:rPr>
        <w:t>data centers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Times-Tribune (Scranton, Pennsylvania)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19, 2026 Thursday</w:t>
      </w:r>
    </w:p>
    <w:p>
      <w:pPr>
        <w:keepNext w:val="0"/>
        <w:spacing w:after="0" w:line="240" w:lineRule="atLeast"/>
        <w:ind w:right="0"/>
        <w:jc w:val="both"/>
      </w:pPr>
      <w:bookmarkStart w:id="0" w:name="Bookmark_3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Times-Tribune (Scranton, Pa.)</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Frank Lesnefsky, The Times-Tribune, Scranton, Pa.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Carbondale preemptively adopted regulations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this week, joining a growing number of Lackawanna County communities to manage the rapidly expanding industry through zoning.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Council voted 6-0 to adopt an ordinance Tuesday night amending Carbondale’s zoning to address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though the city has yet to receive a proposal from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Mayor Michele Bannon said Wednesday. Councilman Joseph Connor was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doing it to be proactive to ensure that the city has legislation in place if there is a need for that,” Bannon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Carbondale is now the second Upvalley community and at least the eighth municipality in Lackawanna County to adopt zoning standards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addition to its Upvalley neighbor in Mayfield, Carbondale joins Archbald, Blakely, Clifton Twp., Covington Twp., Dickson City and Jessup to adopt legislation that defines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related uses, regulates them by establishing specific conditions necessary for their approval, and restricts where developers can construct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Municipalities in Pennsylvania are required to allow for every type of lawful land use somewhere within their borders, from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landfills to strip clubs, and failing to do so could open towns up to legal challenges.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adopting zoning standards before receiving any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applications, local governments retain more control over future developments. So far, every town to approve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zoning has designated them either as conditional uses or, in Carbondale’s case, special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Conditional uses and special exceptions similarly establish additional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-specific zoning standards that developers must adhere to while also requiring special approval for any project. In both cases, developers must apply with a municipality and attend a public hearing to speak about their projects, giving residents the opportunity to ask questions and testify to support or oppose an application, with the key difference being who actually approves or denies a proposal. Conditional uses go through councils or township supervisors, while zoning hearing boards grant special exceptions.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only Carbondale and Dickson City have designated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special exceptions, with other communities using conditional 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meeting had a larger-than-normal turnout, Bannon said, attributing it to news of the ordinance allowing for nuclear power with special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explained to them through that, that if they’re not going on the grid, they would be able to use the nuclear power that way,” the mayor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municipalities have largely banned on-site power generation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only allowing backup generators, Carbondale and Covington Twp. provide zoning standards for small modular reactors, or SMRs, which Carbondale’s zoning defines 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small nuclear fission reactor designed to be manufactured off-site and installed at a location to provide energy to buildings or commercial operations. SMR designs may include pressurized water, Generation IV, thermal-neutron, fast-neutron, molten-salt, and gas-cooled reactor models. An SMR must be fully licensed and permitted by the Nuclear Regulatory Commission (NRC) and may only be considered by Special Exception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technology is still under licensing review by the Nuclear Regulatory Commission and will likely be deployed in the late 2020s to early 2030s, according to the U.S. Department of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Carbondale officials saw that power is a significant issue with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the ordinance is “just making sure that we had our i’s dotted and t’s crossed on that,” Bannon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ordinance designates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as special exceptions in the city’s light industrial, heavy industrial and interchange activity center zones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Carbondale’s southwest corner, continuing north along Brooklyn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Between Cottage Street and Gordon Avenue.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Around North Scott Street, Apple Avenue, Clidco Drive and Dundaff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industrial park surrounding Enterprise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Requirements in the ordinance include providing letters from water, electric and sewer utilities confirming they can adequately 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 mandatory raw water needs analysis and water feasibility study estimating the impact on wells within 1,000 feet of property lines; conducting preliminary, interim and as-built sound studies as well as a vibration study showing no vibrations extend beyond property lines; and submitting decommissioning plans addressing e-waste and hazardous materials, among other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Carbondale officials were able to draw from the experience of other municipalities that already regulated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Bannon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doesn’t matter how big the company is as long as we have a use class and we follow the rules and we do what we’re supposed to do as a municipality — to protect our residents and to have fair and equitable land uses,” she said. “That’s what we’re all about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The Times-Tribune (Scranton, Pa.). Visit thetimes-tribune.com.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YT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20260219-YT-Carbondale-adopts-standards-</w:t>
      </w:r>
      <w:r>
        <w:rPr>
          <w:rFonts w:ascii="arial" w:eastAsia="arial" w:hAnsi="arial" w:cs="arial"/>
          <w:b/>
          <w:i/>
          <w:strike w:val="0"/>
          <w:noProof w:val="0"/>
          <w:color w:val="000000"/>
          <w:position w:val="0"/>
          <w:sz w:val="20"/>
          <w:u w:val="single"/>
          <w:vertAlign w:val="baseline"/>
        </w:rPr>
        <w:t>data-centers</w:t>
      </w:r>
      <w:r>
        <w:rPr>
          <w:rFonts w:ascii="arial" w:eastAsia="arial" w:hAnsi="arial" w:cs="arial"/>
          <w:b w:val="0"/>
          <w:i w:val="0"/>
          <w:strike w:val="0"/>
          <w:noProof w:val="0"/>
          <w:color w:val="000000"/>
          <w:position w:val="0"/>
          <w:sz w:val="20"/>
          <w:u w:val="none"/>
          <w:vertAlign w:val="baseline"/>
        </w:rPr>
        <w:t>-0219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LEGISLATION (90%);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GOVERNANCE &amp; STEWARDSHIP (90%);  ORDINANCES (90%);  CITY GOVERNMENT (90%);  ZONING (90%);  MAYORS (89%);  APPROVALS (89%);  ENERGY &amp; UTILITIES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NUCLEAR ENERGY (87%);  NUCLEAR POWER PLANTS (84%);  BUSINESS OPERATIONS (78%);  LEGISLATIVE BODIES (78%);  LAND USE &amp; DEVELOPMENT (78%);  REGIONAL &amp; LOCAL GOVERNMENTS (78%);  GOVERNMENT &amp; PUBLIC ADMINISTRATION (78%);  PUBLIC HEARINGS (78%);  GOVERNMENT BODIES &amp; OFFICES (76%);  SEX INDUSTRY (73%);  LAW &amp; LEGAL SYSTEM (73%);  ELECTRIC POWER PLANTS (68%);  LANDFILLS (51%);  STRIP CLUBS (51%); ZONING (90%); GOVERNMENT &amp; PUBLIC ADMINISTRATION (78%); LAW &amp; LEGAL SYSTEM (73%); MAYORS (89%); BUSINESS OPERATIONS (78%); PUBLIC HEARINGS (78%); CITY GOVERNMENT (90%); LAND USE &amp; DEVELOPMENT (78%); GOVERNMENT BODIES &amp; OFFICES (76%); LANDFILLS (52%); ORDINANCES (90%); LEGISLATION (90%); APPROVALS (89%); REGIONAL &amp; LOCAL GOVERNMENTS (78%); LEGISLATIVE BODIES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ZONING (90%); NUCLEAR POWER PLANTS (84%);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SEX INDUSTRY (73%); STRIP CLUBS (52%); </w:t>
      </w:r>
      <w:r>
        <w:rPr>
          <w:rFonts w:ascii="arial" w:eastAsia="arial" w:hAnsi="arial" w:cs="arial"/>
          <w:b/>
          <w:i/>
          <w:strike w:val="0"/>
          <w:noProof w:val="0"/>
          <w:color w:val="000000"/>
          <w:position w:val="0"/>
          <w:sz w:val="20"/>
          <w:u w:val="single"/>
          <w:vertAlign w:val="baseline"/>
        </w:rPr>
        <w:t>DATA</w:t>
      </w:r>
      <w:r>
        <w:rPr>
          <w:rFonts w:ascii="arial" w:eastAsia="arial" w:hAnsi="arial" w:cs="arial"/>
          <w:b w:val="0"/>
          <w:i w:val="0"/>
          <w:strike w:val="0"/>
          <w:noProof w:val="0"/>
          <w:color w:val="000000"/>
          <w:position w:val="0"/>
          <w:sz w:val="20"/>
          <w:u w:val="none"/>
          <w:vertAlign w:val="baseline"/>
        </w:rPr>
        <w:t xml:space="preserve"> GOVERNANCE &amp; STEWARDSHIP (90%); ELECTRIC POWER PLANTS (69%); ENERGY &amp; UTILITIES (89%); LANDFILLS (52%); NUCLEAR ENERGY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 PENNSYLVANIA, USA (79%);  UNITED STATES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20,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Carbondale adopts standards for data centers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Carbondale adopts standards for data centers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