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tax break exposes flawed incentive strategy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Cleveland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0.9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 Vol. 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Ohio Tax Credit Authority's recent decision to award a $4.5 million tax credit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backed by The Carlyle Group should prompt a broader consideration of just how Ohio defines meaningful "economic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generous public resources are deployed for projects that yield only marginal public benefit, it's not just a questionable investment - it's a misalignment of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Credit Authority generally does good work and is, on balance, a plus for the state. But it flopped with aiding a $136 million expansion of Ark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facilities in Akron and Independence.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on their face, are stark: $4.5 million in tax incentives in exchange for just 10 new jobs. It's not a cash subsidy; the tax break is a 50% sales tax exemption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equipment over 10 years. Even so, the subsidy amounts to $450,000 per job - a figure that raises eyebrows in any context, let alone when the recipient is a global private equity firm managing hundreds of billions in assets.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U.S. Sen. Bernie Moreno, a Republican, put it in a March 16 letter to Carlyle Group criticizing the deal, "That's not economic development; that's a sweetheart deal for Wall Street while everyday Ohioans are forced to foot the bill." (The letter was first reported by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difficult to argue otherwise. The promise of job creation has long been the central justification for public subsidies. But when the return is so relatively meager, the rationale collapses.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argument against business investment in Ohio. Companies choosing to expand in the state should be welcomed. And like it or not, public assistance, in the form of tax credits, is a valuable tool as Ohio competes with other states for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Matt Dolan, the chief executive officer of economic development organization Team NEO, told Cleveland.com that the tax credit was vital to Ark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choosing Ohio for the expansion, and that without it, the company would have moved its existing facilities - it has two in Akron, and one each in Independence and Canton - out of the state, too. And this project, like all that receive state tax credits, does support spending that helps other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difference between fostering a competitive business climate and writing checks to corporations that have little (or no) real need for public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Carlyle Group, with about $477 billion in assets under management, is not a startup struggling to get off the ground. It is precisely the kind of entity that should be able to finance its own expansion without tapping into taxpayer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Moreno's critique also underscores a deeper issue: the opportunity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 million allocated to this project could have been invested in schools, or infrastructure, or targeted workforce development programs that yield broader and more lasting benefits. Public dollars are finite, and every subsidy carries a tradeoff. In this case, the tradeoff appears lopsided.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concerns extend beyond job creation.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while often touted as engines of the digital economy, present unique challenges that complicate their value proposition. Chief among them is energy consumption. These facilities - currently numbering about 200 in Ohio - require enormous amounts of electricity, placing additional strain on local power grids. Without proper safeguards, those costs often are passed along to ratepayers - meaning households and small businesses effectively subsidize not only the tax break, but also the infrastructure needed to support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again, Moreno's warning is worth heeding. He points to the importance of the "Ratepayer Protection Pledge," an initiative announced March 4 by President Donald Trump that calls for companies to bear the full cost of their energy use and related infrastructure. The idea is simple: if a project is profitable, it should stand on its own merits, not rely on hidden subsidies embedded in utility bills. (An Ark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spokesperson told Axios that the company's Ohio facilities are not "hyperscale operators" like Meta or Google, and that, therefore, a call to sign Trump's ratepayer protection pledge is not applicable.)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episode raises a fundamental question: Shouldn't Ohio demand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state is going to offer incentives, it should insist on robust job creation targets and guarantees that infrastructure costs will not be shifted onto the public. Instead, this deal appears to offer benefits to the company, with limited upside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broader pattern is troubling. Across the country, states are engaged in a race to attract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often competing to offer the most lucrative incentives. But this competition risks becoming a race to the bottom, where public resources are deployed with diminishing returns. Ohio should not follow that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Moreno's call for The Carlyle Group to voluntarily forgo the subsidy may be aspirational, but it highlights an essential point: This deal is not inevitable. It is the result of policy choices - choices that can and should be reconsidered.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development should be about building a stronger, more inclusive economy. That means prioritizing investments that create meaningful employment, support communities and deliver a clear return on public dollars. A $4.5 million subsidy for 10 jobs fails that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taxpayers deserve better than symbolic job creation and opaque cost-shifting. They deserve policies that reflect both fiscal responsibility and a genuine commitment to shared prosperity. Until that standard is met, deals like this one will continue to erode public trust.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 CREDITS (91%);  TAX BREAKS (91%);  BUSINESS NEWS (90%);  TAX RELIEF (90%);  TAX LAW (90%);  TAXES &amp; TAXATION (90%);  TAX INCENTIVES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TAX AVOIDANCE (90%);  ECONOMIC DEVELOPMENT (89%);  INCOME ASSISTANCE (89%);  ECONOMIC NEWS (89%);  INTERNATIONAL ECONOMIC DEVELOPMENT (89%);  JOB CREATION (78%);  LOCAL &amp; STATE TAXES (78%);  SALES TAX (78%);  US STATE GOVERNMENT (78%);  PRIVATE EQUITY (76%);  ASSET MANAGEMENT (76%);  NEW MANUFACTURING FACILITIES (76%);  EMPLOYMENT GROWTH (75%);  TAX EXEMPTIONS (73%);  GOVERNMENT GRANTS &amp; SUBSIDIES (73%);  ASSOCIATIONS &amp; ORGANIZATIONS (73%);  EQUITIES (71%);  EXECUTIVES (67%);  US CONGRESS (66%);  BUSINESS CLIMATE &amp; CONDITIONS (63%); TAX AVOIDANCE (90%); JOB CREATION (78%); TAX INCENTIVES (90%); EQUITIES (71%); ASSOCIATIONS &amp; ORGANIZATIONS (72%); TAX EXEMPTIONS (73%); BUSINESS CLIMATE &amp; CONDITIONS (63%); EXECUTIVES (66%); LOCAL &amp; STATE TAXES (78%); TAX RELIEF (90%); ECONOMIC NEWS (89%); SALES TAX (78%); TAXES &amp; TAXATION (90%); PRIVATE EQUITY (76%); TAX CREDITS (96%); PRIVATELY HELD COMPANIES (74%); INCOME ASSISTANCE (89%); US STATE GOVERNMENT (78%); TAX LAW (91%); BUSINESS NEWS (90%); US CONGRESS (66%); ECONOMIC DEVELOPMENT (89%); NEW MANUFACTURING FACILITIES (76%); GOVERNMENT GRANTS &amp; SUBSIDIES (73%); TAX BREAKS (92%); EMPLOYMENT GROWTH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CARLYLE GROUP INC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CG (NASDAQ)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NAICS551112 OFFICES OF OTHER HOLDING COMPANIES (85%); SIC6799 INVESTORS, NEC (85%); ASSET MANAGEMENT (76%); EQUITIES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PRIVATE EQUITY (76%); NEW MANUFACTURING FACILITIES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BERNIE MORENO (78%); BERNIE MORENO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CLEVELAND, OH, USA (79%);  AKRON, OH, USA (73%); AKRON, OH, USA (73%); CLEVELAND, OH, USA (79%);  OHIO, USA (94%); OHIO, USA (99%);  UNITED STATES (94%);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tax break exposes flawed incentive strategy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tax break exposes flawed incentive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