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Despite no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plans, Carroll leaders draft moratorium on building them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2026 Friday</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Baltimore Sun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Lily Carey, Baltimore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developers have applied for a permit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Carroll County. Still, the Board of Carroll County Commissioners voted Thursday to draft a deferral ordinance that would place a temporary moratorium on any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commissioners said a deferral would give them time to review the county's zoning codes and ensure that Carroll has a way to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one is imminent, I'm not sure the the moratorium is necessary, but it's always prudent to get one in place while you actually do some studies," County Attorney Timothy Burke told the commissioners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ordinance comes amid ongoing discussion of how the growing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impacted issues such as Maryland's energy supply and the proposed Maryland Piedmont Reliability Project.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provide considerable economic benefits to counties where they are located, according to a study by the Joint Legislative Audit and Review Commission of the state of Virginia. The study also found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also consume large amounts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neighboring Frederick County has been met with intense opposition from residents. However, a study released in the fall estimates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near Adamstown — if fully built out — would generate about $215 million annually for Frederick County starting in 2036.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2,100-acre planned Quantum Frederick project encompasses 17.4 million square feet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built over three phases through 2035. Catellus Development Corporation is leading the site’s development, and two companies — Rowan Digital Infrastructure and Aligned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are currently developing centers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were to apply for a permit from Carroll County's development review office, it would be classified as a warehouse. Commissioner Tom Gordon, who brought up the topic at Thursday's meeting, said he has spoken with Commissioner Joseph Vigliotti about establishing a separate section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county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know,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tremendous, and what they cost us [in terms of] water usage, which anyone that lives in Carroll County for any significant amount of time knows that's a huge challenge," Gordon said. "Power demands, infrastructure strains, unlimited jobs, land use impact, noise and visual impacts, environmental concerns, traffic. I can go on and on, but there's the short answer of what we're looking at, challenge-wise."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commissioners recently approved four similar deferral ordinances that addressed development in the Freedom District, and county staff suggested that they model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deferral off these. The potential deferral would face a public hearing before being voted on for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not want them to be allowable unless we have a thoughtful process," said Commissioner Susan Krebs, who represents southern Carroll, including the Freedom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Taneytown is also looking into introducing local zoning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While the city recently got an inquiry from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about the city's regulations for them, no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actually applied to be built in the city limits. Similar to the county, Taneytown's zoning code does not address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Mayor Chris Miller said he plans to introduce legislation on the topic to the City Council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news tip? Contact Lily Carey at LCarey@baltsun.com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Baltimore Sun. Visit baltimoresun.com.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20260116-BZ-DESPITE-NO-</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-PLANS-CARROLL-LEADERS-DRAFT-20260116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ZONING (78%); RESEARCH REPORTS (90%); BUILDING PERMITS (89%); COUNTY GOVERNMENT (91%); LICENSES &amp; PERMITS (89%); ENERGY DEMAND (74%); COUNTIES (91%); PUBLIC HEARINGS (78%); REAL PROPERTY LAW (77%); LAND USE &amp; DEVELOPMENT (78%); ENVIRONMENT &amp; NATURAL RESOURCES (60%); TALKS &amp; MEETINGS (89%); ORDINANCES (90%); APPROVALS (78%); GOVERNMENT CONTROLLERS &amp; AUDITORS (73%); LEGISLATIVE BODIES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(78%); BUILDING PERMITS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DEMAND (74%); REAL PROPERTY LAW (77%); ENERGY &amp; UTILITIES (78%); GOVERNMENT CONTROLLERS &amp; AUDITORS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MARYLAND,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Despite no data center plans, Carroll leaders draft moratorium on building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Despite no data center plans, Carroll leaders draft moratorium on building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