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Powering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Tribune-Review (Greensburg, PA)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31, 2026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Tribune Review Publishing Company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Tribune-Review Westmoreland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igniting citizen activism nationwide as residents demand a voice in how these massive, computer-filled warehouses will shape their communities.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Southwestern Pennsylvania, 22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projects are underway across six counties, according to FracTracker Alliance. Communities now find themselves on the front lines of a rapidly expanding, energy-hungry industry that operates with limited oversight while driving up electricity costs, worsening pollution and health risks, and deepening environmental injustices.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Residents are pushing back, raising concerns about air and water pollution, noise, electricity costs and climate emissions. They are also asking a critical question: What happens when stronger storms and grid strain leave regions without power for days?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is a better path. Cleaner energy -- solar, wind, nuclear, geothermal and hydropower -- can power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more responsibly. Research from Cornell University shows emissions and water use could be cut dramatically through improved siting, efficiency and faster grid decarbonization.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Local action matters. Zoning tools and model ordinances from PennFuture (pennfuture.org) can guide communities. Pennsylvania's proposed Solar-Ready Warehouse Bill would require new warehouses to dedicate at least 40% of roof space for solar readiness. Residents can learn more from organizers Protect PT (protectpt.org).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With 12 states considering moratoriums, and public opposition growing, Pennsylvania must put people, health and climate at the center of its energy future.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Debra Smit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Mt. Lebanon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writer is director of communications for the Breathe Project. This letter was written without the use of AI but was researched with the help of AI. 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(91%);  EMISSIONS (90%);  NEGATIVE ENVIRONMENTAL NEWS (90%);  ENVIRONMENTAL HEALTH (90%);  POLLUTION (90%);  ENERGY &amp; UTILITIES (90%);  ASSOCIATIONS &amp; ORGANIZATIONS (90%);  ACTIVISM (78%);  ORDINANCES (78%);  HYDROELECTRIC POWER (77%);  POWER FAILURES (77%);  ALTERNATIVE &amp; RENEWABLE ENERGY (77%);  CARBON NEUTRAL ENERGY (77%);  ZONING (77%);  ENVIRONMENTAL JUSTICE (76%);  POLLUTION &amp; ENVIRONMENTAL IMPACTS (76%);  WATER POLLUTION (76%);  ASTRONOMY &amp; SPACE (74%);  WIND ENERGY (72%);  AIR POLLUTION (71%);  MEDICINE &amp; HEALTH (71%);  EXPERIMENTATION &amp; RESEARCH (68%);  COLLEGES &amp; UNIVERSITIES (68%);  WRITERS (64%); ZONING (77%); ENVIRONMENTAL JUSTICE (76%); ASSOCIATIONS &amp; ORGANIZATIONS (90%); COLLEGES &amp; UNIVERSITIES (68%); ACTIVISM (78%); ENVIRONMENTAL HEALTH (76%); NEGATIVE ENVIRONMENTAL NEWS (90%); AIR POLLUTION (71%); WRITERS (64%); POLLUTION (90%); ASTRONOMY &amp; SPACE (74%); CARBON NEUTRAL ENERGY (77%); EMISSIONS (90%); ORDINANCES (78%); MEDICINE &amp; HEALTH (71%); WATER POLLUTION (76%); EXPERIMENTATION &amp; RESEARCH (68%); POLLUTION &amp; ENVIRONMENTAL IMPACTS (76%)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Organization: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CORNELL UNIVERSITY (54%)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ZONING (77%); POWER FAILURES (77%); COLLEGES &amp; UNIVERSITIES (68%);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(93%); HYDROELECTRIC POWER (77%); ALTERNATIVE &amp; RENEWABLE ENERGY (77%); ENERGY &amp; UTILITIES (91%); WRITERS (64%); WIND ENERGY (72%); CARBON NEUTRAL ENERGY (77%); EMISSIONS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PENNSYLVANIA, USA (94%); PENNSYLVANIA, USA (94%);  UNITED STATES (94%);  LEBANON (70%); LEBANON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1, 2026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Powering data centers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Powering data centers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