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ABB: Q4 and Full-Year 2020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ZURICH - ABB (SWX:ABBN): Solid end to challenging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2020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$7.0 billion, +2%; comparable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$7.2 billion, +2%; comparable 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$578 million; margin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$825 million; margin(1) 11.5%, including a combined impact of 80 basis points from the full and final Kusile settlement with Eskom in South Africa and non-core business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-$0.04; operational EPS(1) $0.26,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$1,182 million; cash flow from continuing operating activities $1,225 million after negative impacts, combined, of ~$200 million for the Kusile settlement and pension plan transfers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FULL-YEAR 2020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$26.5 billion, -7%; comparable -6%(1)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$26.1 billion, -7%; comparable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$1,593 million; margin 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$2,899 million; margin(1) 11.1%, including a combined impact of 90 basis points impact from the full and final Kusile settlement and non-core business charges, and 15 basis points impact from stranded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$2.44, +261%(2) including gain from Power Grids sale; operational EPS(1) $0.98,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$1,693 million; cash flow from continuing operating activities $1,875 million after approximately $1 billion outflows, in total, for pension plan transfers, Power Grids carve-out and ABB-OS and other restructuring and project related items. Adjusted to exclude the above outflows, cash flow from continuing operating activities improved by close to $550 million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CHF 0.80 dividend per share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28,588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(loss) attributable to ABB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EPS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flows from operating activities in continuing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fourth quarter, market conditions improved compared to the third quarter. That said, some key end-markets remained challenging, input costs rose, and uncertainty due to COVID-19 related restrictions increased as the quarter progressed. Orders were broadly stable year-on-year, supported by large orders received from Industrial Automation's marine business. Operating margins benefited from a strong performance by Electrification, as well as solid delivery from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was an extraordinary year with market developments dominated by the challenges arising from the pandemic. I am thankful for the speed and dedication with which the ABB team implemented mitigation actions, always putting the health and safety of our employees and customers first. We have taken important steps in 2020 by launching the ABB Way decentralized operating model, our long-term sustainability strategy and have started the process to exit three divisions. With our clear strategy, excellent technology base and stronger financial position, ABB is well positioned for 2021 and beyond." said BjÃ¶rn Rosengren, CEO of ABB.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 Group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quarter performance was solid. Order developments in the fourth quarter were driven by good growth in short-cycle product areas, led by China. Significant large order(5) wins in Industrial Automation were a highlight. Subdued services activities tempered the result. Operating margins in Electrification and Motion expanded year-on-year, aided by broadly stable volumes and good cost mitigation, while performance in Industrial Automation and Robotics &amp;; Discrete Automation was held back by negative mix effects and in Industrial Automation, specific project charges. Actions taken to improve long-term profitability, strengthen ABB's financial flexibility and de-risk the balance sheet are also reflected in this quarters'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were 2 percent higher (1 percent lower comparable) in the quarter compared to the prior year period. Foreign exchange translation effects had a net positive impact of 3 percent and portfolio changes zero impact. The order backlog was $14.3 billion at the end of the quarter, up 7 percent (5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Orders from Europe were 8 percent lower (12 percent comparable) with mixed results at the country level. In Germany and Sweden, on a tough comparison period, orders were lower by 21 percent (26 percent comparable) and 13 percent (21 percent comparable), respectively. Orders were up in Italy by 22 percent (16 percent comparable) and Finland by 23 percent (13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Orders from the Americas were 7 percent lower (6 percent comparable), with mixed results at the country level. In the USA, orders declined by 12 percent (12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Asia, Middle East and Africa (AMEA), orders rose 28 percent (23 percent comparable). Orders were challenged in India, down by 7 percent (9 percent comparable). These negatives were more than outweighed by excellent growth in China, up 23 percent (21 percent comparable). Also supportive was growth from South Korea, boosted by large orders(5), 357 percent higher (368 percent comparable), as well as strong demand from Australia and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End-market 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discrete industries, the group benefited from strong activity in the 3C and machine builders' segments. On a sequential basis, there were positive signs in automotive for future capital expenditure and electric vehicle manufacturing spend. End-markets such as food &amp;; beverage continued to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Activities in the energy segments remained subdued except LNG, where ABB benefited from substantial orders for specialty LNG vessels that are scheduled for construction in later periods. Elsewhere, customers delayed service spend and invested in operations only where essential. On a sequential basis, the project pipeline for energy showed select signs of stabilization. In other customer segments such as mining, pulp and paper and water and wastewater, some capital expenditure projects went ahead during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transport and infrastructure, investments in rail and renewables were healthy. Orders were strong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e-mobility. Marine activities were challenged on a day-to-day basis, particularly in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Buildings demand improved sequentially; on balance residential markets outperformed non-residential.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were up 2 percent (flat comparable) year-on-year, reflecting short-cycle product growth, mitigated by more challenged services. Foreign exchange translation effects had a net positive impact of 3 percent and portfolio changes a net negative impact of 1 percent. The book-to-bill ratio for the quarter was 0.98x(1), similar to the prior 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and operational EBITA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was $578 million. The result for the quarter includes $220 million restructuring and restructuring related expenses, compared to $99 million in the prior year period. These expenses were somewhat higher than management's guidance. Bookings mainly related to the future delivery of ABB-OS savings, synergies from GEIS' integration, and planned performance improvements in Industrial Automation.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was 16 percent higher (12 percent in local currencies), at $825 million. The operational EBITA margin of 11.5 percent expanded 140 basis points year-on-year. Margins were higher in Electrification and Motion, while Industrial Automation and Robotics &amp;; Discrete Automation reported lower margins on a year-on-year basis. Corporate and Other operational EBITA improved by approximately $110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operational EBITA margin includes a negative 45 basis points impact from a final settlement in South Africa with Eskom in relation to the Kusile project(6), and, in addition, a negative 35 basis points impact from non-core business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and basic earnings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net loss attributable to ABB was -$79 million. The group recorded net financial expenses of about $200 million, of which $162 million in costs were incurred from the early repayment of bonds. In addition, non-operational pension costs were approximately $130 million. Further details on these items follows below. Income tax expense was $123 million with a 49.2 percent tax rate. Special items, such as non-operational pension charges and bond repayment costs had an approximately 21 percent impact on the tax rate. The loss in discontinued operations of $183 million primarily reflects ordinary closing balance sheet related adjustments linked to the book gain from the sale of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was -$0.04. Operational EPS of $0.26(1) was 6 percent(2) lower year-on-year, mainly because the prior year included the operational net income from the former Power Grids business which was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in continuing operations was $1,225 million, approximately -$230 million lower on a year-on-year basis. The result reflects several material items, namely about -$115 million cash outflow to settle with Eskom for the Kusile project in South Africa, about -$85 million cash outflow to enable the transfer of certain pension plans, and further outflows for restructuring under ABB-OS and other restructuring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year-on-year basis, cash flow was negatively impacted by unfavorable timing on tax payments and less favorable net working capital movements. Trade receivables and trade payables were less favorable than in the prior year, partly offset by lower inventory levels which supported cash generation. As a percent of revenues, net working capital was 10.5 percent at quarter end, compared to 9.5 percent for the same period end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 business area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commentary by business area relates to fourth quarter results. Order and revenue commentary refers to comparable growth on a year-on-year basis, unless stated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Electrification (EL)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+0.8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Orders benefited from strong demand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EV charging and renewables, as well as healthy activity in sectors such as rail and food and beverages. Chemicals, oil and gas and other process industries were challenged. Buildings demand was mixed across geographies with residential activity outpacing non-residential. On a geographic basis, China and Germany were notably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backlog execution and solid short-cycle business delivered good growth in fourth quarter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Margin accretion reflects better volumes and supportive pricing. Ongoing cost savings, for example from lower travel expenses, the exit of the solar inverters business and improved performance from Installation Products and GEIS' integration contributed positively.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Automation (IA)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orders resulted from significant large orders(5) of $645 million, mainly for specialty LNG vessels. The business saw solid activity in other industries such as mining, water and wastewater. Oil, chemicals and conventional power generation remained challenged. Orders were higher in AMEA and lower in Europe and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declined, mainly reflecting subdued levels of book-and-bill activities; services were materially weaker as many countries entered wave two of COVID-19 and some customer industries, most notably cruise operators, were operating significantly below their normal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was pleased to reach a full and final settlement with Eskom for the Kusile project in South Africa. Charges for legacy projects in India were also reflected in the result. Together, these items lowered operating margins by 270 basis points. Aside from these items, margins were impacted by lower volumes and unfavorable mix, predominantly related to lower services activity. In response to ongoing challenges across its markets, the divisions continue to right-size and restructure where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Motion (MO)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year-on-year order result reflects a tough large order(5) comparison and ongoing weakness in select end-markets such as oil and gas. Demand from rail and water and wastewater segments was strong, while end-markets including metals, pulp and paper and food and beverage were healthy. Orders were solid in AMEA, broadly stable in the Americas, and softer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development reflects growth from short-cycle business and strong execution of the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margins expanded, benefiting from good cost mitigation, stable volumes and supportive mix, while noting some pressures, for example rising freight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Robotics &amp;; Discrete Automation (RA)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 of operational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benefited from select robotics investments in 3C and EV-related automotive manufacturing, led by China, and good activity in general industries. Machine builders' activity was strong. The reported order intake was affected by reversals of about $50 million, primarily in Machine Automation, adversely affecting comparable growth by about 7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were supported by positive developments in machine automation and good backlog execution in 3C and general industry, mitigated by softer automotive segment activity as the business works to shift its mix toward higher value-add smart systems and application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margins were tempered by unfavorable mix developments particularly the backlog revenues in robotics' automotive segment during the quarter, which outpaced continued cost mitigation efforts. Margins also reflect management's decision to raise research and development investments in order to drive future market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improve long-term performance, a change in management in Machine Automation has been initiated.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millions, unless otherwise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Other Operational EBITA improved to -$144 million. Compared to a year ago, this reflects lower charges from non-core business activities, the elimination of stranded costs related to Power Grids' sale and lower ongoing corporate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and Other orders and revenues primarily represent intersegment eliminations.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Full-year 2020 Group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were 7 percent lower (6 percent comparable) at $26,512 million, with all business areas feeling impacts from COVID-19 related output contraction. In Robotics &amp;; Discrete Automation, COVID-19 disruption came on top of already meaningful headwinds in discrete markets, and the business areas' orders declined 12 percent (12 percent comparable). Other business areas fared better, recording low to mid-single digit order declines on a year-on-year basis. Orders for ABB's digital solutions grew well, with customer acceptance of remote commissioning and uptake of remote digital services swiftly accelerated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Orders were 8 percent lower in Europe (7 percent comparable), 12 percent lower in the Americas (10 percent comparable) and 1 percent lower in AMEA (up 2 percent comparable), aided by robust developments in China, with stable orders (up 3 percent comparable). Service orders, which accounted for 18 percent of total orders, were 15 percent lower (14 percent comparable).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were 7 percent lower (5 percent lower comparable) at $26,134 million. Revenues were subdued in all business areas. Motion's revenues were 2 percent lower (2 percent comparable) and Electrification's 6 percent lower (3 percent comparable). Industrial Automation revenues declined 8 percent (7 percent comparable), while Robotics &amp;; Discrete Automation revenues fell 12 percent (13 percent comparable). Revenues declined across all regions, led by the Americas. Service revenues were 9 percent lower (9 percent comparable), representing 19 percent of group revenues, with mobility constraints introduced to contain the advance of COVID-19 precluding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and operational EBITA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 from operations was $1,593 million, declining 18 percent year-on-year. The result for the year includes restructuring and restructuring related expenses of $410 million, an approximately $300 million goodwill impairment, as well as approximately $200 million of charges due to changes in obligations related to divested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EBITA(1) of $2,899 million was 7 percent below the prior year period. The operating margin of 11.1 percent was stable, supported by execution of efficiency measures, particularly in Electrification, and cost reductions across all business areas. Corporate and Other operational EBITA improved by $243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income and basic earnings per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net income attributable to ABB was $5,146 million. Net income benefited from net income from discontinued operations of $4.9 billion, mainly reflecting the book gain from the sale of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recorded net financial expenses(1) of $351 million, of which $162 million in costs were incurred from the early repayment of bonds. In addition, non-operational pension costs were $401 million, driven by various pension plan transfers. Further details on these items follows below. Income tax expense was $496 million, equivalent to a 59 percent tax rate. Certain non-deductible pension costs, bond repayment costs and goodwill impairments increased the tax rate by 33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EPS of $2.44 was up 261 percent on a year-on-year basis. Operational EPS of $0.981 was 21 percent(2) lower compared to the prior 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operating activities in continuing operations was $1,875 million in 2020, compared to $1,899 million in 2019. The 2020 result includes a total of approximately $1 billion outflows incurred from ABB's transformation efforts, namely the carve-out of the Power Grids business and the implementation of the ABB-OS simplification program and other restructuring programs, plus costs to transfer certain pension plans as well as outflows to settle with Eskom in South Africa. If these impacts are excluded in both periods, the year-on-year cash flow development would have been stronger by close to $550 million. Cash flow developments also reflect lower business activities over the year, while net working capital movements developed favorably.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flow from discontinued operations, with the Power Grids business divested on July 1, 2020, was a negative -$182 million, compared to an inflow of $426 million in 2019. The group's total cash flow from operating activities, covering continuing and discontinued operations, was $1,693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Implemented ABB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2020, management reached key milestones to focus and simplify ABB that were established in the fourth quarter of 2018. The Power Grids business was divested, as planned, on July 1, 2020, crystallizing value for shareholders and strengthening the group's focus on industrial customers. A decentralized operating model, with divisions as the highest operating level at ABB, was introduced at the start of Q3 2020, alongside a robust scorecard and performance management process. The company's intention to divest three high quality divisions at full value is progressing according to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 was pleased to achieve the group's targeted $500 million net savings per annum through the ABB-OS simplification program during the fourth quarter of 2020, one-year ahead of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structure optimization program largely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 has largely concluded its capital structure optimization program, conducted in order to strengthen ABB's financial flexibility and support the de-risking of its balance sheet for the long-term.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reduced its gross debt obligations by $2.9 billion during 2020 through both scheduled and early repayment of bonds and by reducing outstanding credit facilities. The early repayment of bonds is reflected in incremental finance expenses of approximately $160 million in the fourth quarter income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half of 2020, ABB also transferred certain pension plan obligations to third party insurers, who have assumed the obligation to pay all pensions and benefits due to those plan members. In total, these transactions cover an estimated $2.5 billion of pension obligations that were underfunded by an estimated $770 million. The deals have been enabled by about $360 million of cash contributions, as well as the transfer of approximately $1.8 billion of existing pension plan assets. As a consequence, ABB recorded non-operational pension charges of $379 million and $141 million in its income statement in the third and fourth quarter periods,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announced, ABB intends to return to shareholders cash proceeds of $7.6 - 7.8 billion from the divestment of its Power Grids business. A buyback program of 10 percent(7) of the company's share capital commenced July 23, 2020, and will continue to run until the company's Annual General Meeting (AGM) on March 25, 2021. At the AGM, ABB intends to request shareholder approval to cancel the shares purchased through this program and to announce next steps. ABB currently owns 140'953'809 treasury shares including shares repurchased through the buyback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to year end, ABB issued a zero percent EUR 800 million bond, with a 9 year duration, for general corporate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Dividend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ABB's board has proposed an ordinary dividend of 0.80 Swiss francs per share for 2020, subject to shareholder approval at the upcoming AGM. The proposal is in line with ABB's dividend policy to pay a rising, sustainable dividend per share over time. Further information will be available on ABB's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Short-term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 uncertainty due to COVID-19 increased through the fourth quarter. The outlook remains muted for segments such as oil and gas, conventional power generation and marine, while raw materials costs are rising. That said, there are signs of positive development in general industry and machine builders' segments, while end-markets including buildings, distribution utilities,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consumer electronics and food and beverage are expected to grow robustly.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backdrop, and a tough comparison base for the first quarter of 2021, ABB envisages a return to positive year-on-year comparable order developments during the second quarter period. Comparable revenue growth is expected to prove resilient in the first quarter, supported by backlog conversion, although Industrial Automation (henceforth, Process Automation) is likely to be more challenged. The operational EBITA margin for the group is expected to clearly improve year-on-year, supported by improvements in most business areas, and to remain largely stable on a sequential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Management's base case is for a gradual improvement in market conditions as 2021 progresses. That said, forward visibility remains limited, particularly regarding the service market recovery in Process Automation. Given the above, ABB expects comparable revenue growth to be broadly in line with its long-term target range and expects clear margin accretion for the full year 2021 compared to full year 2020. ABB also expects strong EPS accretion(8) and solid cash delivery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ABB's financial targets, as established at the November 2020 Capital Markets Day, remain unchanged.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Q4 2020 results press release and presentation slides are available on the ABB News Center at www.abb.com/news( https://cts.businesswire.com/ct/CT?id=smartlink&amp;;url=http%3A%2F%2Fwww.abb.com%2Fnews&amp;;esheet=52373433&amp;;newsitemid=20210203006050&amp;;lan=en-US&amp;;anchor=www.abb.com%2Fnews&amp;;index=1&amp;;md5=a87e913e47cbdb990eb6fbf8e7710903 ) and on the Investor Relations homepage at www.abb.com/investorrelations( https://cts.businesswire.com/ct/CT?id=smartlink&amp;;url=http%3A%2F%2Fwww.abb.com%2Finvestorrelations&amp;;esheet=52373433&amp;;newsitemid=20210203006050&amp;;lan=en-US&amp;;anchor=www.abb.com%2Finvestorrelations&amp;;index=2&amp;;md5=368dc6511c1a978b55e54917ba0da024 ). A conference call and webcast for analysts and investors is scheduled to begin today at 10:00 a.m. CET (9:00 a.m. GMT). To pre-register for the conference call or to join the webcast, please refer to the ABB website: www.abb.com/investorrelations( https://cts.businesswire.com/ct/CT?id=smartlink&amp;;url=http%3A%2F%2Fwww.abb.com%2Finvestorrelations&amp;;esheet=52373433&amp;;newsitemid=20210203006050&amp;;lan=en-US&amp;;anchor=www.abb.com%2Finvestorrelations&amp;;index=3&amp;;md5=7329d295e909ec500f9daead7eeb521f ). The recorded session will be available after the event on ABB's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 (ABBN: SIX Swiss Ex) is a leading global technology company that energizes the transformation of society and industry to achieve a more productive, sustainable future. By connecting software to its electrification, robotics, automation and motion portfolio, ABB pushes the boundaries of technology to drive performance to new levels. With a history of excellence stretching back more than 130 years, ABB's success is driven by about 105,000 talented employees in over 100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General Meeting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25,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Q1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27,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Q2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22,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Q3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notice about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includes forward-looking information and statements as well as other statements concerning the outlook for our business, including those in the sections of this release titled "Short-term outlook". These statements are based on current expectations, estimates and projections about the factors that may affect our future performance, including global economic conditions, the economic conditions of the regions and industries that are major markets for ABB. These expectations, estimates and projections are generally identifiable by statements containing words such as "expects," "estimates," "plans", "targets" or similar expressions. However, there are many risks and uncertainties, many of which are beyond our control, that could cause our actual results to differ materially from the forward-looking information and statements made in this press release and which could affect our ability to achieve any or all of our stated targets. The important factors that could cause such differences include, among others, business risks associated with the volatile global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political conditions, costs associated with compliance activities, market acceptance of new products and services, changes in governmental regulations and currency exchange rates and such other factors as may be discussed from time to time in ABB Ltd's filings with the U.S. Securities and Exchange Commission, including its Annual Reports on Form 20-F. Although ABB Ltd believes that its expectations reflected in any such forward-looking statement are based upon reasonable assumptions, it can give no assurance that those expectations will be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Zurich, February 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BjÃ¶rn Rosengren,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For a reconciliation of non-GAAP measures, see "supplemental reconciliations and definitions" in the attached Q4 2020 Financial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EPS growth rates are computed using unrounded amounts. Comparable operational earnings per share is in constant currency (2019 exchange rates not adjusted for changes in the business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Constant currency (not adjusted for portfolio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(4)Amount represents total for both continuing and discontinued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Large orders, defined as orders &gt;$15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settlement does not cover regulatory proceedings outside South Africa, which are currently not estimable.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Maximum 10 percent of the company's issued share capital, including treasury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Excluding book gain from the sale of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https://www.businesswire.com/news/home/20210203006050/en/( https://www.businesswire.com/news/home/20210203006050/en/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Affolternstrasse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8050 Zurich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+41 43 317 71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media.relations@ch.abb.com( media.relations@ch.abb.com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 +41 43 317 71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investor.relations@ch.abb.com( investor.relations@ch.abb.com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OPERATIONS (90%); CASH FLOW (90%); EBITDA (90%); COMPANY EARNINGS (78%); PRESS RELEASES (74%); DIVIDENDS (73%); zurich,solid,challenging,fourth,quarter,highlights !@PERMALINK= https://financialpost.com/pmn/press-releases-pmn/business-wire-news-releases-pmn/abb-q4-and-full-year-2020-results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ELECTRICITY TRANSMISSION &amp; DISTRIBUTION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(57%); SOUTH AFRICA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ABB: Q4 and Full-Year 2020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 Q4 and Full-Year 2020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