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County Council members clash over approach to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siting and design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keepNext w:val="0"/>
        <w:spacing w:after="0" w:line="240" w:lineRule="atLeast"/>
        <w:ind w:right="0"/>
        <w:jc w:val="both"/>
      </w:pPr>
      <w:bookmarkStart w:id="0" w:name="Bookmark_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Ceoli Jacoby,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clock runs out on an executive order preventing land in Frederick County from being rezoned for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County Council members remain at odds about how to regulate the growing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Tuesday held a workshop on a bill from Council President Brad Young and Council Member Renee Knapp based on legislation proposed, then pulled, by County Executive Jessica Fitzwater’s administration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workshop on Knapp and Young’s bill was at times dominated by discussion about a different bill drafted by Council Members Steve McKay and Jerry Donald, which they say better reflects the wishes of a work group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was convened by Fitzwater and chaired by Knapp.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Wednesday, Young said the two bills are so different it would be confusing to workshop both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he intends to add McKay and Donald’s proposal to the council’s agenda only after the bill currently on the table has made its way through the legislative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said on Tuesday that he respected Young’s authority as president to set the council’s agenda, but it’s a bad decision to hold off on scheduling his and Donald’s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made a motion to add his and Donald’s bill to the council’s agenda earlier than Young suggested, but that motion failed by a vote of 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and Donald, along with Council Member Mason Carter, supported the motion. Young, Knapp and Council Members M.C. Keegan-Ayer and Kavonté Duckett were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Knapp said on Tuesday she did not feel that simultaneously debating two bills that are in conflict with one another would be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deserves to be considered by its own merit, as does Council Member McKay’s,” Knapp said, adding that the council needs to be mindful of the deadline for the executive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argued that the impending deadline “is even more reason that we should be having a fuller discussion in these next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after going through it, we find that we can bridge these things together — that’s actually my hope,” McKay said. “But we can’t if we’re not talking about it actively.”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said on Wednesday that his and Knapp’s goal is to craft legislation that puts some additional guide rails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while still garnering enough support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the bill McKay attempted to add to the agenda does not accomplish this, as evidenced by the outcome of the vote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no longer say that I’m trying to quash anything, which I wasn’t,”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REGULATORY </w:t>
      </w:r>
      <w:r>
        <w:rPr>
          <w:rFonts w:ascii="arial" w:eastAsia="arial" w:hAnsi="arial" w:cs="arial"/>
          <w:b/>
          <w:i/>
          <w:strike w:val="0"/>
          <w:noProof w:val="0"/>
          <w:color w:val="000000"/>
          <w:position w:val="0"/>
          <w:sz w:val="20"/>
          <w:u w:val="single"/>
          <w:vertAlign w:val="baseline"/>
        </w:rPr>
        <w:t>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current county code,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are allowed “by right” on land zoned Limited Industrial (LI) and General Industrial (GI).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plans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there will be approved by default, so long they meet design requirements and other regulations attached to the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council passed a resolution adding critical digital infrastructure facilities and critical digital infrastructure substations to the zoning code as distinct 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2022 resolution included some design requirements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such as restrictions on noise, vibration, building height and lighting. However, it did not address common elements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such as fuel storage and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2023, Fitzwater convened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work group. Among other things, the work group was tasked with examining appropriate locations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Frederick County and recommending potential changes to the existing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Fitzwater signed an executive order directing the county’s Division of Planning and Permitting not to accept, consider, or process applications to change the zoning of individual parcels of land to LI or GI.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was set to terminate on March 30, 2024, but Fitzwater opted to extend it while her administration worked with the council on legislation to tighten siting and design criteria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2024, Fitzwater announced that her administration would introduce to the council two pieces of legislation — one to establish a critical digital infrastructure floating zone and another concerning design requirements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Floating zones are districts that, when applied, replace the underlying zoning of a specific parcel of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final report,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work group recommended the creation of a floating zone that would have to be applied by the County Council over qualified parcels before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be developed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floating zone that the work group recommended could only be applied over parcels that were zoned for light industrial or general industrial use and that met a host of other criteria, such as access to water and sewer service and proximity to high-voltage power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recommended floating zone could not have been applied over special planning areas such as agricultural preservation areas or the Sugarloaf Treasured Landscape Management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workshopping the floating zone and design bills in October and November 2024, respectively, Fitzwater’s administration decided to do away with concept of a floating zone, about which she had previously expressed reservations.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was a bill that combined elements of the floating zone bill and the design bill — keeping the siting criteria as originally proposed, but removing the council’s discretion to approve or not approve specific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Fitzwater’s combined bill was scheduled to be introduced at a meeting on Jan. 7, but the council voted to table it over concerns that substantive changes had been made without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Fitzwater on Jan. 16 sent a letter to Young stating that, while she expected the council to exercise its prerogative to amend her bill, she did not expect the council to delay “perhaps indefinitely, any action whatsoever”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Fitzwater also said she did not intend to extend her executive order on piecemeal rezonings beyond its current expiration date of April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Council to be conscious of that timeline as you consider your next steps,”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from Knapp and Young closely mirrors the combined bill the Fitzwater administration planned to introduce last month, but includes a few changes based on feedback the council received from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change would be moving from a complaint-driven process for noise and vibration, in which requirements would be enforced whenever officials received credible evidence of a violation, to a process based on periodic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Knapp and Young also raised the maximum allowable size of above-ground fuel-storage tanks — from 1,100 gallons to 20,000 gallons — and provided for the use of generators that are not certified as meeting the U.S. Environmental Protection Agency’s latest emissions standards, but are designed to be equivalent.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McKay and Donald’s bill is similar to the pulled administration bill in its design requirements, but differs on siting in that it includes a floating zone with criteria that go beyond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work group’s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qualify for the floating zone proposed by McKay and Donald,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would have to demonstrate that a project would minimize the use of potable water for cooling.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 would also have to demonstrate that sufficient electrical capacity to support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already exists within the local and regional grid, could be generated on the site through means other than diesel generators used for back-up power, or some combination of the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additional land zoned for critical digital infrastructure would also be a factor in granting or denying applications for the floating zone proposed by McKay and Donald.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McKay and Donald bill diverges slightly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work group recommendation on proximity to high-voltage transmission lines, instead requiring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 located within two miles of an existing high-voltage electrical substation.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Young, he intends to add his and Knapp’s bill to the council’s agenda for introduction at next week’s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and Donald’s bill will still be put on the council’s agenda for a workshop, at the discretion of council leadership, 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20250226-FD-County-Council-members-clash-over-approach-to-data-0226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COUNTIES (92%); COUNTY GOVERNMENT (92%); ZONING (90%); EXECUTIVE ORDERS (89%); LEGISLATION (89%); INTERVIEWS (78%); LAND USE PLANNING (78%); GOVERNMENT PROCEDURE &amp; LAWMAKING (77%); APPROVALS (71%); REGULATORY COMPLIANCE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ZONING (90%); LAND USE PLANNING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(73%); MARYLAND,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County Council members clash over approach to data center siting and design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Council members clash over approach to data center siting and design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