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change skin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2021 Wednesday</w:t>
      </w:r>
    </w:p>
    <w:p>
      <w:pPr>
        <w:keepNext w:val="0"/>
        <w:spacing w:after="0" w:line="240" w:lineRule="atLeast"/>
        <w:ind w:right="0"/>
        <w:jc w:val="both"/>
      </w:pPr>
      <w:bookmarkStart w:id="0" w:name="Bookmark_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big data doesn't need translation, but it lends itself to confusion. A confusion that arises from the adjective: the volume of data is not what determines its value. Accumulating a quantity of data can be useless; what makes them valuable is not the size but the interaction, the exchange. That is, interconnection. Thus began the conversation with Robert Assink, CEO of Interxion Spain: because of the so-called data gravity effect, which justifies the frequent mergers and acquisitions of companies whose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sell capacity to third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thesis argues that the more data that converge in the same place the more easily they will attract other data; which gives them the possibility of being analyzed and, to this extent, monetizable. That added value is the condition for a service intelligence that is what users actually pay, Assink explains by videoconference.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model</w:t>
      </w:r>
      <w:r>
        <w:rPr>
          <w:rFonts w:ascii="arial" w:eastAsia="arial" w:hAnsi="arial" w:cs="arial"/>
          <w:b/>
          <w:i w:val="0"/>
          <w:strike w:val="0"/>
          <w:noProof w:val="0"/>
          <w:color w:val="000000"/>
          <w:position w:val="0"/>
          <w:sz w:val="20"/>
          <w:u w:val="none"/>
          <w:vertAlign w:val="baseline"/>
        </w:rPr>
        <w:t>Content providers are not interested in their own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Interxion, originally a Dutch company, has integrated its European assets with those of the U.S. group Digital Realty, with which it has 300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worldwide. He landed in Madrid in 2000 and planned to settle in Barcelona the following year, but the dotcom bubble burst thwarted enlargement. "We have resumed the project with a view to interconnecting our infrastructure with the submarine cable mooring station planned in the Sant Adrià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little-known but very capital-intensive sector, which is now in the limelight due to the massive inflow of investment funds. In the Spanish market,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continue to be built and equipped, it is estimated that in two years they will multiply by 2.5 the current installed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twenty years," recalls Assink, "Interxion's business in Spain has grown at a rate of 10% to 15% per year [...] I remember it took us a dozen years to sell the capacity of our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seven years the capacity of the second. But the third, which we opened in 2019, will exhaust its capacity next year, so we are already building another one whose capacity will be almost five times higher than the first one we installed in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can be explained by the confluence of submarine cables that reach the coasts of the Peninsula through the Atlantic and the Mediterranean. At the same time, with a good capillary network, Spain needs to improve its border connections with France and the rest of Europe. Assink warns that "if we wanted to match the ratio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London or Amsterdam have, the current installed capacity should be multiplied by seven or fourteen."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by-product of the liberalisation of telecommunications at the end of the nineties, this sector has changed skin several times. In the beginning, demand was a complement to telecommunications networks: each operator struggled to get out of its space and needed partners. After the crisis of 2008, came a wave of outsourcing of corporate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would be followed by the boom of digital content and cloud computing, both under the hegemony of companies that did not have their own networks or that had no immediate interest in having them.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Perspectives</w:t>
      </w:r>
      <w:r>
        <w:rPr>
          <w:rFonts w:ascii="arial" w:eastAsia="arial" w:hAnsi="arial" w:cs="arial"/>
          <w:b/>
          <w:i w:val="0"/>
          <w:strike w:val="0"/>
          <w:noProof w:val="0"/>
          <w:color w:val="000000"/>
          <w:position w:val="0"/>
          <w:sz w:val="20"/>
          <w:u w:val="none"/>
          <w:vertAlign w:val="baseline"/>
        </w:rPr>
        <w:t>The submarine cables that moor in the Peninsula are the future global 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penetration of the internet, the need for interconnection points has multiplied. They create value, not the transportation network." This explains why operators try to get out of this secondary business and - as Telefónica is doing - choose to sell (or share with partners)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which they could not continue investing what is necessary to grow. Meanwhile, Interxion and its increasingly numerous competitors are happily promising them.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 BUBBLE (72%); ACQUISITIONS (70%); MERGERS (70%); MERGERS &amp; ACQUISITIONS (56%); economia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INTERXION HOLDING NV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NAICS518210 DATA PROCESSING, HOSTING &amp; RELATED SERVICES (92%); NAICS517311 WIRED TELECOMMUNICATIONS CARRIERS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TELECOMMUNICATIONS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MADRID, SPAIN (90%); BARCELONA, SPAIN (77%); AMSTERDAM, NETHERLANDS (70%); CATALONIA, SPAIN (79%); SPAIN (94%); UNITED STATES (79%); FRANCE (75%); NETHERLANDS (70%); EUROPE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change skin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change skin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