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Equinix enlists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expansion in Querétaro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2021 Wednesday</w:t>
      </w:r>
    </w:p>
    <w:p>
      <w:pPr>
        <w:keepNext w:val="0"/>
        <w:spacing w:after="0" w:line="240" w:lineRule="atLeast"/>
        <w:ind w:right="0"/>
        <w:jc w:val="both"/>
      </w:pPr>
      <w:bookmarkStart w:id="0" w:name="Bookmark_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Queretaro, Qro. </w:t>
      </w:r>
      <w:r>
        <w:rPr>
          <w:rFonts w:ascii="arial" w:eastAsia="arial" w:hAnsi="arial" w:cs="arial"/>
          <w:b/>
          <w:i w:val="0"/>
          <w:strike w:val="0"/>
          <w:noProof w:val="0"/>
          <w:color w:val="000000"/>
          <w:position w:val="0"/>
          <w:sz w:val="20"/>
          <w:u w:val="none"/>
          <w:vertAlign w:val="baseline"/>
        </w:rPr>
        <w:t>Equinix,</w:t>
      </w:r>
      <w:r>
        <w:rPr>
          <w:rFonts w:ascii="arial" w:eastAsia="arial" w:hAnsi="arial" w:cs="arial"/>
          <w:b w:val="0"/>
          <w:i w:val="0"/>
          <w:strike w:val="0"/>
          <w:noProof w:val="0"/>
          <w:color w:val="000000"/>
          <w:position w:val="0"/>
          <w:sz w:val="20"/>
          <w:u w:val="none"/>
          <w:vertAlign w:val="baseline"/>
        </w:rPr>
        <w:t xml:space="preserve">a U.S. interconnection 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firm, has an expansion project for its operations in </w:t>
      </w:r>
      <w:r>
        <w:rPr>
          <w:rFonts w:ascii="arial" w:eastAsia="arial" w:hAnsi="arial" w:cs="arial"/>
          <w:b/>
          <w:i w:val="0"/>
          <w:strike w:val="0"/>
          <w:noProof w:val="0"/>
          <w:color w:val="000000"/>
          <w:position w:val="0"/>
          <w:sz w:val="20"/>
          <w:u w:val="none"/>
          <w:vertAlign w:val="baseline"/>
        </w:rPr>
        <w:t>Querétaro,</w:t>
      </w:r>
      <w:r>
        <w:rPr>
          <w:rFonts w:ascii="arial" w:eastAsia="arial" w:hAnsi="arial" w:cs="arial"/>
          <w:b w:val="0"/>
          <w:i w:val="0"/>
          <w:strike w:val="0"/>
          <w:noProof w:val="0"/>
          <w:color w:val="000000"/>
          <w:position w:val="0"/>
          <w:sz w:val="20"/>
          <w:u w:val="none"/>
          <w:vertAlign w:val="baseline"/>
        </w:rPr>
        <w:t>where it has a presence since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2020 the company acquired two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(MX1 and MX2) in </w:t>
      </w:r>
      <w:r>
        <w:rPr>
          <w:rFonts w:ascii="arial" w:eastAsia="arial" w:hAnsi="arial" w:cs="arial"/>
          <w:b/>
          <w:i w:val="0"/>
          <w:strike w:val="0"/>
          <w:noProof w:val="0"/>
          <w:color w:val="000000"/>
          <w:position w:val="0"/>
          <w:sz w:val="20"/>
          <w:u w:val="none"/>
          <w:vertAlign w:val="baseline"/>
        </w:rPr>
        <w:t>Querétaro.</w:t>
      </w:r>
      <w:r>
        <w:rPr>
          <w:rFonts w:ascii="arial" w:eastAsia="arial" w:hAnsi="arial" w:cs="arial"/>
          <w:b w:val="0"/>
          <w:i w:val="0"/>
          <w:strike w:val="0"/>
          <w:noProof w:val="0"/>
          <w:color w:val="000000"/>
          <w:position w:val="0"/>
          <w:sz w:val="20"/>
          <w:u w:val="none"/>
          <w:vertAlign w:val="baseline"/>
        </w:rPr>
        <w:t xml:space="preserve"> In the second, </w:t>
      </w:r>
      <w:r>
        <w:rPr>
          <w:rFonts w:ascii="arial" w:eastAsia="arial" w:hAnsi="arial" w:cs="arial"/>
          <w:b/>
          <w:i w:val="0"/>
          <w:strike w:val="0"/>
          <w:noProof w:val="0"/>
          <w:color w:val="000000"/>
          <w:position w:val="0"/>
          <w:sz w:val="20"/>
          <w:u w:val="none"/>
          <w:vertAlign w:val="baseline"/>
        </w:rPr>
        <w:t>the MX2,</w:t>
      </w:r>
      <w:r>
        <w:rPr>
          <w:rFonts w:ascii="arial" w:eastAsia="arial" w:hAnsi="arial" w:cs="arial"/>
          <w:b w:val="0"/>
          <w:i w:val="0"/>
          <w:strike w:val="0"/>
          <w:noProof w:val="0"/>
          <w:color w:val="000000"/>
          <w:position w:val="0"/>
          <w:sz w:val="20"/>
          <w:u w:val="none"/>
          <w:vertAlign w:val="baseline"/>
        </w:rPr>
        <w:t>the firm will invest $54 million in the expansion phase planned for the period 2021 to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currently has 60 direct employees, promoting 200 direct and indirect jobs; however, with the expansion plan it is planned to incorporate 100 more, said equinix's CEO in Mexico, Amet Novillo Suárez.</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firm's project is to expand its interconnection capacity to support the growing market.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Mx2's expansion plans involve</w:t>
      </w:r>
      <w:r>
        <w:rPr>
          <w:rFonts w:ascii="arial" w:eastAsia="arial" w:hAnsi="arial" w:cs="arial"/>
          <w:b w:val="0"/>
          <w:i w:val="0"/>
          <w:strike w:val="0"/>
          <w:noProof w:val="0"/>
          <w:color w:val="000000"/>
          <w:position w:val="0"/>
          <w:sz w:val="20"/>
          <w:u w:val="none"/>
          <w:vertAlign w:val="baseline"/>
        </w:rPr>
        <w:t xml:space="preserve"> having more than 14,500 square meters, an area that is equivalent to two fields of the Aztec State, which has 7,140 square meters. This initiative seeks to create the first hyperscale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the Americas.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Mexico we have expansion plans on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we bought, number two was only conditioned for 800 square meters of white floor; However, it is designed for 5,500 square meters; our investment in Mexico is the growth of that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the acquisition of a land that allows us to grow a very large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almost twice the size of the Aztec Stadium," he said.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Querétaro's two </w:t>
      </w:r>
      <w:r>
        <w:rPr>
          <w:rFonts w:ascii="arial" w:eastAsia="arial" w:hAnsi="arial" w:cs="arial"/>
          <w:b/>
          <w:i/>
          <w:strike w:val="0"/>
          <w:noProof w:val="0"/>
          <w:color w:val="000000"/>
          <w:position w:val="0"/>
          <w:sz w:val="20"/>
          <w:u w:val="single"/>
          <w:vertAlign w:val="baseline"/>
        </w:rPr>
        <w:t>data</w:t>
      </w:r>
      <w:r>
        <w:rPr>
          <w:rFonts w:ascii="arial" w:eastAsia="arial" w:hAnsi="arial" w:cs="arial"/>
          <w:b/>
          <w:i/>
          <w:strike w:val="0"/>
          <w:noProof w:val="0"/>
          <w:color w:val="000000"/>
          <w:position w:val="0"/>
          <w:sz w:val="20"/>
          <w:u w:val="single"/>
          <w:vertAlign w:val="baseline"/>
        </w:rPr>
        <w:t>centers</w:t>
      </w:r>
      <w:r>
        <w:rPr>
          <w:rFonts w:ascii="arial" w:eastAsia="arial" w:hAnsi="arial" w:cs="arial"/>
          <w:b w:val="0"/>
          <w:i w:val="0"/>
          <w:strike w:val="0"/>
          <w:noProof w:val="0"/>
          <w:color w:val="000000"/>
          <w:position w:val="0"/>
          <w:sz w:val="20"/>
          <w:u w:val="none"/>
          <w:vertAlign w:val="baseline"/>
        </w:rPr>
        <w:t xml:space="preserve">, serving mexico </w:t>
      </w:r>
      <w:r>
        <w:rPr>
          <w:rFonts w:ascii="arial" w:eastAsia="arial" w:hAnsi="arial" w:cs="arial"/>
          <w:b/>
          <w:i w:val="0"/>
          <w:strike w:val="0"/>
          <w:noProof w:val="0"/>
          <w:color w:val="000000"/>
          <w:position w:val="0"/>
          <w:sz w:val="20"/>
          <w:u w:val="none"/>
          <w:vertAlign w:val="baseline"/>
        </w:rPr>
        <w:t>City's metropolitan area,</w:t>
      </w:r>
      <w:r>
        <w:rPr>
          <w:rFonts w:ascii="arial" w:eastAsia="arial" w:hAnsi="arial" w:cs="arial"/>
          <w:b w:val="0"/>
          <w:i w:val="0"/>
          <w:strike w:val="0"/>
          <w:noProof w:val="0"/>
          <w:color w:val="000000"/>
          <w:position w:val="0"/>
          <w:sz w:val="20"/>
          <w:u w:val="none"/>
          <w:vertAlign w:val="baseline"/>
        </w:rPr>
        <w:t xml:space="preserve">are multi-entry operator-neutral facilities that include five network service providers that currently operate within each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located in the </w:t>
      </w:r>
      <w:r>
        <w:rPr>
          <w:rFonts w:ascii="arial" w:eastAsia="arial" w:hAnsi="arial" w:cs="arial"/>
          <w:b/>
          <w:i w:val="0"/>
          <w:strike w:val="0"/>
          <w:noProof w:val="0"/>
          <w:color w:val="000000"/>
          <w:position w:val="0"/>
          <w:sz w:val="20"/>
          <w:u w:val="none"/>
          <w:vertAlign w:val="baseline"/>
        </w:rPr>
        <w:t>Innovation Park,</w:t>
      </w:r>
      <w:r>
        <w:rPr>
          <w:rFonts w:ascii="arial" w:eastAsia="arial" w:hAnsi="arial" w:cs="arial"/>
          <w:b w:val="0"/>
          <w:i w:val="0"/>
          <w:strike w:val="0"/>
          <w:noProof w:val="0"/>
          <w:color w:val="000000"/>
          <w:position w:val="0"/>
          <w:sz w:val="20"/>
          <w:u w:val="none"/>
          <w:vertAlign w:val="baseline"/>
        </w:rPr>
        <w:t>in the metropolitan municipality El Marqués, having a strategic location in the center of the country and in close proximity to the Intercontinental Airport of Querétaro.</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facility (MX1) is a 10,219 square meter gross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with 3,437 square meters of placement space. It is the first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Latin America with an energy cogeneration system.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second unit (MX2) has 7,432 gross square meters with 557 square meters of placement space and has expansion opportunities of up to 5,574 square meters of placement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has a $200 million investment plan for the Latin American region, through planned construction plans for its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Sao Paulo, Rio de Janeiro, Bogota and Querétaro.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2020, the company entered the Mexican market, when it acquired three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country, two </w:t>
      </w:r>
      <w:r>
        <w:rPr>
          <w:rFonts w:ascii="arial" w:eastAsia="arial" w:hAnsi="arial" w:cs="arial"/>
          <w:b/>
          <w:i w:val="0"/>
          <w:strike w:val="0"/>
          <w:noProof w:val="0"/>
          <w:color w:val="000000"/>
          <w:position w:val="0"/>
          <w:sz w:val="20"/>
          <w:u w:val="none"/>
          <w:vertAlign w:val="baseline"/>
        </w:rPr>
        <w:t>in Querétaro</w:t>
      </w:r>
      <w:r>
        <w:rPr>
          <w:rFonts w:ascii="arial" w:eastAsia="arial" w:hAnsi="arial" w:cs="arial"/>
          <w:b w:val="0"/>
          <w:i w:val="0"/>
          <w:strike w:val="0"/>
          <w:noProof w:val="0"/>
          <w:color w:val="000000"/>
          <w:position w:val="0"/>
          <w:sz w:val="20"/>
          <w:u w:val="none"/>
          <w:vertAlign w:val="baseline"/>
        </w:rPr>
        <w:t xml:space="preserve"> and one </w:t>
      </w:r>
      <w:r>
        <w:rPr>
          <w:rFonts w:ascii="arial" w:eastAsia="arial" w:hAnsi="arial" w:cs="arial"/>
          <w:b/>
          <w:i w:val="0"/>
          <w:strike w:val="0"/>
          <w:noProof w:val="0"/>
          <w:color w:val="000000"/>
          <w:position w:val="0"/>
          <w:sz w:val="20"/>
          <w:u w:val="none"/>
          <w:vertAlign w:val="baseline"/>
        </w:rPr>
        <w:t>in Nuevo León</w:t>
      </w:r>
      <w:r>
        <w:rPr>
          <w:rFonts w:ascii="arial" w:eastAsia="arial" w:hAnsi="arial" w:cs="arial"/>
          <w:b w:val="0"/>
          <w:i w:val="0"/>
          <w:strike w:val="0"/>
          <w:noProof w:val="0"/>
          <w:color w:val="000000"/>
          <w:position w:val="0"/>
          <w:sz w:val="20"/>
          <w:u w:val="none"/>
          <w:vertAlign w:val="baseline"/>
        </w:rPr>
        <w:t xml:space="preserve"> and the purchase of the three units involved a transaction of $175 million.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presence in the Latin American market corresponds to the growth potential shown in data traffic foreseing annual growth of 50% by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2011 the firm began investing in the Latin American region, mainly in the countries of Brazil and Colombia; however, by 2020 it advanced its expansion with the acquisition of centers in Mexico. The firm has 227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globally with a presence in America, Asia and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firm, the two International Business Exchange (IBX)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supporting the country's capital are strategically located in Querétaro, connecting a robust ecosystem of local and international customers, in the north, central and South American markets.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firm distinguishes in Mexico a growing market, characterized by hosting banks, telecommunications networks, local companies and suppliers that demand global interconnection technology.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estados@eleconomista.mx</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Kg</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CITY LIFE (86%); CITIES (69%); STADIUMS &amp; ARENAS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CONSTRUCTION (62%); POWER COGENERATION (61%)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RIO DE JANEIRO, BRAZIL (79%); SAO PAULO, BRAZIL (79%); BOGOTA, COLOMBIA (52%); LATIN AMERICA (94%); MEXICO (94%); BRAZIL (93%); COLOMBIA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Equinix enlists data center expansion in Querétaro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Equinix enlists data center expansion in Querétaro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