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Hill Roundtable: What’s next for AI infrastructure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TheHill.com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2025 Friday</w:t>
      </w:r>
    </w:p>
    <w:p>
      <w:pPr>
        <w:keepNext w:val="0"/>
        <w:spacing w:after="0" w:line="240" w:lineRule="atLeast"/>
        <w:ind w:right="0"/>
        <w:jc w:val="both"/>
      </w:pPr>
      <w:bookmarkStart w:id="0" w:name="Bookmark_1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NEXSTAR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83pt;height:36.01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 LATEST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is an executive summary from a roundtable breakfast that focused on discussing roadblocks and solutions surrounding the integration and implementation of artificial intelligence (AI) into our everyday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Participants cautioned against oversimplifying AI as “magic” and emphasized the importance of understanding its actual capabilities and limitations.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held under Chatham House Rules, prior to The Hill’s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Summit on May 6 in Washington, D.C. The discussion featured a diverse group of more than 20 attendees, including U.S. Sen. Mike Rounds (R-S.D.), co-chair of the AI Caucus, and Rep. Ted Lieu (D-Calif.), vice chair of the Democratic Caucus as well as business and philanthropy leaders, researchers and policy advisers. The discussion was moderated by The Hill’s Technology reporter Miranda Nazzaro and Bill Sammon, SVP of Editorial Content for The Hill.</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Artificial Intelligence is becoming increasingly ubiquitous, so much so that there’s even a term for it. “Ubiquitous AI” refers to the concept of AI being integrated into every aspect of our lives, from everyday devices to complex systems, making it accessible and beneficial to everyone, everywhere.</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concept sounds wonderful, putting it into practice is a different story. As lawmakers continue to grapple with how to regulate the technology, companies are scrambling to inform their opinions on the best way to create rules of the road for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AI continue to transform our society? How should we balance AI innovation and its potential risks? What will it take to reach “Ubiquitous AI”? Using the energy sector as an example, which areas will be most impacted? And what does an informed, collaborative, and evidence-based approach to AI regulation and governance look like?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 The Imperative of Public-Private Partnerships and Collaboration:</w:t>
      </w:r>
    </w:p>
    <w:p>
      <w:pPr>
        <w:keepNext w:val="0"/>
        <w:numPr>
          <w:numId w:val="1"/>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Essential for Progress:</w:t>
      </w:r>
      <w:r>
        <w:rPr>
          <w:rFonts w:ascii="arial" w:eastAsia="arial" w:hAnsi="arial" w:cs="arial"/>
          <w:b w:val="0"/>
          <w:i w:val="0"/>
          <w:strike w:val="0"/>
          <w:noProof w:val="0"/>
          <w:color w:val="000000"/>
          <w:position w:val="0"/>
          <w:sz w:val="20"/>
          <w:u w:val="none"/>
          <w:vertAlign w:val="baseline"/>
        </w:rPr>
        <w:t xml:space="preserve"> There was a strong consensus that collaboration between the public and private sectors is not just beneficial but critical for the future development and responsible deployment of AI. This includes sharing expertise, resources, and understanding.</w:t>
      </w:r>
    </w:p>
    <w:p>
      <w:pPr>
        <w:keepNext w:val="0"/>
        <w:numPr>
          <w:numId w:val="2"/>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Balancing Roles:</w:t>
      </w:r>
      <w:r>
        <w:rPr>
          <w:rFonts w:ascii="arial" w:eastAsia="arial" w:hAnsi="arial" w:cs="arial"/>
          <w:b w:val="0"/>
          <w:i w:val="0"/>
          <w:strike w:val="0"/>
          <w:noProof w:val="0"/>
          <w:color w:val="000000"/>
          <w:position w:val="0"/>
          <w:sz w:val="20"/>
          <w:u w:val="none"/>
          <w:vertAlign w:val="baseline"/>
        </w:rPr>
        <w:t xml:space="preserve"> The discussion explored the balance of leadership in AI policy. While industry drives innovation, government has a crucial role in setting top-line best practices, ensuring accountability, and establishing standards to foster trust. No single entity should operate in isolation.</w:t>
      </w:r>
    </w:p>
    <w:p>
      <w:pPr>
        <w:keepNext w:val="0"/>
        <w:numPr>
          <w:numId w:val="3"/>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Government as an Enabler and Agenda Setter:</w:t>
      </w:r>
      <w:r>
        <w:rPr>
          <w:rFonts w:ascii="arial" w:eastAsia="arial" w:hAnsi="arial" w:cs="arial"/>
          <w:b w:val="0"/>
          <w:i w:val="0"/>
          <w:strike w:val="0"/>
          <w:noProof w:val="0"/>
          <w:color w:val="000000"/>
          <w:position w:val="0"/>
          <w:sz w:val="20"/>
          <w:u w:val="none"/>
          <w:vertAlign w:val="baseline"/>
        </w:rPr>
        <w:t xml:space="preserve"> Participants highlighted the government’s potential to proactively shape the direction of AI development through funding initiatives, prize structures, and identifying areas where AI can address societal goals (e.g., wildfire prevention).</w:t>
      </w:r>
    </w:p>
    <w:p>
      <w:pPr>
        <w:keepNext w:val="0"/>
        <w:numPr>
          <w:numId w:val="4"/>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Addressing the Government’s Knowledge Gap:</w:t>
      </w:r>
      <w:r>
        <w:rPr>
          <w:rFonts w:ascii="arial" w:eastAsia="arial" w:hAnsi="arial" w:cs="arial"/>
          <w:b w:val="0"/>
          <w:i w:val="0"/>
          <w:strike w:val="0"/>
          <w:noProof w:val="0"/>
          <w:color w:val="000000"/>
          <w:position w:val="0"/>
          <w:sz w:val="20"/>
          <w:u w:val="none"/>
          <w:vertAlign w:val="baseline"/>
        </w:rPr>
        <w:t xml:space="preserve"> Lawmakers acknowledged the rapid pace of AI development and the need for Congress to learn from experts in the field. Initiatives like the Senate AI Caucus’s events and the ASAP project aim to bridge this gap.</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 The Challenge of Pace and the Need for Adaptive Governance:</w:t>
      </w:r>
    </w:p>
    <w:p>
      <w:pPr>
        <w:keepNext w:val="0"/>
        <w:numPr>
          <w:numId w:val="5"/>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Industry’s Breakneck Speed vs. Government’s Deliberation:</w:t>
      </w:r>
      <w:r>
        <w:rPr>
          <w:rFonts w:ascii="arial" w:eastAsia="arial" w:hAnsi="arial" w:cs="arial"/>
          <w:b w:val="0"/>
          <w:i w:val="0"/>
          <w:strike w:val="0"/>
          <w:noProof w:val="0"/>
          <w:color w:val="000000"/>
          <w:position w:val="0"/>
          <w:sz w:val="20"/>
          <w:u w:val="none"/>
          <w:vertAlign w:val="baseline"/>
        </w:rPr>
        <w:t xml:space="preserve"> A significant concern was the stark contrast between the rapid advancements in AI and the often-slower pace of governmental processes. This raises questions about the government’s ability to keep up and regulate effectively.</w:t>
      </w:r>
    </w:p>
    <w:p>
      <w:pPr>
        <w:keepNext w:val="0"/>
        <w:numPr>
          <w:numId w:val="6"/>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Regulation vs. Shaping:</w:t>
      </w:r>
      <w:r>
        <w:rPr>
          <w:rFonts w:ascii="arial" w:eastAsia="arial" w:hAnsi="arial" w:cs="arial"/>
          <w:b w:val="0"/>
          <w:i w:val="0"/>
          <w:strike w:val="0"/>
          <w:noProof w:val="0"/>
          <w:color w:val="000000"/>
          <w:position w:val="0"/>
          <w:sz w:val="20"/>
          <w:u w:val="none"/>
          <w:vertAlign w:val="baseline"/>
        </w:rPr>
        <w:t xml:space="preserve"> Participants suggested that instead of solely focusing on traditional regulation, the government should also focus on “shaping” the market through incentives and strategic investments.</w:t>
      </w:r>
    </w:p>
    <w:p>
      <w:pPr>
        <w:keepNext w:val="0"/>
        <w:numPr>
          <w:numId w:val="7"/>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The Need for Adaptability:</w:t>
      </w:r>
      <w:r>
        <w:rPr>
          <w:rFonts w:ascii="arial" w:eastAsia="arial" w:hAnsi="arial" w:cs="arial"/>
          <w:b w:val="0"/>
          <w:i w:val="0"/>
          <w:strike w:val="0"/>
          <w:noProof w:val="0"/>
          <w:color w:val="000000"/>
          <w:position w:val="0"/>
          <w:sz w:val="20"/>
          <w:u w:val="none"/>
          <w:vertAlign w:val="baseline"/>
        </w:rPr>
        <w:t xml:space="preserve"> Given the constant evolution of AI, rigid rules may become quickly outdated. The discussion emphasized the importance of adaptive systems, continuous information sharing, and iterative approaches to governance.</w:t>
      </w:r>
    </w:p>
    <w:p>
      <w:pPr>
        <w:keepNext w:val="0"/>
        <w:numPr>
          <w:numId w:val="8"/>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Challenges for Higher Education:</w:t>
      </w:r>
      <w:r>
        <w:rPr>
          <w:rFonts w:ascii="arial" w:eastAsia="arial" w:hAnsi="arial" w:cs="arial"/>
          <w:b w:val="0"/>
          <w:i w:val="0"/>
          <w:strike w:val="0"/>
          <w:noProof w:val="0"/>
          <w:color w:val="000000"/>
          <w:position w:val="0"/>
          <w:sz w:val="20"/>
          <w:u w:val="none"/>
          <w:vertAlign w:val="baseline"/>
        </w:rPr>
        <w:t xml:space="preserve"> The rapid pace also presents challenges for educational institutions in developing relevant curricula that keep pace with industry changes.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3. Sectoral Regulation as a Preferred Approach:</w:t>
      </w:r>
    </w:p>
    <w:p>
      <w:pPr>
        <w:keepNext w:val="0"/>
        <w:numPr>
          <w:numId w:val="9"/>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Targeted Expertise:</w:t>
      </w:r>
      <w:r>
        <w:rPr>
          <w:rFonts w:ascii="arial" w:eastAsia="arial" w:hAnsi="arial" w:cs="arial"/>
          <w:b w:val="0"/>
          <w:i w:val="0"/>
          <w:strike w:val="0"/>
          <w:noProof w:val="0"/>
          <w:color w:val="000000"/>
          <w:position w:val="0"/>
          <w:sz w:val="20"/>
          <w:u w:val="none"/>
          <w:vertAlign w:val="baseline"/>
        </w:rPr>
        <w:t xml:space="preserve"> Both Congressman Lieu and Senator Rounds advocated for a sectoral approach to regulation, where existing agencies with specific expertise (e.g., FAA, FDA, Department of Agriculture) tailor AI oversight to their respective domains, rather than a single, overarching AI bill.</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4. The Profound Implications of Emerging AI Capabilities:</w:t>
      </w:r>
    </w:p>
    <w:p>
      <w:pPr>
        <w:keepNext w:val="0"/>
        <w:numPr>
          <w:numId w:val="10"/>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AI Agents:</w:t>
      </w:r>
      <w:r>
        <w:rPr>
          <w:rFonts w:ascii="arial" w:eastAsia="arial" w:hAnsi="arial" w:cs="arial"/>
          <w:b w:val="0"/>
          <w:i w:val="0"/>
          <w:strike w:val="0"/>
          <w:noProof w:val="0"/>
          <w:color w:val="000000"/>
          <w:position w:val="0"/>
          <w:sz w:val="20"/>
          <w:u w:val="none"/>
          <w:vertAlign w:val="baseline"/>
        </w:rPr>
        <w:t xml:space="preserve"> The potential of AI agents capable of autonomously executing complex tasks based on simple prompts was highlighted as both “amazing and alarming,” with uncertain societal and economic consequences.</w:t>
      </w:r>
    </w:p>
    <w:p>
      <w:pPr>
        <w:keepNext w:val="0"/>
        <w:numPr>
          <w:numId w:val="11"/>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Artificial General Intelligence (AGI):</w:t>
      </w:r>
      <w:r>
        <w:rPr>
          <w:rFonts w:ascii="arial" w:eastAsia="arial" w:hAnsi="arial" w:cs="arial"/>
          <w:b w:val="0"/>
          <w:i w:val="0"/>
          <w:strike w:val="0"/>
          <w:noProof w:val="0"/>
          <w:color w:val="000000"/>
          <w:position w:val="0"/>
          <w:sz w:val="20"/>
          <w:u w:val="none"/>
          <w:vertAlign w:val="baseline"/>
        </w:rPr>
        <w:t xml:space="preserve"> While considered further out, the long-term implications of AGI, including potential widespread unemployment across all skill levels, were raised as critical considerations for future planning.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5. The Critical Intersection of AI and Energy:</w:t>
      </w:r>
    </w:p>
    <w:p>
      <w:pPr>
        <w:keepNext w:val="0"/>
        <w:numPr>
          <w:numId w:val="12"/>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Growing Energy Demands:</w:t>
      </w:r>
      <w:r>
        <w:rPr>
          <w:rFonts w:ascii="arial" w:eastAsia="arial" w:hAnsi="arial" w:cs="arial"/>
          <w:b w:val="0"/>
          <w:i w:val="0"/>
          <w:strike w:val="0"/>
          <w:noProof w:val="0"/>
          <w:color w:val="000000"/>
          <w:position w:val="0"/>
          <w:sz w:val="20"/>
          <w:u w:val="none"/>
          <w:vertAlign w:val="baseline"/>
        </w:rPr>
        <w:t xml:space="preserve"> The increasing energy consumption of AI, particularly for large language models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was identified as a significant challenge. Projections suggest a substantial increase in national electricity demand due to AI.  </w:t>
      </w:r>
    </w:p>
    <w:p>
      <w:pPr>
        <w:keepNext w:val="0"/>
        <w:numPr>
          <w:numId w:val="13"/>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AI for Energy Solutions:</w:t>
      </w:r>
      <w:r>
        <w:rPr>
          <w:rFonts w:ascii="arial" w:eastAsia="arial" w:hAnsi="arial" w:cs="arial"/>
          <w:b w:val="0"/>
          <w:i w:val="0"/>
          <w:strike w:val="0"/>
          <w:noProof w:val="0"/>
          <w:color w:val="000000"/>
          <w:position w:val="0"/>
          <w:sz w:val="20"/>
          <w:u w:val="none"/>
          <w:vertAlign w:val="baseline"/>
        </w:rPr>
        <w:t xml:space="preserve"> Conversely, the potential of AI to drive advancements in energy efficiency, material science, and the development of new energy sources was also acknowledged.</w:t>
      </w:r>
    </w:p>
    <w:p>
      <w:pPr>
        <w:keepNext w:val="0"/>
        <w:numPr>
          <w:numId w:val="14"/>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Infrastructure and Permitting:</w:t>
      </w:r>
      <w:r>
        <w:rPr>
          <w:rFonts w:ascii="arial" w:eastAsia="arial" w:hAnsi="arial" w:cs="arial"/>
          <w:b w:val="0"/>
          <w:i w:val="0"/>
          <w:strike w:val="0"/>
          <w:noProof w:val="0"/>
          <w:color w:val="000000"/>
          <w:position w:val="0"/>
          <w:sz w:val="20"/>
          <w:u w:val="none"/>
          <w:vertAlign w:val="baseline"/>
        </w:rPr>
        <w:t xml:space="preserve"> The need for significant investment in energy infrastructure, including transmission and new generation capacity (potentially including small nuclear reactors), was discussed, along with the challenges of permitting and local acceptance.</w:t>
      </w:r>
    </w:p>
    <w:p>
      <w:pPr>
        <w:keepNext w:val="0"/>
        <w:numPr>
          <w:numId w:val="15"/>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Resilience and National Security:</w:t>
      </w:r>
      <w:r>
        <w:rPr>
          <w:rFonts w:ascii="arial" w:eastAsia="arial" w:hAnsi="arial" w:cs="arial"/>
          <w:b w:val="0"/>
          <w:i w:val="0"/>
          <w:strike w:val="0"/>
          <w:noProof w:val="0"/>
          <w:color w:val="000000"/>
          <w:position w:val="0"/>
          <w:sz w:val="20"/>
          <w:u w:val="none"/>
          <w:vertAlign w:val="baseline"/>
        </w:rPr>
        <w:t xml:space="preserve"> Concerns were raised about the concentration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specific geographic areas and the need for a resilient and secure energy supply to support both the AI industry and national defense.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6. The Importance of Data Regulation:</w:t>
      </w:r>
    </w:p>
    <w:p>
      <w:pPr>
        <w:keepNext w:val="0"/>
        <w:numPr>
          <w:numId w:val="16"/>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Enabling Innovation and Avoiding Fragmentation:</w:t>
      </w:r>
      <w:r>
        <w:rPr>
          <w:rFonts w:ascii="arial" w:eastAsia="arial" w:hAnsi="arial" w:cs="arial"/>
          <w:b w:val="0"/>
          <w:i w:val="0"/>
          <w:strike w:val="0"/>
          <w:noProof w:val="0"/>
          <w:color w:val="000000"/>
          <w:position w:val="0"/>
          <w:sz w:val="20"/>
          <w:u w:val="none"/>
          <w:vertAlign w:val="baseline"/>
        </w:rPr>
        <w:t xml:space="preserve"> The lack of comprehensive data regulation in the U.S. was identified as a hindrance to innovation and a potential driver of market fragmentation, as companies are forced to comply with varying international standards (e.g., GDPR in Europe).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7. The Uncertainty of Timelines and Adoption:</w:t>
      </w:r>
    </w:p>
    <w:p>
      <w:pPr>
        <w:keepNext w:val="0"/>
        <w:numPr>
          <w:numId w:val="17"/>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Adoption S-Curve:</w:t>
      </w:r>
      <w:r>
        <w:rPr>
          <w:rFonts w:ascii="arial" w:eastAsia="arial" w:hAnsi="arial" w:cs="arial"/>
          <w:b w:val="0"/>
          <w:i w:val="0"/>
          <w:strike w:val="0"/>
          <w:noProof w:val="0"/>
          <w:color w:val="000000"/>
          <w:position w:val="0"/>
          <w:sz w:val="20"/>
          <w:u w:val="none"/>
          <w:vertAlign w:val="baseline"/>
        </w:rPr>
        <w:t xml:space="preserve"> The discussion acknowledged that the widespread adoption of AI may follow an S-curve, potentially taking longer than current rapid advancements might suggest.</w:t>
      </w:r>
    </w:p>
    <w:p>
      <w:pPr>
        <w:keepNext w:val="0"/>
        <w:numPr>
          <w:numId w:val="18"/>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AGI Timeline Uncertainty:</w:t>
      </w:r>
      <w:r>
        <w:rPr>
          <w:rFonts w:ascii="arial" w:eastAsia="arial" w:hAnsi="arial" w:cs="arial"/>
          <w:b w:val="0"/>
          <w:i w:val="0"/>
          <w:strike w:val="0"/>
          <w:noProof w:val="0"/>
          <w:color w:val="000000"/>
          <w:position w:val="0"/>
          <w:sz w:val="20"/>
          <w:u w:val="none"/>
          <w:vertAlign w:val="baseline"/>
        </w:rPr>
        <w:t xml:space="preserve"> The timeline for achieving AGI remains highly uncertain, impacting the relevance of different policy approaches.</w:t>
      </w:r>
    </w:p>
    <w:p>
      <w:pPr>
        <w:keepNext w:val="0"/>
        <w:numPr>
          <w:numId w:val="19"/>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Focus on Foundational Elements:</w:t>
      </w:r>
      <w:r>
        <w:rPr>
          <w:rFonts w:ascii="arial" w:eastAsia="arial" w:hAnsi="arial" w:cs="arial"/>
          <w:b w:val="0"/>
          <w:i w:val="0"/>
          <w:strike w:val="0"/>
          <w:noProof w:val="0"/>
          <w:color w:val="000000"/>
          <w:position w:val="0"/>
          <w:sz w:val="20"/>
          <w:u w:val="none"/>
          <w:vertAlign w:val="baseline"/>
        </w:rPr>
        <w:t xml:space="preserve"> Despite timeline uncertainties, investments in fundamental research, digital infrastructure, and energy solutions were deemed crucial regardless of the specific pace of AI development.</w:t>
      </w:r>
    </w:p>
    <w:p>
      <w:pPr>
        <w:keepNext w:val="0"/>
        <w:numPr>
          <w:numId w:val="20"/>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Comparative and Absolute Advantage:</w:t>
      </w:r>
      <w:r>
        <w:rPr>
          <w:rFonts w:ascii="arial" w:eastAsia="arial" w:hAnsi="arial" w:cs="arial"/>
          <w:b w:val="0"/>
          <w:i w:val="0"/>
          <w:strike w:val="0"/>
          <w:noProof w:val="0"/>
          <w:color w:val="000000"/>
          <w:position w:val="0"/>
          <w:sz w:val="20"/>
          <w:u w:val="none"/>
          <w:vertAlign w:val="baseline"/>
        </w:rPr>
        <w:t xml:space="preserve"> The discussion highlighted that even with absolute advantages in certain tasks, AI adoption will also be influenced by factors like cost, practicality, and comparative advantages of existing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summary, the roundtable highlighted the urgent need for proactive and collaborative approaches to AI governance, focusing on sectoral expertise, adaptability, and addressing the significant implications for energy infrastructure and the future of work. The rapid pace of innovation necessitates continuous learning and engagement between policymakers, industry leaders, and researchers.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latest news, weather, sports, and streaming video, head to The Hill.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670361828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ARTIFICIAL INTELLIGENCE (90%);  PUBLIC PRIVATE PARTNERSHIPS (89%);  ARTIFICIAL INTELLIGENCE REGULATION &amp; POLICY (89%);  TECHNOLOGY (89%);  POLITICS (89%);  EXECUTIVES (78%);  ARTIFICIAL INTELLIGENCE GOVERNANCE (78%);  INFORMATION TECHNOLOGY INDUSTRY (78%);  PUBLIC POLICY (78%);  ARTIFICIAL INTELLIGENCE INFRASTRUCTURE (78%);  ENERGY &amp; UTILITY REGULATION &amp; POLICY (76%);  SOCIETY  SOCIAL ASSISTANCE &amp; LIFESTYLE (76%);  ELECTRIC POWER PLANTS (76%);  CAUCUSES (76%);  BEST PRACTICES (76%);  US DEMOCRATIC PARTY (76%);  US CONGRESS (76%);  ENERGY &amp; UTILITIES (76%);  LEGISLATIVE BODIES (75%);  NEWS BRIEFS (73%);  TECHNOLOGY TRANSFER (73%);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(71%);  DRIVING &amp; TRAFFIC LAWS (71%);  FIRE PREVENTION &amp; SAFETY (50%); ARTIFICIAL INTELLIGENCE INFRASTRUCTURE (78%); TECHNOLOGY (89%); TECHNOLOGY TRANSFER (73%);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(71%); POLITICS (89%); NEWS BRIEFS (73%); BEST PRACTICES (76%); FIRE PREVENTION &amp; SAFETY (50%); ARTIFICIAL INTELLIGENCE GOVERNANCE (78%); LEGISLATIVE BODIES (75%); CAUCUSES (89%); PUBLIC PRIVATE PARTNERSHIPS (89%); EXECUTIVES (78%); ARTIFICIAL INTELLIGENCE REGULATION &amp; POLICY (89%); PUBLIC POLICY (78%); SOCIETY, SOCIAL ASSISTANCE &amp; LIFESTYLE (76%); ENERGY &amp; UTILITY REGULATION &amp; POLICY (76%); EDITORIALS &amp; OPINIONS (99%); ARTIFICIAL INTELLIGENCE (91%); US CONGRESS (76%); US DEMOCRATIC PARTY (76%); DRIVING &amp; TRAFFIC LAWS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ESSENTIAL UTILITIES INC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ROYAL INSTITUTE OF INTERNATIONAL AFFAIRS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WTRG (NYSE)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NAICS221310 WATER SUPPLY &amp; IRRIGATION SYSTEMS (52%); SIC4941 WATER SUPPLY (52%); ARTIFICIAL INTELLIGENCE INFRASTRUCTURE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(71%); ENERGY &amp; UTILITIES (76%); INFORMATION TECHNOLOGY INDUSTRY (78%); ARTIFICIAL INTELLIGENCE GOVERNANCE (78%); ELECTRIC POWER PLANTS (76%); ARTIFICIAL INTELLIGENCE REGULATION &amp; POLICY (89%); ENERGY &amp; UTILITY REGULATION &amp; POLICY (76%); ARTIFICIAL INTELLIGENCE (91%); DRIVING &amp; TRAFFIC LAWS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TED LIEU (71%);  MIKE ROUNDS (69%); MIKE ROUNDS (69%); TED LIEU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(79%);  NEW SOUTH WALES, AUSTRALIA (79%); WASHINGTON DC, USA (92%); NEW SOUTH WALES, AUSTRALIA (79%);  UNITED STATES (94%);  AUSTRALIA (92%);  AUSTRALIA &amp; NEW ZEALAND (91%);  OCEANIA (79%);  NEW ZEALAND (79%); OCEANIA (79%); UNITED STATES (99%); AUSTRALIA (96%); NEW ZEALAND (79%); AUSTRALIA &amp; NEW ZEALAND (91%); State of New South Wales; United States &amp; Australia; Americas, Northern America; Oceania, Australia and New Zealand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Hill Roundtable: What’s next for AI infrastructure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Hill Roundtable: What’s next for AI infrastructure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