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 xml:space="preserve">Warburg Pincus-backed Princeton Digital to invest $1 bln in Japan </w:t>
      </w:r>
      <w:r>
        <w:rPr>
          <w:rFonts w:ascii="arial" w:eastAsia="arial" w:hAnsi="arial" w:cs="arial"/>
          <w:b/>
          <w:i w:val="0"/>
          <w:strike w:val="0"/>
          <w:noProof w:val="0"/>
          <w:color w:val="000000"/>
          <w:position w:val="0"/>
          <w:sz w:val="28"/>
          <w:u w:val="none"/>
          <w:vertAlign w:val="baseline"/>
        </w:rPr>
        <w:t>data center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Postmedia Breaking News</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June 29, 2021 Tuesday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Web Edition</w:t>
      </w:r>
    </w:p>
    <w:p>
      <w:pPr>
        <w:keepNext w:val="0"/>
        <w:spacing w:after="0" w:line="240" w:lineRule="atLeast"/>
        <w:ind w:right="0"/>
        <w:jc w:val="both"/>
      </w:pPr>
      <w:bookmarkStart w:id="0" w:name="Bookmark_114"/>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Postmedia Breaking News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PMN BUSINESS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SINGAPORE - Singapore-based Princeton Digital Group (PDG), backed by private equity firm Warburg Pincus, said on Tuesday it was investing $1 billion to build a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facility in Japan, marking the company's foray into its fifth market.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campus at Saitama City, a commercial center in the Greater Tokyo area, will have close to 100 megawatts (MW) of capacity across two phases of 48.5 MW each, the company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 campus will be fully operational by the end of 2023 or early 2024, Chief Executive Rangu Salgame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facility will take PDG's capacity to 450 MW. PDG, which was formed in 2017, already has 18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across 4 countries - China, Singapore, Indonesia and India.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company is looking at deepening its presence in existing markets, and is considering new ones such as South Korea and other Southeast Asian countries, Salgame said. The company hopes to reach a 600 MW capacity portfolio soon,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April, the company secured $230 million debt refinancing from China Merchants Bank as part of a $1 billion expansion plan in China. Last year, it raised $360 million in a funding led by Ontario Teachers' Pension Plan Board.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 project will be funded by a mix of equity and debt, Salgame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lot of capital to draw on. But as a group we are always talking to investors in the marketplace,"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Demand for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has accelerated on the back of the COVID-19 pandemic as more companies and people go online, driving up the need for hosting, storage and cloud computing facilities. (Reporting by Aradhana Aravindan in Singapore Editing by Ed Davies) !@COPYRIGHT=© 2021 Postmedia Network Inc. All rights reserved.</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Newswire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EQUITIES (90%); PENSION FUNDS (78%); PRIVATE EQUITY (78%); SECURITIES &amp; OTHER INVESTMENTS (78%); CORPORATE DEBT FINANCING (72%); PANDEMICS (69%); COVID CORONAVIRUS (63%); COVID-19 CORONAVIRUS (63%); INFECTIOUS DISEASE (63%); EXECUTIVES (55%); EPIDEMICS (50%); singapore,princeton,digital,group,backed,private !@PERMALINK= https://financialpost.com/pmn/business-pmn/warburg-pincus-backed-princeton-digital-to-invest-1-bln-in-japan-</w:t>
      </w:r>
      <w:r>
        <w:rPr>
          <w:rFonts w:ascii="arial" w:eastAsia="arial" w:hAnsi="arial" w:cs="arial"/>
          <w:b/>
          <w:i/>
          <w:strike w:val="0"/>
          <w:noProof w:val="0"/>
          <w:color w:val="000000"/>
          <w:position w:val="0"/>
          <w:sz w:val="20"/>
          <w:u w:val="single"/>
          <w:vertAlign w:val="baseline"/>
        </w:rPr>
        <w:t>data-center</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Company:</w:t>
      </w:r>
      <w:r>
        <w:rPr>
          <w:rFonts w:ascii="arial" w:eastAsia="arial" w:hAnsi="arial" w:cs="arial"/>
          <w:b w:val="0"/>
          <w:i w:val="0"/>
          <w:strike w:val="0"/>
          <w:noProof w:val="0"/>
          <w:color w:val="000000"/>
          <w:position w:val="0"/>
          <w:sz w:val="20"/>
          <w:u w:val="none"/>
          <w:vertAlign w:val="baseline"/>
        </w:rPr>
        <w:t>  WARBURG PINCUS LLC (90%);  CHINA MERCHANTS BANK CO LTD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Ticker:</w:t>
      </w:r>
      <w:r>
        <w:rPr>
          <w:rFonts w:ascii="arial" w:eastAsia="arial" w:hAnsi="arial" w:cs="arial"/>
          <w:b w:val="0"/>
          <w:i w:val="0"/>
          <w:strike w:val="0"/>
          <w:noProof w:val="0"/>
          <w:color w:val="000000"/>
          <w:position w:val="0"/>
          <w:sz w:val="20"/>
          <w:u w:val="none"/>
          <w:vertAlign w:val="baseline"/>
        </w:rPr>
        <w:t> 3968 (HKSE) (54%)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NAICS525990 OTHER FINANCIAL VEHICLES (90%); NAICS523999 MISCELLANEOUS FINANCIAL INVESTMENT ACTIVITIES (90%); SIC6799 INVESTORS, NEC (90%); SIC6726 UNIT INVESTMENT TRUSTS, FACE-AMOUNT CERTIFICATE OFFICES, &amp; CLOSED-END MANAGEMENT INVESTMENT OFFICES (90%); SIC6722 MANAGEMENT INVESTMENT OFFICES, OPEN-END (90%); NAICS521110 MONETARY AUTHORITIES - CENTRAL BANK (54%); SIC6021 NATIONAL COMMERCIAL BANKS (54%);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(90%); EQUITIES (90%); PENSION FUNDS (78%); PRIVATE EQUITY (78%); SECURITIES &amp; OTHER INVESTMENTS (78%); MERCHANT BANKING (73%); CORPORATE DEBT FINANCING (72%); CLOUD COMPUTING (68%)</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TOKYO, JAPAN (58%); SINGAPORE (94%); JAPAN (91%); CHINA (90%); ASIA (79%); INDONESIA (78%); SOUTH-EASTERN ASIA (74%)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June 28,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Warburg Pincus-backed Princeton Digital to invest $1 bln in Japan data center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Warburg Pincus-backed Princeton Digital to invest $1 bln in Japan data center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114">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