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Table VI. Evidence-scoped capability matrix.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p>
            <w:r>
              <w:rPr>
                <w:b/>
              </w:rPr>
              <w:t xml:space="preserve">feature</w:t>
            </w:r>
          </w:p>
        </w:tc>
        <w:tc>
          <w:p>
            <w:r>
              <w:rPr>
                <w:b/>
              </w:rPr>
              <w:t xml:space="preserve">operational_definition</w:t>
            </w:r>
          </w:p>
        </w:tc>
        <w:tc>
          <w:p>
            <w:r>
              <w:rPr>
                <w:b/>
              </w:rPr>
              <w:t xml:space="preserve">SOG_2009</w:t>
            </w:r>
          </w:p>
        </w:tc>
        <w:tc>
          <w:p>
            <w:r>
              <w:rPr>
                <w:b/>
              </w:rPr>
              <w:t xml:space="preserve">Febrl</w:t>
            </w:r>
          </w:p>
        </w:tc>
        <w:tc>
          <w:p>
            <w:r>
              <w:rPr>
                <w:b/>
              </w:rPr>
              <w:t xml:space="preserve">GeCo_DBGen</w:t>
            </w:r>
          </w:p>
        </w:tc>
        <w:tc>
          <w:p>
            <w:r>
              <w:rPr>
                <w:b/>
              </w:rPr>
              <w:t xml:space="preserve">EMBench_plus_plus</w:t>
            </w:r>
          </w:p>
        </w:tc>
        <w:tc>
          <w:p>
            <w:r>
              <w:rPr>
                <w:b/>
              </w:rPr>
              <w:t xml:space="preserve">pseudopeople</w:t>
            </w:r>
          </w:p>
        </w:tc>
        <w:tc>
          <w:p>
            <w:r>
              <w:rPr>
                <w:b/>
              </w:rPr>
              <w:t xml:space="preserve">this_work</w:t>
            </w:r>
          </w:p>
        </w:tc>
      </w:tr>
      <w:tr>
        <w:tc>
          <w:p>
            <w:r>
              <w:t xml:space="preserve">Temporal truth simulation</w:t>
            </w:r>
          </w:p>
        </w:tc>
        <w:tc>
          <w:p>
            <w:r>
              <w:t xml:space="preserve">Latent entities and attributes evolve over modeled time, rather than only being copied and corrupted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Household or lifecycle events</w:t>
            </w:r>
          </w:p>
        </w:tc>
        <w:tc>
          <w:p>
            <w:r>
              <w:t xml:space="preserve">Household relationships or demographic lifecycle changes are represented in the generative process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Multi-snapshot observation</w:t>
            </w:r>
          </w:p>
        </w:tc>
        <w:tc>
          <w:p>
            <w:r>
              <w:t xml:space="preserve">The same latent population can be observed at multiple modeled times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Explicit cardinality modes</w:t>
            </w:r>
          </w:p>
        </w:tc>
        <w:tc>
          <w:p>
            <w:r>
              <w:t xml:space="preserve">One-to-one, one-to-many, many-to-one, and many-to-many linkage modes are selectable concepts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Topology controls</w:t>
            </w:r>
          </w:p>
        </w:tc>
        <w:tc>
          <w:p>
            <w:r>
              <w:t xml:space="preserve">Deduplication, pairwise linkage, and N-way linkage topologies are explicit controls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Per-source noise profiles</w:t>
            </w:r>
          </w:p>
        </w:tc>
        <w:tc>
          <w:p>
            <w:r>
              <w:t xml:space="preserve">Different observed sources can receive distinct error mechanisms or rates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Name-collision control</w:t>
            </w:r>
          </w:p>
        </w:tc>
        <w:tc>
          <w:p>
            <w:r>
              <w:t xml:space="preserve">The generator directly controls identical or near-identical names among distinct entities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Canonical cluster truth map</w:t>
            </w:r>
          </w:p>
        </w:tc>
        <w:tc>
          <w:p>
            <w:r>
              <w:t xml:space="preserve">Outputs retain a stable mapping from observed records to their generating entity or cluster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Output-contract validation</w:t>
            </w:r>
          </w:p>
        </w:tc>
        <w:tc>
          <w:p>
            <w:r>
              <w:t xml:space="preserve">Machine-executable checks validate required output files, schemas, keys, and cross-file invariants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Deterministic hash-stable traits</w:t>
            </w:r>
          </w:p>
        </w:tc>
        <w:tc>
          <w:p>
            <w:r>
              <w:t xml:space="preserve">Seeded reruns preserve designated latent traits under deterministic hash-based assignment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●</w:t>
            </w:r>
          </w:p>
        </w:tc>
      </w:tr>
      <w:tr>
        <w:tc>
          <w:p>
            <w:r>
              <w:t xml:space="preserve">Open configurations</w:t>
            </w:r>
          </w:p>
        </w:tc>
        <w:tc>
          <w:p>
            <w:r>
              <w:t xml:space="preserve">Users can inspect and modify generation or corruption parameters</w:t>
            </w:r>
          </w:p>
        </w:tc>
        <w:tc>
          <w:p>
            <w:r>
              <w:t xml:space="preserve">◐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  <w:tc>
          <w:p>
            <w:r>
              <w:t xml:space="preserve">●</w:t>
            </w:r>
          </w:p>
        </w:tc>
      </w:tr>
    </w:tbl>
    <w:sectPr>
      <w:pgSz w:w="12240" w:h="15840" w:orient="portrait"/>
      <w:pgMar w:top="720" w:right="720" w:bottom="720" w:left="720"/>
    </w:sectPr>
  </w:body>
</w:document>
</file>