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pStyle w:val="Title"/>
        <w:jc w:val="center"/>
      </w:pPr>
      <w:r>
        <w:t>Namų darbas Nr 2</w:t>
      </w:r>
    </w:p>
    <w:p>
      <w:pPr>
        <w:pStyle w:val="Subtitle"/>
        <w:jc w:val="center"/>
      </w:pPr>
      <w:r>
        <w:t>Mokslinio straipsnio eksperimentų atkūrimas taikant DI agentą</w:t>
      </w:r>
    </w:p>
    <w:p>
      <w:pPr>
        <w:spacing w:before="600"/>
        <w:jc w:val="center"/>
      </w:pPr>
      <w:r>
        <w:rPr>
          <w:rFonts w:ascii="Times New Roman" w:hAnsi="Times New Roman"/>
          <w:b/>
          <w:color w:val="000000"/>
          <w:sz w:val="28"/>
        </w:rPr>
        <w:t>Nepageidaujamų laiškų atpažinimas naudojant MLP ir SVM</w:t>
      </w:r>
    </w:p>
    <w:p>
      <w:pPr>
        <w:spacing w:after="2100"/>
      </w:pPr>
    </w:p>
    <w:p>
      <w:pPr>
        <w:jc w:val="right"/>
      </w:pPr>
      <w:r>
        <w:rPr>
          <w:rFonts w:ascii="Times New Roman" w:hAnsi="Times New Roman"/>
          <w:b w:val="0"/>
          <w:color w:val="000000"/>
          <w:sz w:val="24"/>
        </w:rPr>
        <w:t xml:space="preserve">Studentas: </w:t>
      </w:r>
      <w:r>
        <w:rPr>
          <w:rFonts w:ascii="Times New Roman" w:hAnsi="Times New Roman"/>
          <w:b/>
          <w:color w:val="000000"/>
          <w:sz w:val="24"/>
        </w:rPr>
        <w:t>Mantas Matusevičius</w:t>
      </w:r>
      <w:r>
        <w:rPr>
          <w:rFonts w:ascii="Times New Roman" w:hAnsi="Times New Roman"/>
          <w:b w:val="0"/>
          <w:color w:val="000000"/>
          <w:sz w:val="24"/>
        </w:rPr>
        <w:br/>
        <w:t xml:space="preserve">Grupė: </w:t>
      </w:r>
      <w:r>
        <w:rPr>
          <w:rFonts w:ascii="Times New Roman" w:hAnsi="Times New Roman"/>
          <w:b/>
          <w:color w:val="000000"/>
          <w:sz w:val="24"/>
        </w:rPr>
        <w:t>DISfm-26</w:t>
      </w:r>
    </w:p>
    <w:p>
      <w:r>
        <w:br w:type="page"/>
      </w:r>
    </w:p>
    <w:p>
      <w:pPr>
        <w:pStyle w:val="Heading1"/>
        <w:keepNext/>
      </w:pPr>
      <w:r>
        <w:t>Darbo tikslas ir pasirinktas straipsnis</w:t>
      </w:r>
    </w:p>
    <w:p>
      <w:r>
        <w:t>Darbo tikslas buvo pasitelkus DI agentą atkurti moksliniame straipsnyje aprašytus nepageidaujamų laiškų klasifikavimo eksperimentus, palyginti gautus rezultatus su autorių rezultatais ir atlikti papildomą bandymą pakeitus modelį. Pasirinkau M. Dewis ir T. Viana straipsnį „Phish Responder: A Hybrid Machine Learning Approach to Detect Phishing and Spam Emails“, paskelbtą žurnale Applied System Innovation. Straipsnis tiesiogiai susijęs su mano nagrinėjama brukalo atpažinimo tema ir naudoja viešai prieinamą UCI Spambase duomenų rinkinį.</w:t>
      </w:r>
    </w:p>
    <w:tbl>
      <w:tblPr>
        <w:tblStyle w:val="TableGrid"/>
        <w:tblW w:type="auto" w:w="0"/>
        <w:jc w:val="center"/>
        <w:tblLayout w:type="fixed"/>
        <w:tblLook w:firstColumn="1" w:firstRow="1" w:lastColumn="0" w:lastRow="0" w:noHBand="0" w:noVBand="1" w:val="04A0"/>
      </w:tblPr>
      <w:tblGrid>
        <w:gridCol w:w="4968"/>
        <w:gridCol w:w="4968"/>
      </w:tblGrid>
      <w:tr>
        <w:tc>
          <w:tcPr>
            <w:tcW w:type="dxa" w:w="216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20"/>
              </w:rPr>
              <w:t>Laukas</w:t>
            </w:r>
          </w:p>
        </w:tc>
        <w:tc>
          <w:tcPr>
            <w:tcW w:type="dxa" w:w="806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20"/>
              </w:rPr>
              <w:t>Reikšmė</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20"/>
              </w:rPr>
              <w:t>Straipsnis</w:t>
            </w:r>
          </w:p>
        </w:tc>
        <w:tc>
          <w:tcPr>
            <w:tcW w:type="dxa" w:w="80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20"/>
              </w:rPr>
              <w:t>Dewis ir Viana, Phish Responder</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left"/>
            </w:pPr>
            <w:r>
              <w:rPr>
                <w:rFonts w:ascii="Times New Roman" w:hAnsi="Times New Roman"/>
                <w:b w:val="0"/>
                <w:color w:val="000000"/>
                <w:sz w:val="20"/>
              </w:rPr>
              <w:t>Leidinys</w:t>
            </w:r>
          </w:p>
        </w:tc>
        <w:tc>
          <w:tcPr>
            <w:tcW w:type="dxa" w:w="80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20"/>
              </w:rPr>
              <w:t>Applied System Innovation, 5(4), 73</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20"/>
              </w:rPr>
              <w:t>DOI</w:t>
            </w:r>
          </w:p>
        </w:tc>
        <w:tc>
          <w:tcPr>
            <w:tcW w:type="dxa" w:w="80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20"/>
              </w:rPr>
              <w:t>10.3390/asi5040073</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left"/>
            </w:pPr>
            <w:r>
              <w:rPr>
                <w:rFonts w:ascii="Times New Roman" w:hAnsi="Times New Roman"/>
                <w:b w:val="0"/>
                <w:color w:val="000000"/>
                <w:sz w:val="20"/>
              </w:rPr>
              <w:t>Duomenys</w:t>
            </w:r>
          </w:p>
        </w:tc>
        <w:tc>
          <w:tcPr>
            <w:tcW w:type="dxa" w:w="80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20"/>
              </w:rPr>
              <w:t>UCI Spambase, 4601 įrašas ir 57 požymiai</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20"/>
              </w:rPr>
              <w:t>Atkurtas metodas</w:t>
            </w:r>
          </w:p>
        </w:tc>
        <w:tc>
          <w:tcPr>
            <w:tcW w:type="dxa" w:w="80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20"/>
              </w:rPr>
              <w:t>Daugiasluoksnis perceptronas MLP</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left"/>
            </w:pPr>
            <w:r>
              <w:rPr>
                <w:rFonts w:ascii="Times New Roman" w:hAnsi="Times New Roman"/>
                <w:b w:val="0"/>
                <w:color w:val="000000"/>
                <w:sz w:val="20"/>
              </w:rPr>
              <w:t>Papildomi metodai</w:t>
            </w:r>
          </w:p>
        </w:tc>
        <w:tc>
          <w:tcPr>
            <w:tcW w:type="dxa" w:w="80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20"/>
              </w:rPr>
              <w:t>Kompaktiškas MLP ir SVM su RBF branduoliu</w:t>
            </w:r>
          </w:p>
        </w:tc>
      </w:tr>
    </w:tbl>
    <w:p>
      <w:pPr>
        <w:spacing w:after="0"/>
      </w:pPr>
    </w:p>
    <w:p>
      <w:pPr>
        <w:pStyle w:val="Heading2"/>
        <w:keepNext/>
      </w:pPr>
      <w:r>
        <w:t>Straipsnyje aprašyti eksperimentai</w:t>
      </w:r>
    </w:p>
    <w:p>
      <w:r>
        <w:t>Straipsnyje lyginami Keras ir PyTorch karkasai, keturi optimizatoriai, skirtingi aktyvacijos funkcijų deriniai, paketų dydžiai ir kelios MLP architektūros. Skaitiniams duomenims autoriai pasirinko MLP, o pagrindinę konfigūraciją sudarė binary crossentropy nuostolio funkcija, Nadam optimizatorius, ReLU pirmame sluoksnyje, sigmoidinės funkcijos likusiuose sluoksniuose, 32 dydžio paketas ir 100 epochų. Autoriai pranešė apie maždaug 94–95 % tikslumą su skaitiniais duomenimis.</w:t>
      </w:r>
    </w:p>
    <w:p>
      <w:pPr>
        <w:pStyle w:val="Heading2"/>
        <w:keepNext/>
      </w:pPr>
      <w:r>
        <w:t>Atkuriamumo problema</w:t>
      </w:r>
    </w:p>
    <w:p>
      <w:r>
        <w:t>Visiškai tikslaus atkūrimo atlikti neįmanoma, nes straipsnyje nepateikta atsitiktinė sėkla, nenurodyta, ar skaitiniai požymiai buvo standartizuoti, ir nepaskelbtas visas programos kodas. Dar svarbiau, straipsnio 6 lentelėje Spambase rinkiniui nurodyti 2505 + 2505 mokymo ir 544 + 544 testavimo atvejai. Bendra suma yra 6098, nors oficialiame rinkinyje yra tik 4601 įrašas. Straipsnyje nepaaiškinta, kaip buvo balansuojama arba dubliuojama. Todėl naudojau oficialius duomenis be dirbtinio eilučių dauginimo ir aiškiai fiksuotas sėklas.</w:t>
      </w:r>
    </w:p>
    <w:p>
      <w:r>
        <w:br w:type="page"/>
      </w:r>
    </w:p>
    <w:p>
      <w:pPr>
        <w:pStyle w:val="Heading1"/>
        <w:keepNext/>
      </w:pPr>
      <w:r>
        <w:t>Duomenys ir programinė aplinka</w:t>
      </w:r>
    </w:p>
    <w:p>
      <w:r>
        <w:t>UCI Spambase rinkinyje yra 2788 teisėtų laiškų ir 1813 brukalo pavyzdžių. Kiekvieną kartą duomenys buvo stratifikuotai padalyti į 70 % mokymo ir 30 % testavimo dalis. Eksperimentai pakartoti su sėklomis 42, 43, 44, 45 ir 46. Testavimo dalis nebuvo naudojama modelio mokymui.</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9"/>
              </w:rPr>
              <w:t>Komponentas</w:t>
            </w:r>
          </w:p>
        </w:tc>
        <w:tc>
          <w:tcPr>
            <w:tcW w:type="dxa" w:w="76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9"/>
              </w:rPr>
              <w:t>Naudota aplinka</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19"/>
              </w:rPr>
              <w:t>Operacinė sistema</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9"/>
              </w:rPr>
              <w:t>Windows 10 64 bitų</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left"/>
            </w:pPr>
            <w:r>
              <w:rPr>
                <w:rFonts w:ascii="Times New Roman" w:hAnsi="Times New Roman"/>
                <w:b w:val="0"/>
                <w:color w:val="000000"/>
                <w:sz w:val="19"/>
              </w:rPr>
              <w:t>Procesorius</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9"/>
              </w:rPr>
              <w:t>Intel Core i7-7700K 4,20 GHz, 4 branduoliai, 8 loginiai procesoriai</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19"/>
              </w:rPr>
              <w:t>Operatyvioji atmintis</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9"/>
              </w:rPr>
              <w:t>32 GB</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left"/>
            </w:pPr>
            <w:r>
              <w:rPr>
                <w:rFonts w:ascii="Times New Roman" w:hAnsi="Times New Roman"/>
                <w:b w:val="0"/>
                <w:color w:val="000000"/>
                <w:sz w:val="19"/>
              </w:rPr>
              <w:t>Python</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9"/>
              </w:rPr>
              <w:t>3.12.14</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19"/>
              </w:rPr>
              <w:t>TensorFlow</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9"/>
              </w:rPr>
              <w:t>2.20.0, CPU</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left"/>
            </w:pPr>
            <w:r>
              <w:rPr>
                <w:rFonts w:ascii="Times New Roman" w:hAnsi="Times New Roman"/>
                <w:b w:val="0"/>
                <w:color w:val="000000"/>
                <w:sz w:val="19"/>
              </w:rPr>
              <w:t>scikit-learn</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9"/>
              </w:rPr>
              <w:t>1.7.2</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19"/>
              </w:rPr>
              <w:t>Duomenų rinkinys</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9"/>
              </w:rPr>
              <w:t>Spambase, 4601 × 57</w:t>
            </w:r>
          </w:p>
        </w:tc>
      </w:tr>
    </w:tbl>
    <w:p>
      <w:pPr>
        <w:spacing w:after="0"/>
      </w:pPr>
    </w:p>
    <w:p>
      <w:pPr>
        <w:pStyle w:val="Heading2"/>
        <w:keepNext/>
      </w:pPr>
      <w:r>
        <w:t>Eksperimentų tvarka</w:t>
      </w:r>
    </w:p>
    <w:p>
      <w:pPr>
        <w:pStyle w:val="ListNumber"/>
      </w:pPr>
      <w:r>
        <w:t>Patikrintas duomenų eilučių, požymių ir klasių skaičius.</w:t>
      </w:r>
    </w:p>
    <w:p>
      <w:pPr>
        <w:pStyle w:val="ListNumber"/>
      </w:pPr>
      <w:r>
        <w:t>Kiekvienai sėklai sudarytos naujos 70/30 stratifikuotos imtys.</w:t>
      </w:r>
    </w:p>
    <w:p>
      <w:pPr>
        <w:pStyle w:val="ListNumber"/>
      </w:pPr>
      <w:r>
        <w:t>Atkurti visi dešimt straipsnio optimizatorių ir aktyvacijos funkcijų derinių.</w:t>
      </w:r>
    </w:p>
    <w:p>
      <w:pPr>
        <w:pStyle w:val="ListNumber"/>
      </w:pPr>
      <w:r>
        <w:t>Patikrinti paketų dydžiai 10, 32 ir 64 bei keturios 7 paveiksle aprašytos architektūros.</w:t>
      </w:r>
    </w:p>
    <w:p>
      <w:pPr>
        <w:pStyle w:val="ListNumber"/>
      </w:pPr>
      <w:r>
        <w:t>Papildomai patikrintas standartizavimas, MLP 64-32-16 ir SVM su RBF branduoliu.</w:t>
      </w:r>
    </w:p>
    <w:p>
      <w:pPr>
        <w:pStyle w:val="ListNumber"/>
      </w:pPr>
      <w:r>
        <w:t>Išsaugoti kiekvieno paleidimo rodikliai, vidurkiai, standartiniai nuokrypiai, modeliai ir grafikai.</w:t>
      </w:r>
    </w:p>
    <w:p>
      <w:r>
        <w:br w:type="page"/>
      </w:r>
    </w:p>
    <w:p>
      <w:pPr>
        <w:pStyle w:val="Heading1"/>
        <w:keepNext/>
      </w:pPr>
      <w:r>
        <w:t>Atkurtų eksperimentų rezultatai</w:t>
      </w:r>
    </w:p>
    <w:p>
      <w:pPr>
        <w:pStyle w:val="Heading2"/>
        <w:keepNext/>
      </w:pPr>
      <w:r>
        <w:t>Optimizatoriai ir aktyvacijos funkcijos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40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6"/>
              </w:rPr>
              <w:t>Konfigūracija</w:t>
            </w:r>
          </w:p>
        </w:tc>
        <w:tc>
          <w:tcPr>
            <w:tcW w:type="dxa" w:w="172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6"/>
              </w:rPr>
              <w:t>Straipsnis</w:t>
            </w:r>
          </w:p>
        </w:tc>
        <w:tc>
          <w:tcPr>
            <w:tcW w:type="dxa" w:w="259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6"/>
              </w:rPr>
              <w:t>Atkurta</w:t>
            </w:r>
          </w:p>
        </w:tc>
        <w:tc>
          <w:tcPr>
            <w:tcW w:type="dxa" w:w="172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6"/>
              </w:rPr>
              <w:t>Skirtumas</w:t>
            </w:r>
          </w:p>
        </w:tc>
      </w:tr>
      <w:tr>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16"/>
              </w:rPr>
              <w:t>Nadam ReLU/ReLU</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86,00 %</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92,06 % ± 3,00 %</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+6,06 p. p.</w:t>
            </w:r>
          </w:p>
        </w:tc>
      </w:tr>
      <w:tr>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left"/>
            </w:pPr>
            <w:r>
              <w:rPr>
                <w:rFonts w:ascii="Times New Roman" w:hAnsi="Times New Roman"/>
                <w:b w:val="0"/>
                <w:color w:val="000000"/>
                <w:sz w:val="16"/>
              </w:rPr>
              <w:t>Adam ReLU/ReLU</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81,00 %</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93,66 % ± 0,85 %</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+12,66 p. p.</w:t>
            </w:r>
          </w:p>
        </w:tc>
      </w:tr>
      <w:tr>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16"/>
              </w:rPr>
              <w:t>Adam sigmoid/sigmoid</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94,00 %</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92,27 % ± 1,37 %</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-1,73 p. p.</w:t>
            </w:r>
          </w:p>
        </w:tc>
      </w:tr>
      <w:tr>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left"/>
            </w:pPr>
            <w:r>
              <w:rPr>
                <w:rFonts w:ascii="Times New Roman" w:hAnsi="Times New Roman"/>
                <w:b w:val="0"/>
                <w:color w:val="000000"/>
                <w:sz w:val="16"/>
              </w:rPr>
              <w:t>Adamax sigmoid/sigmoid</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94,00 %</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92,70 % ± 0,54 %</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-1,30 p. p.</w:t>
            </w:r>
          </w:p>
        </w:tc>
      </w:tr>
      <w:tr>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16"/>
              </w:rPr>
              <w:t>Nadam sigmoid/sigmoid</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94,00 %</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92,85 % ± 1,11 %</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-1,15 p. p.</w:t>
            </w:r>
          </w:p>
        </w:tc>
      </w:tr>
      <w:tr>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left"/>
            </w:pPr>
            <w:r>
              <w:rPr>
                <w:rFonts w:ascii="Times New Roman" w:hAnsi="Times New Roman"/>
                <w:b w:val="0"/>
                <w:color w:val="000000"/>
                <w:sz w:val="16"/>
              </w:rPr>
              <w:t>RMSprop sigmoid/sigmoid</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94,00 %</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60,61 % ± 0,00 %</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-33,39 p. p.</w:t>
            </w:r>
          </w:p>
        </w:tc>
      </w:tr>
      <w:tr>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16"/>
              </w:rPr>
              <w:t>Nadam ReLU/sigmoid</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95,00 %</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90,31 % ± 3,36 %</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-4,69 p. p.</w:t>
            </w:r>
          </w:p>
        </w:tc>
      </w:tr>
      <w:tr>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left"/>
            </w:pPr>
            <w:r>
              <w:rPr>
                <w:rFonts w:ascii="Times New Roman" w:hAnsi="Times New Roman"/>
                <w:b w:val="0"/>
                <w:color w:val="000000"/>
                <w:sz w:val="16"/>
              </w:rPr>
              <w:t>RMSprop ReLU/sigmoid</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94,00 %</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60,61 % ± 0,00 %</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-33,39 p. p.</w:t>
            </w:r>
          </w:p>
        </w:tc>
      </w:tr>
      <w:tr>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16"/>
              </w:rPr>
              <w:t>Adam ReLU/sigmoid</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94,00 %</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91,73 % ± 1,99 %</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-2,27 p. p.</w:t>
            </w:r>
          </w:p>
        </w:tc>
      </w:tr>
      <w:tr>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left"/>
            </w:pPr>
            <w:r>
              <w:rPr>
                <w:rFonts w:ascii="Times New Roman" w:hAnsi="Times New Roman"/>
                <w:b w:val="0"/>
                <w:color w:val="000000"/>
                <w:sz w:val="16"/>
              </w:rPr>
              <w:t>Adamax ReLU/sigmoid</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93,00 %</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90,96 % ± 3,73 %</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-2,04 p. p.</w:t>
            </w:r>
          </w:p>
        </w:tc>
      </w:tr>
    </w:tbl>
    <w:p>
      <w:pPr>
        <w:spacing w:after="0"/>
      </w:pPr>
    </w:p>
    <w:p>
      <w:r>
        <w:t>Geriausią šios serijos vidutinį tikslumą pasiekė Adam su ReLU visuose paslėptuose sluoksniuose: 93,66 %. Tai 12,66 procentinio punkto daugiau už tam pačiam deriniui straipsnyje pateiktus 81 %. Kita vertus, abu RMSprop deriniai liko ties daugumos klasės lygiu 60,61 % ir straipsnio rezultatų neatkartojo.</w:t>
      </w:r>
    </w:p>
    <w:p>
      <w:r>
        <w:drawing>
          <wp:inline xmlns:a="http://schemas.openxmlformats.org/drawingml/2006/main" xmlns:pic="http://schemas.openxmlformats.org/drawingml/2006/picture">
            <wp:extent cx="5989320" cy="3301430"/>
            <wp:docPr id="1" name="Picture 1"/>
            <wp:cNvGraphicFramePr>
              <a:graphicFrameLocks noChangeAspect="1"/>
            </wp:cNvGraphicFramePr>
            <a:graphic>
              <a:graphicData uri="http://schemas.openxmlformats.org/drawingml/2006/picture">
                <pic:pic>
                  <pic:nvPicPr>
                    <pic:cNvPr id="0" name="optimizatoriu_ir_aktyvaciju_palyginimas.png"/>
                    <pic:cNvPicPr/>
                  </pic:nvPicPr>
                  <pic:blipFill>
                    <a:blip r:embed="rId10"/>
                    <a:stretch>
                      <a:fillRect/>
                    </a:stretch>
                  </pic:blipFill>
                  <pic:spPr>
                    <a:xfrm>
                      <a:off x="0" y="0"/>
                      <a:ext cx="5989320" cy="3301430"/>
                    </a:xfrm>
                    <a:prstGeom prst="rect"/>
                  </pic:spPr>
                </pic:pic>
              </a:graphicData>
            </a:graphic>
          </wp:inline>
        </w:drawing>
      </w:r>
    </w:p>
    <w:p>
      <w:pPr>
        <w:spacing w:before="60" w:after="180"/>
        <w:jc w:val="center"/>
      </w:pPr>
      <w:r>
        <w:rPr>
          <w:rFonts w:ascii="Times New Roman" w:hAnsi="Times New Roman"/>
          <w:b w:val="0"/>
          <w:color w:val="000000"/>
          <w:sz w:val="18"/>
        </w:rPr>
        <w:t>1 pav. Optimizatorių ir aktyvacijos funkcijų derinių vidutinis tikslumas</w:t>
      </w:r>
    </w:p>
    <w:p>
      <w:pPr>
        <w:pStyle w:val="Heading2"/>
        <w:keepNext/>
      </w:pPr>
      <w:r>
        <w:t>Paketų dydžiai</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72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8"/>
              </w:rPr>
              <w:t>Paketo dydis</w:t>
            </w:r>
          </w:p>
        </w:tc>
        <w:tc>
          <w:tcPr>
            <w:tcW w:type="dxa" w:w="259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8"/>
              </w:rPr>
              <w:t>Straipsnio tikslumas</w:t>
            </w:r>
          </w:p>
        </w:tc>
        <w:tc>
          <w:tcPr>
            <w:tcW w:type="dxa" w:w="302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8"/>
              </w:rPr>
              <w:t>Atkurtas tikslumas</w:t>
            </w:r>
          </w:p>
        </w:tc>
        <w:tc>
          <w:tcPr>
            <w:tcW w:type="dxa" w:w="244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8"/>
              </w:rPr>
              <w:t>Vidutinė trukmė</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18"/>
              </w:rPr>
              <w:t>10</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8"/>
              </w:rPr>
              <w:t>Nepateikta</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8"/>
              </w:rPr>
              <w:t>92,83 % ± 0,69 %</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8"/>
              </w:rPr>
              <w:t>56,8 s</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left"/>
            </w:pPr>
            <w:r>
              <w:rPr>
                <w:rFonts w:ascii="Times New Roman" w:hAnsi="Times New Roman"/>
                <w:b w:val="0"/>
                <w:color w:val="000000"/>
                <w:sz w:val="18"/>
              </w:rPr>
              <w:t>32</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8"/>
              </w:rPr>
              <w:t>93,78 %</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8"/>
              </w:rPr>
              <w:t>90,31 % ± 3,36 %</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8"/>
              </w:rPr>
              <w:t>24,9 s</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18"/>
              </w:rPr>
              <w:t>64</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8"/>
              </w:rPr>
              <w:t>92,93 %</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8"/>
              </w:rPr>
              <w:t>91,38 % ± 3,89 %</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8"/>
              </w:rPr>
              <w:t>15,8 s</w:t>
            </w:r>
          </w:p>
        </w:tc>
      </w:tr>
    </w:tbl>
    <w:p>
      <w:pPr>
        <w:spacing w:after="0"/>
      </w:pPr>
    </w:p>
    <w:p>
      <w:r>
        <w:t>Paketo dydis 10 pasiekė stabiliausią vidutinį tikslumą, tačiau mokymas truko daugiausia. Dydžiai 32 ir 64 buvo greitesni, bet jų rezultatų sklaida didesnė. Todėl straipsnio teiginio, kad 32 yra vienareikšmiškai optimalus dydis, šis atkūrimas nepatvirtino.</w:t>
      </w:r>
    </w:p>
    <w:p>
      <w:pPr>
        <w:pStyle w:val="Heading2"/>
        <w:keepNext/>
      </w:pPr>
      <w:r>
        <w:t>Architektūros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51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8"/>
              </w:rPr>
              <w:t>Architektūra</w:t>
            </w:r>
          </w:p>
        </w:tc>
        <w:tc>
          <w:tcPr>
            <w:tcW w:type="dxa" w:w="201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8"/>
              </w:rPr>
              <w:t>Straipsnis</w:t>
            </w:r>
          </w:p>
        </w:tc>
        <w:tc>
          <w:tcPr>
            <w:tcW w:type="dxa" w:w="316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8"/>
              </w:rPr>
              <w:t>Atkurta</w:t>
            </w:r>
          </w:p>
        </w:tc>
      </w:tr>
      <w:tr>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18"/>
              </w:rPr>
              <w:t>Straipsnio A</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8"/>
              </w:rPr>
              <w:t>92,584 %</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8"/>
              </w:rPr>
              <w:t>90,22 % ± 2,71 %</w:t>
            </w:r>
          </w:p>
        </w:tc>
      </w:tr>
      <w:tr>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left"/>
            </w:pPr>
            <w:r>
              <w:rPr>
                <w:rFonts w:ascii="Times New Roman" w:hAnsi="Times New Roman"/>
                <w:b w:val="0"/>
                <w:color w:val="000000"/>
                <w:sz w:val="18"/>
              </w:rPr>
              <w:t>Mažėjantys sluoksniai</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8"/>
              </w:rPr>
              <w:t>92,040 %</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8"/>
              </w:rPr>
              <w:t>91,79 % ± 1,22 %</w:t>
            </w:r>
          </w:p>
        </w:tc>
      </w:tr>
      <w:tr>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18"/>
              </w:rPr>
              <w:t>Dropout prieš kiekvieną sluoksnį</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8"/>
              </w:rPr>
              <w:t>72,670 %</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8"/>
              </w:rPr>
              <w:t>84,11 % ± 7,81 %</w:t>
            </w:r>
          </w:p>
        </w:tc>
      </w:tr>
      <w:tr>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left"/>
            </w:pPr>
            <w:r>
              <w:rPr>
                <w:rFonts w:ascii="Times New Roman" w:hAnsi="Times New Roman"/>
                <w:b w:val="0"/>
                <w:color w:val="000000"/>
                <w:sz w:val="18"/>
              </w:rPr>
              <w:t>Dropout prieš išvestį</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8"/>
              </w:rPr>
              <w:t>92,842 %</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8"/>
              </w:rPr>
              <w:t>88,43 % ± 4,63 %</w:t>
            </w:r>
          </w:p>
        </w:tc>
      </w:tr>
    </w:tbl>
    <w:p>
      <w:pPr>
        <w:spacing w:after="0"/>
      </w:pPr>
    </w:p>
    <w:p>
      <w:r>
        <w:t>Mažėjančių sluoksnių architektūra atkūrime pasiekė straipsniui artimiausią vidurkį. Dropout prieš kiekvieną sluoksnį turėjo didelę sklaidą, o tai atitinka straipsnyje parodytą nestabilumą. Vis dėlto visiškai vienodų rezultatų negalima tikėtis, nes autoriai nepateikė dropout tikimybės ir tikslaus sluoksnių kodo.</w:t>
      </w:r>
    </w:p>
    <w:p>
      <w:r>
        <w:br w:type="page"/>
      </w:r>
    </w:p>
    <w:p>
      <w:pPr>
        <w:pStyle w:val="Heading1"/>
        <w:keepNext/>
      </w:pPr>
      <w:r>
        <w:t>Papildomi eksperimentai</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302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6"/>
              </w:rPr>
              <w:t>Modelis</w:t>
            </w:r>
          </w:p>
        </w:tc>
        <w:tc>
          <w:tcPr>
            <w:tcW w:type="dxa" w:w="194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6"/>
              </w:rPr>
              <w:t>Tikslumas</w:t>
            </w:r>
          </w:p>
        </w:tc>
        <w:tc>
          <w:tcPr>
            <w:tcW w:type="dxa" w:w="165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6"/>
              </w:rPr>
              <w:t>Preciziškumas</w:t>
            </w:r>
          </w:p>
        </w:tc>
        <w:tc>
          <w:tcPr>
            <w:tcW w:type="dxa" w:w="15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6"/>
              </w:rPr>
              <w:t>Jautrumas</w:t>
            </w:r>
          </w:p>
        </w:tc>
        <w:tc>
          <w:tcPr>
            <w:tcW w:type="dxa" w:w="115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6"/>
              </w:rPr>
              <w:t>F1</w:t>
            </w:r>
          </w:p>
        </w:tc>
        <w:tc>
          <w:tcPr>
            <w:tcW w:type="dxa" w:w="129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color w:val="FFFFFF"/>
                <w:sz w:val="16"/>
              </w:rPr>
              <w:t>Trukmė</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16"/>
              </w:rPr>
              <w:t>MLP be standartizavimo</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90,31 % ± 3,36 %</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84,41 %</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93,68 %</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88,56 %</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25,3 s</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left"/>
            </w:pPr>
            <w:r>
              <w:rPr>
                <w:rFonts w:ascii="Times New Roman" w:hAnsi="Times New Roman"/>
                <w:b w:val="0"/>
                <w:color w:val="000000"/>
                <w:sz w:val="16"/>
              </w:rPr>
              <w:t>MLP su standartizavimu</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92,63 % ± 0,44 %</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90,28 %</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91,10 %</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90,69 %</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25,2 s</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Times New Roman" w:hAnsi="Times New Roman"/>
                <w:b w:val="0"/>
                <w:color w:val="000000"/>
                <w:sz w:val="16"/>
              </w:rPr>
              <w:t>MLP kompaktiškas 64-32-16</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93,74 % ± 0,42 %</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91,24 %</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93,12 %</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92,15 %</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Times New Roman" w:hAnsi="Times New Roman"/>
                <w:b w:val="0"/>
                <w:color w:val="000000"/>
                <w:sz w:val="16"/>
              </w:rPr>
              <w:t>22,9 s</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left"/>
            </w:pPr>
            <w:r>
              <w:rPr>
                <w:rFonts w:ascii="Times New Roman" w:hAnsi="Times New Roman"/>
                <w:b w:val="0"/>
                <w:color w:val="000000"/>
                <w:sz w:val="16"/>
              </w:rPr>
              <w:t>SVM RBF C=10</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92,93 % ± 0,45 %</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92,61 %</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89,19 %</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90,86 %</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jc w:val="center"/>
            </w:pPr>
            <w:r>
              <w:rPr>
                <w:rFonts w:ascii="Times New Roman" w:hAnsi="Times New Roman"/>
                <w:b w:val="0"/>
                <w:color w:val="000000"/>
                <w:sz w:val="16"/>
              </w:rPr>
              <w:t>0,2 s</w:t>
            </w:r>
          </w:p>
        </w:tc>
      </w:tr>
    </w:tbl>
    <w:p>
      <w:pPr>
        <w:spacing w:after="0"/>
      </w:pPr>
    </w:p>
    <w:p>
      <w:r>
        <w:t>Papildomas kompaktiškas MLP su trimis paslėptais sluoksniais 64-32-16 pasiekė 93,74 % vidutinį tikslumą. Tai geriausias viso darbo vidurkis ir 1,26 procentinio punkto mažiau už straipsnyje pateiktą 95 % geriausią rezultatą. SVM pasiekė 92,93 %, o standartizuotas straipsnio MLP variantas – 92,63 %. Paprastesnė MLP sandara buvo ir tikslesnė, ir stabilesnė.</w:t>
      </w:r>
    </w:p>
    <w:p>
      <w:r>
        <w:drawing>
          <wp:inline xmlns:a="http://schemas.openxmlformats.org/drawingml/2006/main" xmlns:pic="http://schemas.openxmlformats.org/drawingml/2006/picture">
            <wp:extent cx="5852160" cy="3513956"/>
            <wp:docPr id="2" name="Picture 2"/>
            <wp:cNvGraphicFramePr>
              <a:graphicFrameLocks noChangeAspect="1"/>
            </wp:cNvGraphicFramePr>
            <a:graphic>
              <a:graphicData uri="http://schemas.openxmlformats.org/drawingml/2006/picture">
                <pic:pic>
                  <pic:nvPicPr>
                    <pic:cNvPr id="0" name="papildomu_bandymu_palyginimas.png"/>
                    <pic:cNvPicPr/>
                  </pic:nvPicPr>
                  <pic:blipFill>
                    <a:blip r:embed="rId11"/>
                    <a:stretch>
                      <a:fillRect/>
                    </a:stretch>
                  </pic:blipFill>
                  <pic:spPr>
                    <a:xfrm>
                      <a:off x="0" y="0"/>
                      <a:ext cx="5852160" cy="3513956"/>
                    </a:xfrm>
                    <a:prstGeom prst="rect"/>
                  </pic:spPr>
                </pic:pic>
              </a:graphicData>
            </a:graphic>
          </wp:inline>
        </w:drawing>
      </w:r>
    </w:p>
    <w:p>
      <w:pPr>
        <w:spacing w:before="60" w:after="180"/>
        <w:jc w:val="center"/>
      </w:pPr>
      <w:r>
        <w:rPr>
          <w:rFonts w:ascii="Times New Roman" w:hAnsi="Times New Roman"/>
          <w:b w:val="0"/>
          <w:color w:val="000000"/>
          <w:sz w:val="18"/>
        </w:rPr>
        <w:t>2 pav. Papildomų eksperimentų tikslumo ir F1 palyginimas</w:t>
      </w:r>
    </w:p>
    <w:p>
      <w:r>
        <w:drawing>
          <wp:inline xmlns:a="http://schemas.openxmlformats.org/drawingml/2006/main" xmlns:pic="http://schemas.openxmlformats.org/drawingml/2006/picture">
            <wp:extent cx="6080760" cy="2700121"/>
            <wp:docPr id="3" name="Picture 3"/>
            <wp:cNvGraphicFramePr>
              <a:graphicFrameLocks noChangeAspect="1"/>
            </wp:cNvGraphicFramePr>
            <a:graphic>
              <a:graphicData uri="http://schemas.openxmlformats.org/drawingml/2006/picture">
                <pic:pic>
                  <pic:nvPicPr>
                    <pic:cNvPr id="0" name="klasifikavimo_matricos.png"/>
                    <pic:cNvPicPr/>
                  </pic:nvPicPr>
                  <pic:blipFill>
                    <a:blip r:embed="rId12"/>
                    <a:stretch>
                      <a:fillRect/>
                    </a:stretch>
                  </pic:blipFill>
                  <pic:spPr>
                    <a:xfrm>
                      <a:off x="0" y="0"/>
                      <a:ext cx="6080760" cy="2700121"/>
                    </a:xfrm>
                    <a:prstGeom prst="rect"/>
                  </pic:spPr>
                </pic:pic>
              </a:graphicData>
            </a:graphic>
          </wp:inline>
        </w:drawing>
      </w:r>
    </w:p>
    <w:p>
      <w:pPr>
        <w:spacing w:before="60" w:after="180"/>
        <w:jc w:val="center"/>
      </w:pPr>
      <w:r>
        <w:rPr>
          <w:rFonts w:ascii="Times New Roman" w:hAnsi="Times New Roman"/>
          <w:b w:val="0"/>
          <w:color w:val="000000"/>
          <w:sz w:val="18"/>
        </w:rPr>
        <w:t>3 pav. Straipsnio MLP ir papildomo SVM rezultatai su sėkla 42</w:t>
      </w:r>
    </w:p>
    <w:p>
      <w:pPr>
        <w:pStyle w:val="Heading1"/>
        <w:keepNext/>
      </w:pPr>
      <w:r>
        <w:t>Rezultatų aptarimas</w:t>
      </w:r>
    </w:p>
    <w:p>
      <w:r>
        <w:t>Dalis straipsnio rezultatų buvo atkartota apytiksliai. Keli MLP deriniai pateko į 90–94 % intervalą, o geriausias papildomas MLP pasiekė 93,74 %. Tačiau atskirų konfigūracijų tvarka nesutapo: straipsnyje geriausiu laikytas Nadam su ReLU ir sigmoid funkcijomis, o šiame atkūrime geriausias iš straipsnio derinių buvo Adam su ReLU.</w:t>
      </w:r>
    </w:p>
    <w:p>
      <w:r>
        <w:t>Skirtumus galėjo sukelti neaprašytas duomenų balansavimas, nesutampantis imčių dydis, nepateikta sėkla, Keras ir TensorFlow versijų skirtumai bei nevisiškai apibrėžta architektūra. Straipsnio paveikslai nurodo sluoksnių skaičių ir aktyvacijas, bet nepateikia visų programinių parametrų. RMSprop nepavyko atkurti: visi penki jo paleidimai liko ties 60,61 % daugumos klasės tikslumu.</w:t>
      </w:r>
    </w:p>
    <w:p>
      <w:r>
        <w:t>SVM ir kompaktiško MLP rezultatai rodo, kad duomenyse yra pakankamai informacijos geram klasifikavimui. Todėl nepavykę RMSprop paleidimai nereiškia, kad rinkinys netinkamas. Jie rodo, kad publikacijoje nepateiktų mokymo detalių nepakanka tam pačiam rezultatui patikimai atkurti.</w:t>
      </w:r>
    </w:p>
    <w:p>
      <w:pPr>
        <w:pStyle w:val="Heading1"/>
        <w:keepNext/>
      </w:pPr>
      <w:r>
        <w:t>DI agento naudojimas</w:t>
      </w:r>
    </w:p>
    <w:p>
      <w:r>
        <w:t>DI agentas buvo naudojamas straipsnio analizei, paveiksluose pateiktos architektūros perkėlimui į kodą, bandymų automatizavimui, klaidų paieškai, grafikų ir ataskaitos juodraščio rengimui. Agentas taip pat aptiko straipsnio imčių dydžių neatitikimą.</w:t>
      </w:r>
    </w:p>
    <w:p>
      <w:r>
        <w:t>DI pateikti skaičiai nebuvo laikomi rezultatais. Visi galutiniai rodikliai paimti iš programos sukurtų CSV ir JSON failų. Bandymų metu buvo aptikta ir ištaisyta klasės slenksčio programavimo klaida: MLP turi naudoti 0,5 tikimybės slenkstį, o SVM decision function – 0. Po pataisos visa eksperimentų serija paleista iš naujo. Tai parodo, kodėl DI sugeneruotą kodą ir tarpinius rezultatus būtina tikrinti.</w:t>
      </w:r>
    </w:p>
    <w:p>
      <w:r>
        <w:t>Išsamesnis priimtų ir atmestų DI pasiūlymų aprašas pateiktas faile ai_log.md. Eksperimentas atkuriamas paleidus komandą python run_experiments.py pagal README.md pateiktą instrukciją.</w:t>
      </w:r>
    </w:p>
    <w:p>
      <w:r>
        <w:br w:type="page"/>
      </w:r>
    </w:p>
    <w:p>
      <w:pPr>
        <w:pStyle w:val="Heading1"/>
        <w:keepNext/>
      </w:pPr>
      <w:r>
        <w:t>Išvados</w:t>
      </w:r>
    </w:p>
    <w:p>
      <w:pPr>
        <w:ind w:left="360" w:hanging="360"/>
      </w:pPr>
      <w:r>
        <w:t>1.  Straipsnio MLP rezultatus pavyko atkurti tik apytiksliai: dauguma tinkamų derinių pasiekė 90–94 %, tačiau geriausių konfigūracijų tvarka skyrėsi.</w:t>
      </w:r>
    </w:p>
    <w:p>
      <w:pPr>
        <w:ind w:left="360" w:hanging="360"/>
      </w:pPr>
      <w:r>
        <w:t>2.  Geriausias straipsnio parametrų derinys šiame darbe buvo Adam su ReLU, kurio vidutinis tikslumas siekė 93,66 %.</w:t>
      </w:r>
    </w:p>
    <w:p>
      <w:pPr>
        <w:ind w:left="360" w:hanging="360"/>
      </w:pPr>
      <w:r>
        <w:t>3.  Straipsnio imčių dydžiai nesutampa su oficialiu Spambase rinkiniu, todėl visiškai tikslus atkūrimas pagal publikaciją neįmanomas.</w:t>
      </w:r>
    </w:p>
    <w:p>
      <w:pPr>
        <w:ind w:left="360" w:hanging="360"/>
      </w:pPr>
      <w:r>
        <w:t>4.  Papildomas kompaktiškas MLP pasiekė 93,74 % tikslumą ir pranoko papildomą SVM, kurio tikslumas buvo 92,93 %.</w:t>
      </w:r>
    </w:p>
    <w:p>
      <w:pPr>
        <w:ind w:left="360" w:hanging="360"/>
      </w:pPr>
      <w:r>
        <w:t>5.  Penki pakartojimai parodė, kad viena geriausia paleidimo reikšmė nepakankama; būtina pateikti vidurkį ir sklaidą.</w:t>
      </w:r>
    </w:p>
    <w:p>
      <w:pPr>
        <w:pStyle w:val="Heading1"/>
        <w:keepNext/>
      </w:pPr>
      <w:r>
        <w:t>Literatūra ir duomenų šaltiniai</w:t>
      </w:r>
    </w:p>
    <w:p>
      <w:pPr>
        <w:ind w:left="461" w:hanging="461"/>
      </w:pPr>
      <w:r>
        <w:t>[1]  Dewis, M., Viana, T. Phish Responder: A Hybrid Machine Learning Approach to Detect Phishing and Spam Emails. Applied System Innovation, 5(4), 73. DOI: 10.3390/asi5040073.</w:t>
      </w:r>
    </w:p>
    <w:p>
      <w:pPr>
        <w:ind w:left="461" w:hanging="461"/>
      </w:pPr>
      <w:r>
        <w:t>[2]  Hopkins, M., Reeber, E., Forman, G., Suermondt, J. Spambase. UCI Machine Learning Repository. DOI: 10.24432/C53G6X.</w:t>
      </w:r>
    </w:p>
    <w:p>
      <w:pPr>
        <w:ind w:left="461" w:hanging="461"/>
      </w:pPr>
      <w:r>
        <w:t>[3]  TensorFlow. Keras optimizatorių ir daugiasluoksnių modelų dokumentacija. https://www.tensorflow.org/api_docs/python/tf/keras</w:t>
      </w:r>
    </w:p>
    <w:p>
      <w:pPr>
        <w:ind w:left="461" w:hanging="461"/>
      </w:pPr>
      <w:r>
        <w:t>[4]  scikit-learn. SVC dokumentacija. https://scikit-learn.org/stable/modules/generated/sklearn.svm.SVC.html</w:t>
      </w:r>
    </w:p>
    <w:sectPr w:rsidR="00FC693F" w:rsidRPr="0006063C" w:rsidSect="00034616">
      <w:footerReference w:type="default" r:id="rId9"/>
      <w:pgSz w:w="12240" w:h="15840"/>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color w:val="00000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0"/>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Times New Roman" w:hAnsi="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Namų darbas Nr 2</dc:title>
  <dc:subject>Mokslinio straipsnio eksperimentų atkūrimas</dc:subject>
  <dc:creator>Mantas Matusevičius</dc:creator>
  <cp:keywords>ND2, Spambase, MLP, SVM, DI agentas</cp:keywords>
  <dc:description>generated by python-docx</dc:description>
  <cp:lastModifiedBy/>
  <cp:revision>1</cp:revision>
  <dcterms:created xsi:type="dcterms:W3CDTF">2013-12-23T23:15:00Z</dcterms:created>
  <dcterms:modified xsi:type="dcterms:W3CDTF">2013-12-23T23:15:00Z</dcterms:modified>
  <cp:category/>
</cp:coreProperties>
</file>