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t>Benzino kainos prognozavimas naudojant ANFIS</w:t>
      </w:r>
    </w:p>
    <w:p>
      <w:pPr>
        <w:spacing w:before="360"/>
        <w:jc w:val="center"/>
      </w:pPr>
      <w:r>
        <w:rPr>
          <w:b/>
          <w:sz w:val="30"/>
        </w:rPr>
        <w:t>Mokslinio straipsnio eksperimentų atkūrimas</w:t>
      </w:r>
    </w:p>
    <w:p>
      <w:pPr>
        <w:spacing w:before="1440"/>
        <w:jc w:val="center"/>
      </w:pPr>
      <w:r>
        <w:rPr>
          <w:b/>
        </w:rPr>
        <w:t>Studentas Mantas Matusevičius</w:t>
        <w:br/>
      </w:r>
      <w:r>
        <w:t>Grupė DISfm-26</w:t>
      </w:r>
    </w:p>
    <w:p>
      <w:pPr>
        <w:spacing w:before="1400"/>
        <w:jc w:val="center"/>
      </w:pPr>
      <w:r>
        <w:rPr>
          <w:b/>
        </w:rPr>
        <w:t>Namų darbas Nr 2</w:t>
      </w:r>
    </w:p>
    <w:p>
      <w:r>
        <w:br w:type="page"/>
      </w:r>
    </w:p>
    <w:p>
      <w:pPr>
        <w:pStyle w:val="Heading1"/>
      </w:pPr>
      <w:r>
        <w:t>Darbo santrauka</w:t>
      </w:r>
    </w:p>
    <w:p>
      <w:pPr>
        <w:ind w:firstLine="360"/>
        <w:jc w:val="both"/>
      </w:pPr>
      <w:r>
        <w:t>Darbe atkartoti benzino kainų prognozavimo eksperimentai, kuriuose taikomas adaptyvus neuro fuzzy išvadų modelis ANFIS. Naudoti oficialūs savaitiniai JAV benzino kainų duomenys. Geriausiai veikė modelis su ankstesnės savaitės kaina: atkurtas RMSE buvo 0,0521, R2 0,9967, o koreliacija 0,9983. Šios reikšmės yra labai artimos straipsnyje paskelbtiems RMSE, R2 ir koreliacijos rezultatams. Papildomai sudarytos 52 savaičių ir savaitinė prognozė iki 2030 m., pateikta EUR už litrą.</w:t>
      </w:r>
    </w:p>
    <w:p>
      <w:pPr>
        <w:pStyle w:val="Heading1"/>
      </w:pPr>
      <w:r>
        <w:t>1 Pasirinktas straipsnis</w:t>
      </w:r>
    </w:p>
    <w:p>
      <w:pPr>
        <w:ind w:firstLine="360"/>
        <w:jc w:val="both"/>
      </w:pPr>
      <w:r>
        <w:t>Pasirinktas E H I Eliwa, A M El Koshiry, T Abd El Hafeez ir A Omar straipsnis Optimal Gasoline Price Predictions Leveraging the ANFIS Regression Model. Jis paskelbtas žurnale International Journal of Intelligent Systems, straipsnio numeris 8462056, DOI 10.1155/2024/8462056. Autoriai nagrinėjo savaitinių benzino kainų prognozavimą ir lygino ANFIS variantus be ankstesnės kainos bei su ankstesnės savaitės kaina.</w:t>
      </w:r>
    </w:p>
    <w:p>
      <w:pPr>
        <w:ind w:firstLine="360"/>
        <w:jc w:val="both"/>
      </w:pPr>
      <w:r>
        <w:t>Ši tema skiriasi nuo ND1 skaitmenų klasifikavimo užduoties. Čia sprendžiama regresijos ir laiko eilutės prognozavimo užduotis, o modelis jungia neuroninį mokymąsi su fuzzy logikos narystės funkcijomis ir Sugeno taisyklėmis.</w:t>
      </w:r>
    </w:p>
    <w:p>
      <w:pPr>
        <w:pStyle w:val="Heading1"/>
      </w:pPr>
      <w:r>
        <w:t>2 Duomenys ir paruošimas</w:t>
      </w:r>
    </w:p>
    <w:p>
      <w:pPr>
        <w:ind w:firstLine="360"/>
        <w:jc w:val="both"/>
      </w:pPr>
      <w:r>
        <w:t>Duomenys gauti iš JAV Energetikos informacijos administracijos EIA. Naudota savaitinė visų markių ir visų mišinių mažmeninė benzino kaina JAV doleriais už galoną. Straipsnio eksperimentui palikta jo laikotarpio dalis su 1 583 įrašais, o ateities prognozei panaudota visa tuo metu prieinama EIA istorija. Grafikuose kainos perskaičiuotos į EUR už litrą pagal fiksuotą kursą 1 EUR = 1,1403 USD ir santykį 1 JAV galonas = 3,785411784 litro.</w:t>
      </w:r>
    </w:p>
    <w:p>
      <w:pPr>
        <w:spacing w:before="100" w:after="20"/>
        <w:jc w:val="center"/>
      </w:pPr>
      <w:r>
        <w:drawing>
          <wp:inline xmlns:a="http://schemas.openxmlformats.org/drawingml/2006/main" xmlns:pic="http://schemas.openxmlformats.org/drawingml/2006/picture">
            <wp:extent cx="6080760" cy="4015666"/>
            <wp:docPr id="1" name="Picture 1"/>
            <wp:cNvGraphicFramePr>
              <a:graphicFrameLocks noChangeAspect="1"/>
            </wp:cNvGraphicFramePr>
            <a:graphic>
              <a:graphicData uri="http://schemas.openxmlformats.org/drawingml/2006/picture">
                <pic:pic>
                  <pic:nvPicPr>
                    <pic:cNvPr id="0" name="benzino_kainu_laiko_eilute.png"/>
                    <pic:cNvPicPr/>
                  </pic:nvPicPr>
                  <pic:blipFill>
                    <a:blip r:embed="rId10"/>
                    <a:stretch>
                      <a:fillRect/>
                    </a:stretch>
                  </pic:blipFill>
                  <pic:spPr>
                    <a:xfrm>
                      <a:off x="0" y="0"/>
                      <a:ext cx="6080760" cy="4015666"/>
                    </a:xfrm>
                    <a:prstGeom prst="rect"/>
                  </pic:spPr>
                </pic:pic>
              </a:graphicData>
            </a:graphic>
          </wp:inline>
        </w:drawing>
      </w:r>
    </w:p>
    <w:p>
      <w:pPr>
        <w:spacing w:before="40" w:after="140"/>
        <w:jc w:val="center"/>
      </w:pPr>
      <w:r>
        <w:rPr>
          <w:b/>
          <w:sz w:val="18"/>
        </w:rPr>
        <w:t>1 pav Savaitinė JAV benzino kaina</w:t>
      </w:r>
    </w:p>
    <w:p>
      <w:pPr>
        <w:ind w:firstLine="360"/>
        <w:jc w:val="both"/>
      </w:pPr>
      <w:r>
        <w:t>Straipsnis nurodo 1 583 įrašus, tačiau paskelbtos mokymo ir testavimo imtys sudaro tik 1 502 įrašus. Kad imčių dydžiai sutaptų, atkūrime naudoti pirmieji 1 502 įrašai. Fiksuota atsitiktinė seka padalijo juos į 1 051 mokymo ir 451 testavimo pavyzdį. Požymiai buvo diena, mėnuo ir metai. Antrajame bandyme pridėta ankstesnės savaitės kaina. Požymiai normalizuoti pagal mokymo imties minimumą ir maksimumą.</w:t>
      </w:r>
    </w:p>
    <w:p>
      <w:pPr>
        <w:pStyle w:val="Heading1"/>
      </w:pPr>
      <w:r>
        <w:t>3 ANFIS metodika</w:t>
      </w:r>
    </w:p>
    <w:p>
      <w:pPr>
        <w:ind w:firstLine="360"/>
        <w:jc w:val="both"/>
      </w:pPr>
      <w:r>
        <w:t>Sukurtas pirmos eilės Sugeno ANFIS modelis. Kiekvienam įvesties požymiui naudotos dvi Gauso narystės funkcijos. Modelis be ankstesnės kainos turėjo 8 taisykles, o modelis su ankstesne kaina turėjo 16 taisyklių. Kiekvienos taisyklės išvestis buvo tiesinė įvesties požymių funkcija.</w:t>
      </w:r>
    </w:p>
    <w:p>
      <w:pPr>
        <w:pStyle w:val="ListBullet"/>
        <w:spacing w:after="60"/>
      </w:pPr>
      <w:r>
        <w:t>Narystės funkcijų centrai ir pločiai mokyti Adam optimizatoriumi</w:t>
      </w:r>
    </w:p>
    <w:p>
      <w:pPr>
        <w:pStyle w:val="ListBullet"/>
        <w:spacing w:after="60"/>
      </w:pPr>
      <w:r>
        <w:t>Sugeno taisyklių išvadų koeficientai rasti mažiausių kvadratų metodu</w:t>
      </w:r>
    </w:p>
    <w:p>
      <w:pPr>
        <w:pStyle w:val="ListBullet"/>
        <w:spacing w:after="60"/>
      </w:pPr>
      <w:r>
        <w:t>Abu modeliai mokyti 100 epochų su ta pačia mokymo ir testavimo imtimi</w:t>
      </w:r>
    </w:p>
    <w:p>
      <w:pPr>
        <w:pStyle w:val="ListBullet"/>
        <w:spacing w:after="60"/>
      </w:pPr>
      <w:r>
        <w:t>Vertinimui naudoti MSE, RMSE, MAE, R2 ir koreliacijos koeficientas</w:t>
      </w:r>
    </w:p>
    <w:p>
      <w:pPr>
        <w:ind w:firstLine="360"/>
        <w:jc w:val="both"/>
      </w:pPr>
      <w:r>
        <w:t>Vietinėje MATLAB R2026a aplinkoje nebuvo įdiegtas Fuzzy Logic Toolbox, todėl ANFIS mokymas realizuotas savarankiškai baziniu MATLAB kodu. Tai leido paleisti visą eksperimentą be papildomų bibliotekų. Straipsnio Python realizacijos kodas nebuvo pateiktas, todėl tiksliai atkartoti visas vidines optimizavimo nuostatas nebuvo įmanoma.</w:t>
      </w:r>
    </w:p>
    <w:p>
      <w:pPr>
        <w:spacing w:before="100" w:after="20"/>
        <w:jc w:val="center"/>
      </w:pPr>
      <w:r>
        <w:drawing>
          <wp:inline xmlns:a="http://schemas.openxmlformats.org/drawingml/2006/main" xmlns:pic="http://schemas.openxmlformats.org/drawingml/2006/picture">
            <wp:extent cx="5806440" cy="3913266"/>
            <wp:docPr id="2" name="Picture 2"/>
            <wp:cNvGraphicFramePr>
              <a:graphicFrameLocks noChangeAspect="1"/>
            </wp:cNvGraphicFramePr>
            <a:graphic>
              <a:graphicData uri="http://schemas.openxmlformats.org/drawingml/2006/picture">
                <pic:pic>
                  <pic:nvPicPr>
                    <pic:cNvPr id="0" name="narystes_funkcijos.png"/>
                    <pic:cNvPicPr/>
                  </pic:nvPicPr>
                  <pic:blipFill>
                    <a:blip r:embed="rId11"/>
                    <a:stretch>
                      <a:fillRect/>
                    </a:stretch>
                  </pic:blipFill>
                  <pic:spPr>
                    <a:xfrm>
                      <a:off x="0" y="0"/>
                      <a:ext cx="5806440" cy="3913266"/>
                    </a:xfrm>
                    <a:prstGeom prst="rect"/>
                  </pic:spPr>
                </pic:pic>
              </a:graphicData>
            </a:graphic>
          </wp:inline>
        </w:drawing>
      </w:r>
    </w:p>
    <w:p>
      <w:pPr>
        <w:spacing w:before="40" w:after="140"/>
        <w:jc w:val="center"/>
      </w:pPr>
      <w:r>
        <w:rPr>
          <w:b/>
          <w:sz w:val="18"/>
        </w:rPr>
        <w:t>2 pav Išmoktos modelio su ankstesne kaina narystės funkcijos</w:t>
      </w:r>
    </w:p>
    <w:p>
      <w:r>
        <w:br w:type="page"/>
      </w:r>
    </w:p>
    <w:p>
      <w:pPr>
        <w:pStyle w:val="Heading1"/>
      </w:pPr>
      <w:r>
        <w:t>4 Programinė ir aparatinė aplinka</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vAlign w:val="center"/>
            <w:tcMar>
              <w:top w:w="90" w:type="dxa"/>
              <w:start w:w="110" w:type="dxa"/>
              <w:bottom w:w="90" w:type="dxa"/>
              <w:end w:w="110" w:type="dxa"/>
            </w:tcMar>
            <w:shd w:fill="244F75"/>
          </w:tcPr>
          <w:p>
            <w:pPr>
              <w:spacing w:before="0" w:after="0" w:line="240" w:lineRule="auto"/>
            </w:pPr>
            <w:r>
              <w:rPr>
                <w:rFonts w:ascii="Aptos" w:hAnsi="Aptos"/>
                <w:b/>
                <w:color w:val="FFFFFF"/>
                <w:sz w:val="19"/>
              </w:rPr>
              <w:t>Komponentas</w:t>
            </w:r>
          </w:p>
        </w:tc>
        <w:tc>
          <w:tcPr>
            <w:tcW w:type="dxa" w:w="4997"/>
            <w:vAlign w:val="center"/>
            <w:tcMar>
              <w:top w:w="90" w:type="dxa"/>
              <w:start w:w="110" w:type="dxa"/>
              <w:bottom w:w="90" w:type="dxa"/>
              <w:end w:w="110" w:type="dxa"/>
            </w:tcMar>
            <w:shd w:fill="244F75"/>
          </w:tcPr>
          <w:p>
            <w:pPr>
              <w:spacing w:before="0" w:after="0" w:line="240" w:lineRule="auto"/>
            </w:pPr>
            <w:r>
              <w:rPr>
                <w:rFonts w:ascii="Aptos" w:hAnsi="Aptos"/>
                <w:b/>
                <w:color w:val="FFFFFF"/>
                <w:sz w:val="19"/>
              </w:rPr>
              <w:t>Naudota aplinka</w:t>
            </w:r>
          </w:p>
        </w:tc>
      </w:tr>
      <w:tr>
        <w:tc>
          <w:tcPr>
            <w:tcW w:type="dxa" w:w="4997"/>
            <w:vAlign w:val="center"/>
            <w:tcMar>
              <w:top w:w="90" w:type="dxa"/>
              <w:start w:w="110" w:type="dxa"/>
              <w:bottom w:w="90" w:type="dxa"/>
              <w:end w:w="110" w:type="dxa"/>
            </w:tcMar>
          </w:tcPr>
          <w:p>
            <w:pPr>
              <w:spacing w:before="0" w:after="0" w:line="240" w:lineRule="auto"/>
            </w:pPr>
            <w:r>
              <w:rPr>
                <w:rFonts w:ascii="Aptos" w:hAnsi="Aptos"/>
                <w:sz w:val="19"/>
              </w:rPr>
              <w:t>Operacinė sistema</w:t>
            </w:r>
          </w:p>
        </w:tc>
        <w:tc>
          <w:tcPr>
            <w:tcW w:type="dxa" w:w="4997"/>
            <w:vAlign w:val="center"/>
            <w:tcMar>
              <w:top w:w="90" w:type="dxa"/>
              <w:start w:w="110" w:type="dxa"/>
              <w:bottom w:w="90" w:type="dxa"/>
              <w:end w:w="110" w:type="dxa"/>
            </w:tcMar>
          </w:tcPr>
          <w:p>
            <w:pPr>
              <w:spacing w:before="0" w:after="0" w:line="240" w:lineRule="auto"/>
            </w:pPr>
            <w:r>
              <w:rPr>
                <w:rFonts w:ascii="Aptos" w:hAnsi="Aptos"/>
                <w:sz w:val="19"/>
              </w:rPr>
              <w:t>Microsoft Windows 10 Pro</w:t>
            </w:r>
          </w:p>
        </w:tc>
      </w:tr>
      <w:tr>
        <w:tc>
          <w:tcPr>
            <w:tcW w:type="dxa" w:w="4997"/>
            <w:vAlign w:val="center"/>
            <w:tcMar>
              <w:top w:w="90" w:type="dxa"/>
              <w:start w:w="110" w:type="dxa"/>
              <w:bottom w:w="90" w:type="dxa"/>
              <w:end w:w="110" w:type="dxa"/>
            </w:tcMar>
            <w:shd w:fill="EAF2F8"/>
          </w:tcPr>
          <w:p>
            <w:pPr>
              <w:spacing w:before="0" w:after="0" w:line="240" w:lineRule="auto"/>
            </w:pPr>
            <w:r>
              <w:rPr>
                <w:rFonts w:ascii="Aptos" w:hAnsi="Aptos"/>
                <w:sz w:val="19"/>
              </w:rPr>
              <w:t>Procesorius</w:t>
            </w:r>
          </w:p>
        </w:tc>
        <w:tc>
          <w:tcPr>
            <w:tcW w:type="dxa" w:w="4997"/>
            <w:vAlign w:val="center"/>
            <w:tcMar>
              <w:top w:w="90" w:type="dxa"/>
              <w:start w:w="110" w:type="dxa"/>
              <w:bottom w:w="90" w:type="dxa"/>
              <w:end w:w="110" w:type="dxa"/>
            </w:tcMar>
            <w:shd w:fill="EAF2F8"/>
          </w:tcPr>
          <w:p>
            <w:pPr>
              <w:spacing w:before="0" w:after="0" w:line="240" w:lineRule="auto"/>
            </w:pPr>
            <w:r>
              <w:rPr>
                <w:rFonts w:ascii="Aptos" w:hAnsi="Aptos"/>
                <w:sz w:val="19"/>
              </w:rPr>
              <w:t>Intel Core i7 7700K 4,20 GHz</w:t>
            </w:r>
          </w:p>
        </w:tc>
      </w:tr>
      <w:tr>
        <w:tc>
          <w:tcPr>
            <w:tcW w:type="dxa" w:w="4997"/>
            <w:vAlign w:val="center"/>
            <w:tcMar>
              <w:top w:w="90" w:type="dxa"/>
              <w:start w:w="110" w:type="dxa"/>
              <w:bottom w:w="90" w:type="dxa"/>
              <w:end w:w="110" w:type="dxa"/>
            </w:tcMar>
          </w:tcPr>
          <w:p>
            <w:pPr>
              <w:spacing w:before="0" w:after="0" w:line="240" w:lineRule="auto"/>
            </w:pPr>
            <w:r>
              <w:rPr>
                <w:rFonts w:ascii="Aptos" w:hAnsi="Aptos"/>
                <w:sz w:val="19"/>
              </w:rPr>
              <w:t>Atmintis</w:t>
            </w:r>
          </w:p>
        </w:tc>
        <w:tc>
          <w:tcPr>
            <w:tcW w:type="dxa" w:w="4997"/>
            <w:vAlign w:val="center"/>
            <w:tcMar>
              <w:top w:w="90" w:type="dxa"/>
              <w:start w:w="110" w:type="dxa"/>
              <w:bottom w:w="90" w:type="dxa"/>
              <w:end w:w="110" w:type="dxa"/>
            </w:tcMar>
          </w:tcPr>
          <w:p>
            <w:pPr>
              <w:spacing w:before="0" w:after="0" w:line="240" w:lineRule="auto"/>
            </w:pPr>
            <w:r>
              <w:rPr>
                <w:rFonts w:ascii="Aptos" w:hAnsi="Aptos"/>
                <w:sz w:val="19"/>
              </w:rPr>
              <w:t>32 GB RAM</w:t>
            </w:r>
          </w:p>
        </w:tc>
      </w:tr>
      <w:tr>
        <w:tc>
          <w:tcPr>
            <w:tcW w:type="dxa" w:w="4997"/>
            <w:vAlign w:val="center"/>
            <w:tcMar>
              <w:top w:w="90" w:type="dxa"/>
              <w:start w:w="110" w:type="dxa"/>
              <w:bottom w:w="90" w:type="dxa"/>
              <w:end w:w="110" w:type="dxa"/>
            </w:tcMar>
            <w:shd w:fill="EAF2F8"/>
          </w:tcPr>
          <w:p>
            <w:pPr>
              <w:spacing w:before="0" w:after="0" w:line="240" w:lineRule="auto"/>
            </w:pPr>
            <w:r>
              <w:rPr>
                <w:rFonts w:ascii="Aptos" w:hAnsi="Aptos"/>
                <w:sz w:val="19"/>
              </w:rPr>
              <w:t>MATLAB</w:t>
            </w:r>
          </w:p>
        </w:tc>
        <w:tc>
          <w:tcPr>
            <w:tcW w:type="dxa" w:w="4997"/>
            <w:vAlign w:val="center"/>
            <w:tcMar>
              <w:top w:w="90" w:type="dxa"/>
              <w:start w:w="110" w:type="dxa"/>
              <w:bottom w:w="90" w:type="dxa"/>
              <w:end w:w="110" w:type="dxa"/>
            </w:tcMar>
            <w:shd w:fill="EAF2F8"/>
          </w:tcPr>
          <w:p>
            <w:pPr>
              <w:spacing w:before="0" w:after="0" w:line="240" w:lineRule="auto"/>
            </w:pPr>
            <w:r>
              <w:rPr>
                <w:rFonts w:ascii="Aptos" w:hAnsi="Aptos"/>
                <w:sz w:val="19"/>
              </w:rPr>
              <w:t>R2026a Update 5</w:t>
            </w:r>
          </w:p>
        </w:tc>
      </w:tr>
      <w:tr>
        <w:tc>
          <w:tcPr>
            <w:tcW w:type="dxa" w:w="4997"/>
            <w:vAlign w:val="center"/>
            <w:tcMar>
              <w:top w:w="90" w:type="dxa"/>
              <w:start w:w="110" w:type="dxa"/>
              <w:bottom w:w="90" w:type="dxa"/>
              <w:end w:w="110" w:type="dxa"/>
            </w:tcMar>
          </w:tcPr>
          <w:p>
            <w:pPr>
              <w:spacing w:before="0" w:after="0" w:line="240" w:lineRule="auto"/>
            </w:pPr>
            <w:r>
              <w:rPr>
                <w:rFonts w:ascii="Aptos" w:hAnsi="Aptos"/>
                <w:sz w:val="19"/>
              </w:rPr>
              <w:t>Papildomi priedai</w:t>
            </w:r>
          </w:p>
        </w:tc>
        <w:tc>
          <w:tcPr>
            <w:tcW w:type="dxa" w:w="4997"/>
            <w:vAlign w:val="center"/>
            <w:tcMar>
              <w:top w:w="90" w:type="dxa"/>
              <w:start w:w="110" w:type="dxa"/>
              <w:bottom w:w="90" w:type="dxa"/>
              <w:end w:w="110" w:type="dxa"/>
            </w:tcMar>
          </w:tcPr>
          <w:p>
            <w:pPr>
              <w:spacing w:before="0" w:after="0" w:line="240" w:lineRule="auto"/>
            </w:pPr>
            <w:r>
              <w:rPr>
                <w:rFonts w:ascii="Aptos" w:hAnsi="Aptos"/>
                <w:sz w:val="19"/>
              </w:rPr>
              <w:t>Nenaudoti</w:t>
            </w:r>
          </w:p>
        </w:tc>
      </w:tr>
      <w:tr>
        <w:tc>
          <w:tcPr>
            <w:tcW w:type="dxa" w:w="4997"/>
            <w:vAlign w:val="center"/>
            <w:tcMar>
              <w:top w:w="90" w:type="dxa"/>
              <w:start w:w="110" w:type="dxa"/>
              <w:bottom w:w="90" w:type="dxa"/>
              <w:end w:w="110" w:type="dxa"/>
            </w:tcMar>
            <w:shd w:fill="EAF2F8"/>
          </w:tcPr>
          <w:p>
            <w:pPr>
              <w:spacing w:before="0" w:after="0" w:line="240" w:lineRule="auto"/>
            </w:pPr>
            <w:r>
              <w:rPr>
                <w:rFonts w:ascii="Aptos" w:hAnsi="Aptos"/>
                <w:sz w:val="19"/>
              </w:rPr>
              <w:t>Atsitiktinė seka</w:t>
            </w:r>
          </w:p>
        </w:tc>
        <w:tc>
          <w:tcPr>
            <w:tcW w:type="dxa" w:w="4997"/>
            <w:vAlign w:val="center"/>
            <w:tcMar>
              <w:top w:w="90" w:type="dxa"/>
              <w:start w:w="110" w:type="dxa"/>
              <w:bottom w:w="90" w:type="dxa"/>
              <w:end w:w="110" w:type="dxa"/>
            </w:tcMar>
            <w:shd w:fill="EAF2F8"/>
          </w:tcPr>
          <w:p>
            <w:pPr>
              <w:spacing w:before="0" w:after="0" w:line="240" w:lineRule="auto"/>
            </w:pPr>
            <w:r>
              <w:rPr>
                <w:rFonts w:ascii="Aptos" w:hAnsi="Aptos"/>
                <w:sz w:val="19"/>
              </w:rPr>
              <w:t>42</w:t>
            </w:r>
          </w:p>
        </w:tc>
      </w:tr>
      <w:tr>
        <w:tc>
          <w:tcPr>
            <w:tcW w:type="dxa" w:w="4997"/>
            <w:vAlign w:val="center"/>
            <w:tcMar>
              <w:top w:w="90" w:type="dxa"/>
              <w:start w:w="110" w:type="dxa"/>
              <w:bottom w:w="90" w:type="dxa"/>
              <w:end w:w="110" w:type="dxa"/>
            </w:tcMar>
          </w:tcPr>
          <w:p>
            <w:pPr>
              <w:spacing w:before="0" w:after="0" w:line="240" w:lineRule="auto"/>
            </w:pPr>
            <w:r>
              <w:rPr>
                <w:rFonts w:ascii="Aptos" w:hAnsi="Aptos"/>
                <w:sz w:val="19"/>
              </w:rPr>
              <w:t>Mokymo epochos</w:t>
            </w:r>
          </w:p>
        </w:tc>
        <w:tc>
          <w:tcPr>
            <w:tcW w:type="dxa" w:w="4997"/>
            <w:vAlign w:val="center"/>
            <w:tcMar>
              <w:top w:w="90" w:type="dxa"/>
              <w:start w:w="110" w:type="dxa"/>
              <w:bottom w:w="90" w:type="dxa"/>
              <w:end w:w="110" w:type="dxa"/>
            </w:tcMar>
          </w:tcPr>
          <w:p>
            <w:pPr>
              <w:spacing w:before="0" w:after="0" w:line="240" w:lineRule="auto"/>
            </w:pPr>
            <w:r>
              <w:rPr>
                <w:rFonts w:ascii="Aptos" w:hAnsi="Aptos"/>
                <w:sz w:val="19"/>
              </w:rPr>
              <w:t>100</w:t>
            </w:r>
          </w:p>
        </w:tc>
      </w:tr>
    </w:tbl>
    <w:p>
      <w:pPr>
        <w:spacing w:before="40" w:after="140"/>
        <w:jc w:val="center"/>
      </w:pPr>
      <w:r>
        <w:rPr>
          <w:b/>
          <w:sz w:val="18"/>
        </w:rPr>
        <w:t>1 lentelė Eksperimento aplinka</w:t>
      </w:r>
    </w:p>
    <w:p>
      <w:pPr>
        <w:ind w:firstLine="360"/>
        <w:jc w:val="both"/>
      </w:pPr>
      <w:r>
        <w:t>AI agentas naudotas straipsnio paieškai ir analizei, oficialių duomenų šaltinio parinkimui, MATLAB kodo parengimui, vietiniam vykdymui, rezultatų patikrai ir ataskaitos sudarymui. Metrikos apskaičiuotos programoje iš išsaugotų testavimo prognozių.</w:t>
      </w:r>
    </w:p>
    <w:p>
      <w:pPr>
        <w:pStyle w:val="Heading1"/>
      </w:pPr>
      <w:r>
        <w:t>5 Eksperimentų rezultatai</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rPr>
        <w:tc>
          <w:tcPr>
            <w:tcW w:type="dxa" w:w="1999"/>
            <w:vAlign w:val="center"/>
            <w:tcMar>
              <w:top w:w="90" w:type="dxa"/>
              <w:start w:w="110" w:type="dxa"/>
              <w:bottom w:w="90" w:type="dxa"/>
              <w:end w:w="110" w:type="dxa"/>
            </w:tcMar>
            <w:shd w:fill="244F75"/>
          </w:tcPr>
          <w:p>
            <w:pPr>
              <w:spacing w:before="0" w:after="0" w:line="240" w:lineRule="auto"/>
            </w:pPr>
            <w:r>
              <w:rPr>
                <w:rFonts w:ascii="Aptos" w:hAnsi="Aptos"/>
                <w:b/>
                <w:color w:val="FFFFFF"/>
                <w:sz w:val="19"/>
              </w:rPr>
              <w:t>Modelis</w:t>
            </w:r>
          </w:p>
        </w:tc>
        <w:tc>
          <w:tcPr>
            <w:tcW w:type="dxa" w:w="1999"/>
            <w:vAlign w:val="center"/>
            <w:tcMar>
              <w:top w:w="90" w:type="dxa"/>
              <w:start w:w="110" w:type="dxa"/>
              <w:bottom w:w="90" w:type="dxa"/>
              <w:end w:w="110" w:type="dxa"/>
            </w:tcMar>
            <w:shd w:fill="244F75"/>
          </w:tcPr>
          <w:p>
            <w:pPr>
              <w:spacing w:before="0" w:after="0" w:line="240" w:lineRule="auto"/>
            </w:pPr>
            <w:r>
              <w:rPr>
                <w:rFonts w:ascii="Aptos" w:hAnsi="Aptos"/>
                <w:b/>
                <w:color w:val="FFFFFF"/>
                <w:sz w:val="19"/>
              </w:rPr>
              <w:t>Rodiklis</w:t>
            </w:r>
          </w:p>
        </w:tc>
        <w:tc>
          <w:tcPr>
            <w:tcW w:type="dxa" w:w="1999"/>
            <w:vAlign w:val="center"/>
            <w:tcMar>
              <w:top w:w="90" w:type="dxa"/>
              <w:start w:w="110" w:type="dxa"/>
              <w:bottom w:w="90" w:type="dxa"/>
              <w:end w:w="110" w:type="dxa"/>
            </w:tcMar>
            <w:shd w:fill="244F75"/>
          </w:tcPr>
          <w:p>
            <w:pPr>
              <w:spacing w:before="0" w:after="0" w:line="240" w:lineRule="auto"/>
              <w:jc w:val="center"/>
            </w:pPr>
            <w:r>
              <w:rPr>
                <w:rFonts w:ascii="Aptos" w:hAnsi="Aptos"/>
                <w:b/>
                <w:color w:val="FFFFFF"/>
                <w:sz w:val="19"/>
              </w:rPr>
              <w:t>Straipsnis</w:t>
            </w:r>
          </w:p>
        </w:tc>
        <w:tc>
          <w:tcPr>
            <w:tcW w:type="dxa" w:w="1999"/>
            <w:vAlign w:val="center"/>
            <w:tcMar>
              <w:top w:w="90" w:type="dxa"/>
              <w:start w:w="110" w:type="dxa"/>
              <w:bottom w:w="90" w:type="dxa"/>
              <w:end w:w="110" w:type="dxa"/>
            </w:tcMar>
            <w:shd w:fill="244F75"/>
          </w:tcPr>
          <w:p>
            <w:pPr>
              <w:spacing w:before="0" w:after="0" w:line="240" w:lineRule="auto"/>
              <w:jc w:val="center"/>
            </w:pPr>
            <w:r>
              <w:rPr>
                <w:rFonts w:ascii="Aptos" w:hAnsi="Aptos"/>
                <w:b/>
                <w:color w:val="FFFFFF"/>
                <w:sz w:val="19"/>
              </w:rPr>
              <w:t>Atkartota</w:t>
            </w:r>
          </w:p>
        </w:tc>
        <w:tc>
          <w:tcPr>
            <w:tcW w:type="dxa" w:w="1999"/>
            <w:vAlign w:val="center"/>
            <w:tcMar>
              <w:top w:w="90" w:type="dxa"/>
              <w:start w:w="110" w:type="dxa"/>
              <w:bottom w:w="90" w:type="dxa"/>
              <w:end w:w="110" w:type="dxa"/>
            </w:tcMar>
            <w:shd w:fill="244F75"/>
          </w:tcPr>
          <w:p>
            <w:pPr>
              <w:spacing w:before="0" w:after="0" w:line="240" w:lineRule="auto"/>
              <w:jc w:val="center"/>
            </w:pPr>
            <w:r>
              <w:rPr>
                <w:rFonts w:ascii="Aptos" w:hAnsi="Aptos"/>
                <w:b/>
                <w:color w:val="FFFFFF"/>
                <w:sz w:val="19"/>
              </w:rPr>
              <w:t>Skirtumas</w:t>
            </w:r>
          </w:p>
        </w:tc>
      </w:tr>
      <w:tr>
        <w:tc>
          <w:tcPr>
            <w:tcW w:type="dxa" w:w="1999"/>
            <w:vAlign w:val="center"/>
            <w:tcMar>
              <w:top w:w="90" w:type="dxa"/>
              <w:start w:w="110" w:type="dxa"/>
              <w:bottom w:w="90" w:type="dxa"/>
              <w:end w:w="110" w:type="dxa"/>
            </w:tcMar>
          </w:tcPr>
          <w:p>
            <w:pPr>
              <w:spacing w:before="0" w:after="0" w:line="240" w:lineRule="auto"/>
            </w:pPr>
            <w:r>
              <w:rPr>
                <w:rFonts w:ascii="Aptos" w:hAnsi="Aptos"/>
                <w:sz w:val="19"/>
              </w:rPr>
              <w:t>Be ankstesnės kainos</w:t>
            </w:r>
          </w:p>
        </w:tc>
        <w:tc>
          <w:tcPr>
            <w:tcW w:type="dxa" w:w="1999"/>
            <w:vAlign w:val="center"/>
            <w:tcMar>
              <w:top w:w="90" w:type="dxa"/>
              <w:start w:w="110" w:type="dxa"/>
              <w:bottom w:w="90" w:type="dxa"/>
              <w:end w:w="110" w:type="dxa"/>
            </w:tcMar>
          </w:tcPr>
          <w:p>
            <w:pPr>
              <w:spacing w:before="0" w:after="0" w:line="240" w:lineRule="auto"/>
            </w:pPr>
            <w:r>
              <w:rPr>
                <w:rFonts w:ascii="Aptos" w:hAnsi="Aptos"/>
                <w:sz w:val="19"/>
              </w:rPr>
              <w:t>RMSE</w:t>
            </w:r>
          </w:p>
        </w:tc>
        <w:tc>
          <w:tcPr>
            <w:tcW w:type="dxa" w:w="1999"/>
            <w:vAlign w:val="center"/>
            <w:tcMar>
              <w:top w:w="90" w:type="dxa"/>
              <w:start w:w="110" w:type="dxa"/>
              <w:bottom w:w="90" w:type="dxa"/>
              <w:end w:w="110" w:type="dxa"/>
            </w:tcMar>
          </w:tcPr>
          <w:p>
            <w:pPr>
              <w:spacing w:before="0" w:after="0" w:line="240" w:lineRule="auto"/>
              <w:jc w:val="center"/>
            </w:pPr>
            <w:r>
              <w:rPr>
                <w:rFonts w:ascii="Aptos" w:hAnsi="Aptos"/>
                <w:sz w:val="19"/>
              </w:rPr>
              <w:t>0,2828</w:t>
            </w:r>
          </w:p>
        </w:tc>
        <w:tc>
          <w:tcPr>
            <w:tcW w:type="dxa" w:w="1999"/>
            <w:vAlign w:val="center"/>
            <w:tcMar>
              <w:top w:w="90" w:type="dxa"/>
              <w:start w:w="110" w:type="dxa"/>
              <w:bottom w:w="90" w:type="dxa"/>
              <w:end w:w="110" w:type="dxa"/>
            </w:tcMar>
          </w:tcPr>
          <w:p>
            <w:pPr>
              <w:spacing w:before="0" w:after="0" w:line="240" w:lineRule="auto"/>
              <w:jc w:val="center"/>
            </w:pPr>
            <w:r>
              <w:rPr>
                <w:rFonts w:ascii="Aptos" w:hAnsi="Aptos"/>
                <w:sz w:val="19"/>
              </w:rPr>
              <w:t>0,3682</w:t>
            </w:r>
          </w:p>
        </w:tc>
        <w:tc>
          <w:tcPr>
            <w:tcW w:type="dxa" w:w="1999"/>
            <w:vAlign w:val="center"/>
            <w:tcMar>
              <w:top w:w="90" w:type="dxa"/>
              <w:start w:w="110" w:type="dxa"/>
              <w:bottom w:w="90" w:type="dxa"/>
              <w:end w:w="110" w:type="dxa"/>
            </w:tcMar>
          </w:tcPr>
          <w:p>
            <w:pPr>
              <w:spacing w:before="0" w:after="0" w:line="240" w:lineRule="auto"/>
              <w:jc w:val="center"/>
            </w:pPr>
            <w:r>
              <w:rPr>
                <w:rFonts w:ascii="Aptos" w:hAnsi="Aptos"/>
                <w:sz w:val="19"/>
              </w:rPr>
              <w:t>0,0854</w:t>
            </w:r>
          </w:p>
        </w:tc>
      </w:tr>
      <w:tr>
        <w:tc>
          <w:tcPr>
            <w:tcW w:type="dxa" w:w="1999"/>
            <w:vAlign w:val="center"/>
            <w:tcMar>
              <w:top w:w="90" w:type="dxa"/>
              <w:start w:w="110" w:type="dxa"/>
              <w:bottom w:w="90" w:type="dxa"/>
              <w:end w:w="110" w:type="dxa"/>
            </w:tcMar>
            <w:shd w:fill="EAF2F8"/>
          </w:tcPr>
          <w:p>
            <w:pPr>
              <w:spacing w:before="0" w:after="0" w:line="240" w:lineRule="auto"/>
            </w:pPr>
            <w:r>
              <w:rPr>
                <w:rFonts w:ascii="Aptos" w:hAnsi="Aptos"/>
                <w:sz w:val="19"/>
              </w:rPr>
              <w:t>Be ankstesnės kainos</w:t>
            </w:r>
          </w:p>
        </w:tc>
        <w:tc>
          <w:tcPr>
            <w:tcW w:type="dxa" w:w="1999"/>
            <w:vAlign w:val="center"/>
            <w:tcMar>
              <w:top w:w="90" w:type="dxa"/>
              <w:start w:w="110" w:type="dxa"/>
              <w:bottom w:w="90" w:type="dxa"/>
              <w:end w:w="110" w:type="dxa"/>
            </w:tcMar>
            <w:shd w:fill="EAF2F8"/>
          </w:tcPr>
          <w:p>
            <w:pPr>
              <w:spacing w:before="0" w:after="0" w:line="240" w:lineRule="auto"/>
            </w:pPr>
            <w:r>
              <w:rPr>
                <w:rFonts w:ascii="Aptos" w:hAnsi="Aptos"/>
                <w:sz w:val="19"/>
              </w:rPr>
              <w:t>R2</w:t>
            </w:r>
          </w:p>
        </w:tc>
        <w:tc>
          <w:tcPr>
            <w:tcW w:type="dxa" w:w="1999"/>
            <w:vAlign w:val="center"/>
            <w:tcMar>
              <w:top w:w="90" w:type="dxa"/>
              <w:start w:w="110" w:type="dxa"/>
              <w:bottom w:w="90" w:type="dxa"/>
              <w:end w:w="110" w:type="dxa"/>
            </w:tcMar>
            <w:shd w:fill="EAF2F8"/>
          </w:tcPr>
          <w:p>
            <w:pPr>
              <w:spacing w:before="0" w:after="0" w:line="240" w:lineRule="auto"/>
              <w:jc w:val="center"/>
            </w:pPr>
            <w:r>
              <w:rPr>
                <w:rFonts w:ascii="Aptos" w:hAnsi="Aptos"/>
                <w:sz w:val="19"/>
              </w:rPr>
              <w:t>0,5620</w:t>
            </w:r>
          </w:p>
        </w:tc>
        <w:tc>
          <w:tcPr>
            <w:tcW w:type="dxa" w:w="1999"/>
            <w:vAlign w:val="center"/>
            <w:tcMar>
              <w:top w:w="90" w:type="dxa"/>
              <w:start w:w="110" w:type="dxa"/>
              <w:bottom w:w="90" w:type="dxa"/>
              <w:end w:w="110" w:type="dxa"/>
            </w:tcMar>
            <w:shd w:fill="EAF2F8"/>
          </w:tcPr>
          <w:p>
            <w:pPr>
              <w:spacing w:before="0" w:after="0" w:line="240" w:lineRule="auto"/>
              <w:jc w:val="center"/>
            </w:pPr>
            <w:r>
              <w:rPr>
                <w:rFonts w:ascii="Aptos" w:hAnsi="Aptos"/>
                <w:sz w:val="19"/>
              </w:rPr>
              <w:t>0,8330</w:t>
            </w:r>
          </w:p>
        </w:tc>
        <w:tc>
          <w:tcPr>
            <w:tcW w:type="dxa" w:w="1999"/>
            <w:vAlign w:val="center"/>
            <w:tcMar>
              <w:top w:w="90" w:type="dxa"/>
              <w:start w:w="110" w:type="dxa"/>
              <w:bottom w:w="90" w:type="dxa"/>
              <w:end w:w="110" w:type="dxa"/>
            </w:tcMar>
            <w:shd w:fill="EAF2F8"/>
          </w:tcPr>
          <w:p>
            <w:pPr>
              <w:spacing w:before="0" w:after="0" w:line="240" w:lineRule="auto"/>
              <w:jc w:val="center"/>
            </w:pPr>
            <w:r>
              <w:rPr>
                <w:rFonts w:ascii="Aptos" w:hAnsi="Aptos"/>
                <w:sz w:val="19"/>
              </w:rPr>
              <w:t>0,2710</w:t>
            </w:r>
          </w:p>
        </w:tc>
      </w:tr>
      <w:tr>
        <w:tc>
          <w:tcPr>
            <w:tcW w:type="dxa" w:w="1999"/>
            <w:vAlign w:val="center"/>
            <w:tcMar>
              <w:top w:w="90" w:type="dxa"/>
              <w:start w:w="110" w:type="dxa"/>
              <w:bottom w:w="90" w:type="dxa"/>
              <w:end w:w="110" w:type="dxa"/>
            </w:tcMar>
          </w:tcPr>
          <w:p>
            <w:pPr>
              <w:spacing w:before="0" w:after="0" w:line="240" w:lineRule="auto"/>
            </w:pPr>
            <w:r>
              <w:rPr>
                <w:rFonts w:ascii="Aptos" w:hAnsi="Aptos"/>
                <w:sz w:val="19"/>
              </w:rPr>
              <w:t>Be ankstesnės kainos</w:t>
            </w:r>
          </w:p>
        </w:tc>
        <w:tc>
          <w:tcPr>
            <w:tcW w:type="dxa" w:w="1999"/>
            <w:vAlign w:val="center"/>
            <w:tcMar>
              <w:top w:w="90" w:type="dxa"/>
              <w:start w:w="110" w:type="dxa"/>
              <w:bottom w:w="90" w:type="dxa"/>
              <w:end w:w="110" w:type="dxa"/>
            </w:tcMar>
          </w:tcPr>
          <w:p>
            <w:pPr>
              <w:spacing w:before="0" w:after="0" w:line="240" w:lineRule="auto"/>
            </w:pPr>
            <w:r>
              <w:rPr>
                <w:rFonts w:ascii="Aptos" w:hAnsi="Aptos"/>
                <w:sz w:val="19"/>
              </w:rPr>
              <w:t>Koreliacija</w:t>
            </w:r>
          </w:p>
        </w:tc>
        <w:tc>
          <w:tcPr>
            <w:tcW w:type="dxa" w:w="1999"/>
            <w:vAlign w:val="center"/>
            <w:tcMar>
              <w:top w:w="90" w:type="dxa"/>
              <w:start w:w="110" w:type="dxa"/>
              <w:bottom w:w="90" w:type="dxa"/>
              <w:end w:w="110" w:type="dxa"/>
            </w:tcMar>
          </w:tcPr>
          <w:p>
            <w:pPr>
              <w:spacing w:before="0" w:after="0" w:line="240" w:lineRule="auto"/>
              <w:jc w:val="center"/>
            </w:pPr>
            <w:r>
              <w:rPr>
                <w:rFonts w:ascii="Aptos" w:hAnsi="Aptos"/>
                <w:sz w:val="19"/>
              </w:rPr>
              <w:t>0,7496</w:t>
            </w:r>
          </w:p>
        </w:tc>
        <w:tc>
          <w:tcPr>
            <w:tcW w:type="dxa" w:w="1999"/>
            <w:vAlign w:val="center"/>
            <w:tcMar>
              <w:top w:w="90" w:type="dxa"/>
              <w:start w:w="110" w:type="dxa"/>
              <w:bottom w:w="90" w:type="dxa"/>
              <w:end w:w="110" w:type="dxa"/>
            </w:tcMar>
          </w:tcPr>
          <w:p>
            <w:pPr>
              <w:spacing w:before="0" w:after="0" w:line="240" w:lineRule="auto"/>
              <w:jc w:val="center"/>
            </w:pPr>
            <w:r>
              <w:rPr>
                <w:rFonts w:ascii="Aptos" w:hAnsi="Aptos"/>
                <w:sz w:val="19"/>
              </w:rPr>
              <w:t>0,9137</w:t>
            </w:r>
          </w:p>
        </w:tc>
        <w:tc>
          <w:tcPr>
            <w:tcW w:type="dxa" w:w="1999"/>
            <w:vAlign w:val="center"/>
            <w:tcMar>
              <w:top w:w="90" w:type="dxa"/>
              <w:start w:w="110" w:type="dxa"/>
              <w:bottom w:w="90" w:type="dxa"/>
              <w:end w:w="110" w:type="dxa"/>
            </w:tcMar>
          </w:tcPr>
          <w:p>
            <w:pPr>
              <w:spacing w:before="0" w:after="0" w:line="240" w:lineRule="auto"/>
              <w:jc w:val="center"/>
            </w:pPr>
            <w:r>
              <w:rPr>
                <w:rFonts w:ascii="Aptos" w:hAnsi="Aptos"/>
                <w:sz w:val="19"/>
              </w:rPr>
              <w:t>0,1641</w:t>
            </w:r>
          </w:p>
        </w:tc>
      </w:tr>
      <w:tr>
        <w:tc>
          <w:tcPr>
            <w:tcW w:type="dxa" w:w="1999"/>
            <w:vAlign w:val="center"/>
            <w:tcMar>
              <w:top w:w="90" w:type="dxa"/>
              <w:start w:w="110" w:type="dxa"/>
              <w:bottom w:w="90" w:type="dxa"/>
              <w:end w:w="110" w:type="dxa"/>
            </w:tcMar>
            <w:shd w:fill="EAF2F8"/>
          </w:tcPr>
          <w:p>
            <w:pPr>
              <w:spacing w:before="0" w:after="0" w:line="240" w:lineRule="auto"/>
            </w:pPr>
            <w:r>
              <w:rPr>
                <w:rFonts w:ascii="Aptos" w:hAnsi="Aptos"/>
                <w:sz w:val="19"/>
              </w:rPr>
              <w:t>Su ankstesne kaina</w:t>
            </w:r>
          </w:p>
        </w:tc>
        <w:tc>
          <w:tcPr>
            <w:tcW w:type="dxa" w:w="1999"/>
            <w:vAlign w:val="center"/>
            <w:tcMar>
              <w:top w:w="90" w:type="dxa"/>
              <w:start w:w="110" w:type="dxa"/>
              <w:bottom w:w="90" w:type="dxa"/>
              <w:end w:w="110" w:type="dxa"/>
            </w:tcMar>
            <w:shd w:fill="EAF2F8"/>
          </w:tcPr>
          <w:p>
            <w:pPr>
              <w:spacing w:before="0" w:after="0" w:line="240" w:lineRule="auto"/>
            </w:pPr>
            <w:r>
              <w:rPr>
                <w:rFonts w:ascii="Aptos" w:hAnsi="Aptos"/>
                <w:sz w:val="19"/>
              </w:rPr>
              <w:t>RMSE</w:t>
            </w:r>
          </w:p>
        </w:tc>
        <w:tc>
          <w:tcPr>
            <w:tcW w:type="dxa" w:w="1999"/>
            <w:vAlign w:val="center"/>
            <w:tcMar>
              <w:top w:w="90" w:type="dxa"/>
              <w:start w:w="110" w:type="dxa"/>
              <w:bottom w:w="90" w:type="dxa"/>
              <w:end w:w="110" w:type="dxa"/>
            </w:tcMar>
            <w:shd w:fill="EAF2F8"/>
          </w:tcPr>
          <w:p>
            <w:pPr>
              <w:spacing w:before="0" w:after="0" w:line="240" w:lineRule="auto"/>
              <w:jc w:val="center"/>
            </w:pPr>
            <w:r>
              <w:rPr>
                <w:rFonts w:ascii="Aptos" w:hAnsi="Aptos"/>
                <w:sz w:val="19"/>
              </w:rPr>
              <w:t>0,0532</w:t>
            </w:r>
          </w:p>
        </w:tc>
        <w:tc>
          <w:tcPr>
            <w:tcW w:type="dxa" w:w="1999"/>
            <w:vAlign w:val="center"/>
            <w:tcMar>
              <w:top w:w="90" w:type="dxa"/>
              <w:start w:w="110" w:type="dxa"/>
              <w:bottom w:w="90" w:type="dxa"/>
              <w:end w:w="110" w:type="dxa"/>
            </w:tcMar>
            <w:shd w:fill="EAF2F8"/>
          </w:tcPr>
          <w:p>
            <w:pPr>
              <w:spacing w:before="0" w:after="0" w:line="240" w:lineRule="auto"/>
              <w:jc w:val="center"/>
            </w:pPr>
            <w:r>
              <w:rPr>
                <w:rFonts w:ascii="Aptos" w:hAnsi="Aptos"/>
                <w:sz w:val="19"/>
              </w:rPr>
              <w:t>0,0521</w:t>
            </w:r>
          </w:p>
        </w:tc>
        <w:tc>
          <w:tcPr>
            <w:tcW w:type="dxa" w:w="1999"/>
            <w:vAlign w:val="center"/>
            <w:tcMar>
              <w:top w:w="90" w:type="dxa"/>
              <w:start w:w="110" w:type="dxa"/>
              <w:bottom w:w="90" w:type="dxa"/>
              <w:end w:w="110" w:type="dxa"/>
            </w:tcMar>
            <w:shd w:fill="EAF2F8"/>
          </w:tcPr>
          <w:p>
            <w:pPr>
              <w:spacing w:before="0" w:after="0" w:line="240" w:lineRule="auto"/>
              <w:jc w:val="center"/>
            </w:pPr>
            <w:r>
              <w:rPr>
                <w:rFonts w:ascii="Aptos" w:hAnsi="Aptos"/>
                <w:sz w:val="19"/>
              </w:rPr>
              <w:t>-0,0011</w:t>
            </w:r>
          </w:p>
        </w:tc>
      </w:tr>
      <w:tr>
        <w:tc>
          <w:tcPr>
            <w:tcW w:type="dxa" w:w="1999"/>
            <w:vAlign w:val="center"/>
            <w:tcMar>
              <w:top w:w="90" w:type="dxa"/>
              <w:start w:w="110" w:type="dxa"/>
              <w:bottom w:w="90" w:type="dxa"/>
              <w:end w:w="110" w:type="dxa"/>
            </w:tcMar>
          </w:tcPr>
          <w:p>
            <w:pPr>
              <w:spacing w:before="0" w:after="0" w:line="240" w:lineRule="auto"/>
            </w:pPr>
            <w:r>
              <w:rPr>
                <w:rFonts w:ascii="Aptos" w:hAnsi="Aptos"/>
                <w:sz w:val="19"/>
              </w:rPr>
              <w:t>Su ankstesne kaina</w:t>
            </w:r>
          </w:p>
        </w:tc>
        <w:tc>
          <w:tcPr>
            <w:tcW w:type="dxa" w:w="1999"/>
            <w:vAlign w:val="center"/>
            <w:tcMar>
              <w:top w:w="90" w:type="dxa"/>
              <w:start w:w="110" w:type="dxa"/>
              <w:bottom w:w="90" w:type="dxa"/>
              <w:end w:w="110" w:type="dxa"/>
            </w:tcMar>
          </w:tcPr>
          <w:p>
            <w:pPr>
              <w:spacing w:before="0" w:after="0" w:line="240" w:lineRule="auto"/>
            </w:pPr>
            <w:r>
              <w:rPr>
                <w:rFonts w:ascii="Aptos" w:hAnsi="Aptos"/>
                <w:sz w:val="19"/>
              </w:rPr>
              <w:t>R2</w:t>
            </w:r>
          </w:p>
        </w:tc>
        <w:tc>
          <w:tcPr>
            <w:tcW w:type="dxa" w:w="1999"/>
            <w:vAlign w:val="center"/>
            <w:tcMar>
              <w:top w:w="90" w:type="dxa"/>
              <w:start w:w="110" w:type="dxa"/>
              <w:bottom w:w="90" w:type="dxa"/>
              <w:end w:w="110" w:type="dxa"/>
            </w:tcMar>
          </w:tcPr>
          <w:p>
            <w:pPr>
              <w:spacing w:before="0" w:after="0" w:line="240" w:lineRule="auto"/>
              <w:jc w:val="center"/>
            </w:pPr>
            <w:r>
              <w:rPr>
                <w:rFonts w:ascii="Aptos" w:hAnsi="Aptos"/>
                <w:sz w:val="19"/>
              </w:rPr>
              <w:t>0,9970</w:t>
            </w:r>
          </w:p>
        </w:tc>
        <w:tc>
          <w:tcPr>
            <w:tcW w:type="dxa" w:w="1999"/>
            <w:vAlign w:val="center"/>
            <w:tcMar>
              <w:top w:w="90" w:type="dxa"/>
              <w:start w:w="110" w:type="dxa"/>
              <w:bottom w:w="90" w:type="dxa"/>
              <w:end w:w="110" w:type="dxa"/>
            </w:tcMar>
          </w:tcPr>
          <w:p>
            <w:pPr>
              <w:spacing w:before="0" w:after="0" w:line="240" w:lineRule="auto"/>
              <w:jc w:val="center"/>
            </w:pPr>
            <w:r>
              <w:rPr>
                <w:rFonts w:ascii="Aptos" w:hAnsi="Aptos"/>
                <w:sz w:val="19"/>
              </w:rPr>
              <w:t>0,9967</w:t>
            </w:r>
          </w:p>
        </w:tc>
        <w:tc>
          <w:tcPr>
            <w:tcW w:type="dxa" w:w="1999"/>
            <w:vAlign w:val="center"/>
            <w:tcMar>
              <w:top w:w="90" w:type="dxa"/>
              <w:start w:w="110" w:type="dxa"/>
              <w:bottom w:w="90" w:type="dxa"/>
              <w:end w:w="110" w:type="dxa"/>
            </w:tcMar>
          </w:tcPr>
          <w:p>
            <w:pPr>
              <w:spacing w:before="0" w:after="0" w:line="240" w:lineRule="auto"/>
              <w:jc w:val="center"/>
            </w:pPr>
            <w:r>
              <w:rPr>
                <w:rFonts w:ascii="Aptos" w:hAnsi="Aptos"/>
                <w:sz w:val="19"/>
              </w:rPr>
              <w:t>-0,0003</w:t>
            </w:r>
          </w:p>
        </w:tc>
      </w:tr>
      <w:tr>
        <w:tc>
          <w:tcPr>
            <w:tcW w:type="dxa" w:w="1999"/>
            <w:vAlign w:val="center"/>
            <w:tcMar>
              <w:top w:w="90" w:type="dxa"/>
              <w:start w:w="110" w:type="dxa"/>
              <w:bottom w:w="90" w:type="dxa"/>
              <w:end w:w="110" w:type="dxa"/>
            </w:tcMar>
            <w:shd w:fill="EAF2F8"/>
          </w:tcPr>
          <w:p>
            <w:pPr>
              <w:spacing w:before="0" w:after="0" w:line="240" w:lineRule="auto"/>
            </w:pPr>
            <w:r>
              <w:rPr>
                <w:rFonts w:ascii="Aptos" w:hAnsi="Aptos"/>
                <w:sz w:val="19"/>
              </w:rPr>
              <w:t>Su ankstesne kaina</w:t>
            </w:r>
          </w:p>
        </w:tc>
        <w:tc>
          <w:tcPr>
            <w:tcW w:type="dxa" w:w="1999"/>
            <w:vAlign w:val="center"/>
            <w:tcMar>
              <w:top w:w="90" w:type="dxa"/>
              <w:start w:w="110" w:type="dxa"/>
              <w:bottom w:w="90" w:type="dxa"/>
              <w:end w:w="110" w:type="dxa"/>
            </w:tcMar>
            <w:shd w:fill="EAF2F8"/>
          </w:tcPr>
          <w:p>
            <w:pPr>
              <w:spacing w:before="0" w:after="0" w:line="240" w:lineRule="auto"/>
            </w:pPr>
            <w:r>
              <w:rPr>
                <w:rFonts w:ascii="Aptos" w:hAnsi="Aptos"/>
                <w:sz w:val="19"/>
              </w:rPr>
              <w:t>Koreliacija</w:t>
            </w:r>
          </w:p>
        </w:tc>
        <w:tc>
          <w:tcPr>
            <w:tcW w:type="dxa" w:w="1999"/>
            <w:vAlign w:val="center"/>
            <w:tcMar>
              <w:top w:w="90" w:type="dxa"/>
              <w:start w:w="110" w:type="dxa"/>
              <w:bottom w:w="90" w:type="dxa"/>
              <w:end w:w="110" w:type="dxa"/>
            </w:tcMar>
            <w:shd w:fill="EAF2F8"/>
          </w:tcPr>
          <w:p>
            <w:pPr>
              <w:spacing w:before="0" w:after="0" w:line="240" w:lineRule="auto"/>
              <w:jc w:val="center"/>
            </w:pPr>
            <w:r>
              <w:rPr>
                <w:rFonts w:ascii="Aptos" w:hAnsi="Aptos"/>
                <w:sz w:val="19"/>
              </w:rPr>
              <w:t>0,9985</w:t>
            </w:r>
          </w:p>
        </w:tc>
        <w:tc>
          <w:tcPr>
            <w:tcW w:type="dxa" w:w="1999"/>
            <w:vAlign w:val="center"/>
            <w:tcMar>
              <w:top w:w="90" w:type="dxa"/>
              <w:start w:w="110" w:type="dxa"/>
              <w:bottom w:w="90" w:type="dxa"/>
              <w:end w:w="110" w:type="dxa"/>
            </w:tcMar>
            <w:shd w:fill="EAF2F8"/>
          </w:tcPr>
          <w:p>
            <w:pPr>
              <w:spacing w:before="0" w:after="0" w:line="240" w:lineRule="auto"/>
              <w:jc w:val="center"/>
            </w:pPr>
            <w:r>
              <w:rPr>
                <w:rFonts w:ascii="Aptos" w:hAnsi="Aptos"/>
                <w:sz w:val="19"/>
              </w:rPr>
              <w:t>0,9983</w:t>
            </w:r>
          </w:p>
        </w:tc>
        <w:tc>
          <w:tcPr>
            <w:tcW w:type="dxa" w:w="1999"/>
            <w:vAlign w:val="center"/>
            <w:tcMar>
              <w:top w:w="90" w:type="dxa"/>
              <w:start w:w="110" w:type="dxa"/>
              <w:bottom w:w="90" w:type="dxa"/>
              <w:end w:w="110" w:type="dxa"/>
            </w:tcMar>
            <w:shd w:fill="EAF2F8"/>
          </w:tcPr>
          <w:p>
            <w:pPr>
              <w:spacing w:before="0" w:after="0" w:line="240" w:lineRule="auto"/>
              <w:jc w:val="center"/>
            </w:pPr>
            <w:r>
              <w:rPr>
                <w:rFonts w:ascii="Aptos" w:hAnsi="Aptos"/>
                <w:sz w:val="19"/>
              </w:rPr>
              <w:t>-0,0002</w:t>
            </w:r>
          </w:p>
        </w:tc>
      </w:tr>
    </w:tbl>
    <w:p>
      <w:pPr>
        <w:spacing w:before="40" w:after="140"/>
        <w:jc w:val="center"/>
      </w:pPr>
      <w:r>
        <w:rPr>
          <w:b/>
          <w:sz w:val="18"/>
        </w:rPr>
        <w:t>2 lentelė Rezultatų palyginimas su straipsniu</w:t>
      </w:r>
    </w:p>
    <w:p>
      <w:pPr>
        <w:ind w:firstLine="360"/>
        <w:jc w:val="both"/>
      </w:pPr>
      <w:r>
        <w:t>Be ankstesnės kainos atkurtas RMSE buvo 0,3682, o R2 0,8330. Modelis pagal kalendorinius požymius atkūrė bendrą ilgalaikį kainos kitimą, tačiau silpniau reagavo į staigius šuolius. Rezultatas nuo straipsnio skyrėsi dėl neaprašytų 81 įrašo pašalinimo, mokymo ir testavimo skirstymo bei nepateiktų optimizavimo detalių.</w:t>
      </w:r>
    </w:p>
    <w:p>
      <w:pPr>
        <w:spacing w:before="100" w:after="20"/>
        <w:jc w:val="center"/>
      </w:pPr>
      <w:r>
        <w:drawing>
          <wp:inline xmlns:a="http://schemas.openxmlformats.org/drawingml/2006/main" xmlns:pic="http://schemas.openxmlformats.org/drawingml/2006/picture">
            <wp:extent cx="5303520" cy="3502386"/>
            <wp:docPr id="3" name="Picture 3"/>
            <wp:cNvGraphicFramePr>
              <a:graphicFrameLocks noChangeAspect="1"/>
            </wp:cNvGraphicFramePr>
            <a:graphic>
              <a:graphicData uri="http://schemas.openxmlformats.org/drawingml/2006/picture">
                <pic:pic>
                  <pic:nvPicPr>
                    <pic:cNvPr id="0" name="tikrosios_ir_prognozuotos_kainos.png"/>
                    <pic:cNvPicPr/>
                  </pic:nvPicPr>
                  <pic:blipFill>
                    <a:blip r:embed="rId12"/>
                    <a:stretch>
                      <a:fillRect/>
                    </a:stretch>
                  </pic:blipFill>
                  <pic:spPr>
                    <a:xfrm>
                      <a:off x="0" y="0"/>
                      <a:ext cx="5303520" cy="3502386"/>
                    </a:xfrm>
                    <a:prstGeom prst="rect"/>
                  </pic:spPr>
                </pic:pic>
              </a:graphicData>
            </a:graphic>
          </wp:inline>
        </w:drawing>
      </w:r>
    </w:p>
    <w:p>
      <w:pPr>
        <w:spacing w:before="40" w:after="140"/>
        <w:jc w:val="center"/>
      </w:pPr>
      <w:r>
        <w:rPr>
          <w:b/>
          <w:sz w:val="18"/>
        </w:rPr>
        <w:t>3 pav Tikrosios ir ANFIS prognozuotos testavimo kainos</w:t>
      </w:r>
    </w:p>
    <w:p>
      <w:pPr>
        <w:ind w:firstLine="360"/>
        <w:jc w:val="both"/>
      </w:pPr>
      <w:r>
        <w:t>Pridėjus ankstesnės savaitės kainą, RMSE sumažėjo iki 0,0521, R2 padidėjo iki 0,9967, o koreliacija pasiekė 0,9983. Straipsnyje atitinkamai paskelbta 0,0532, 0,9970 ir 0,9985. Pagrindinė straipsnio išvada, kad ankstesnė kaina labai pagerina prognozę, buvo atkartota.</w:t>
      </w:r>
    </w:p>
    <w:p>
      <w:r>
        <w:br w:type="page"/>
      </w:r>
    </w:p>
    <w:p>
      <w:pPr>
        <w:pStyle w:val="Heading1"/>
      </w:pPr>
      <w:r>
        <w:t>6 Ateities kainos prognozė</w:t>
      </w:r>
    </w:p>
    <w:p>
      <w:pPr>
        <w:ind w:firstLine="360"/>
        <w:jc w:val="both"/>
      </w:pPr>
      <w:r>
        <w:t>Papildomam bandymui modelis su ankstesnės savaitės kaina apmokytas su visa turima EIA istorija. Kiekvienos prognozuojamos savaitės rezultatas naudotas kaip kitos savaitės įvestis. 52 savaičių prognozė svyravo nuo 0,968 iki 1,252 EUR už litrą.</w:t>
      </w:r>
    </w:p>
    <w:p>
      <w:pPr>
        <w:spacing w:before="100" w:after="20"/>
        <w:jc w:val="center"/>
      </w:pPr>
      <w:r>
        <w:drawing>
          <wp:inline xmlns:a="http://schemas.openxmlformats.org/drawingml/2006/main" xmlns:pic="http://schemas.openxmlformats.org/drawingml/2006/picture">
            <wp:extent cx="6080760" cy="3388639"/>
            <wp:docPr id="4" name="Picture 4"/>
            <wp:cNvGraphicFramePr>
              <a:graphicFrameLocks noChangeAspect="1"/>
            </wp:cNvGraphicFramePr>
            <a:graphic>
              <a:graphicData uri="http://schemas.openxmlformats.org/drawingml/2006/picture">
                <pic:pic>
                  <pic:nvPicPr>
                    <pic:cNvPr id="0" name="paskutiniai_3_metai_ir_metu_prognoze.png"/>
                    <pic:cNvPicPr/>
                  </pic:nvPicPr>
                  <pic:blipFill>
                    <a:blip r:embed="rId13"/>
                    <a:stretch>
                      <a:fillRect/>
                    </a:stretch>
                  </pic:blipFill>
                  <pic:spPr>
                    <a:xfrm>
                      <a:off x="0" y="0"/>
                      <a:ext cx="6080760" cy="3388639"/>
                    </a:xfrm>
                    <a:prstGeom prst="rect"/>
                  </pic:spPr>
                </pic:pic>
              </a:graphicData>
            </a:graphic>
          </wp:inline>
        </w:drawing>
      </w:r>
    </w:p>
    <w:p>
      <w:pPr>
        <w:spacing w:before="40" w:after="140"/>
        <w:jc w:val="center"/>
      </w:pPr>
      <w:r>
        <w:rPr>
          <w:b/>
          <w:sz w:val="18"/>
        </w:rPr>
        <w:t>4 pav Paskutinių trejų metų reali kaina ir 52 savaičių prognozė</w:t>
      </w:r>
    </w:p>
    <w:p>
      <w:pPr>
        <w:ind w:firstLine="360"/>
        <w:jc w:val="both"/>
      </w:pPr>
      <w:r>
        <w:t>Ilgalaikę prognozę sudaro 223 savaitiniai taškai. Jos reikšmės svyravo nuo 0,968 iki 1,376 EUR už litrą, o paskutinė reikšmė buvo 1,085 EUR už litrą. Ilgėjant rekursinei prognozei neapibrėžtumas kaupiasi, todėl šis grafikas rodo modelio ekstrapoliaciją, o ne garantuotą būsimą kuro kainą.</w:t>
      </w:r>
    </w:p>
    <w:p>
      <w:pPr>
        <w:spacing w:before="100" w:after="20"/>
        <w:jc w:val="center"/>
      </w:pPr>
      <w:r>
        <w:drawing>
          <wp:inline xmlns:a="http://schemas.openxmlformats.org/drawingml/2006/main" xmlns:pic="http://schemas.openxmlformats.org/drawingml/2006/picture">
            <wp:extent cx="5669280" cy="3244019"/>
            <wp:docPr id="5" name="Picture 5"/>
            <wp:cNvGraphicFramePr>
              <a:graphicFrameLocks noChangeAspect="1"/>
            </wp:cNvGraphicFramePr>
            <a:graphic>
              <a:graphicData uri="http://schemas.openxmlformats.org/drawingml/2006/picture">
                <pic:pic>
                  <pic:nvPicPr>
                    <pic:cNvPr id="0" name="tikroji_kaina_ir_prognoze_iki_2030.png"/>
                    <pic:cNvPicPr/>
                  </pic:nvPicPr>
                  <pic:blipFill>
                    <a:blip r:embed="rId14"/>
                    <a:stretch>
                      <a:fillRect/>
                    </a:stretch>
                  </pic:blipFill>
                  <pic:spPr>
                    <a:xfrm>
                      <a:off x="0" y="0"/>
                      <a:ext cx="5669280" cy="3244019"/>
                    </a:xfrm>
                    <a:prstGeom prst="rect"/>
                  </pic:spPr>
                </pic:pic>
              </a:graphicData>
            </a:graphic>
          </wp:inline>
        </w:drawing>
      </w:r>
    </w:p>
    <w:p>
      <w:pPr>
        <w:spacing w:before="40" w:after="140"/>
        <w:jc w:val="center"/>
      </w:pPr>
      <w:r>
        <w:rPr>
          <w:b/>
          <w:sz w:val="18"/>
        </w:rPr>
        <w:t>5 pav Tikroji kaina ir ANFIS prognozė iki 2030 m.</w:t>
      </w:r>
    </w:p>
    <w:p>
      <w:pPr>
        <w:pStyle w:val="Heading1"/>
      </w:pPr>
      <w:r>
        <w:t>7 Mokymo eiga</w:t>
      </w:r>
    </w:p>
    <w:p>
      <w:pPr>
        <w:spacing w:before="100" w:after="20"/>
        <w:jc w:val="center"/>
      </w:pPr>
      <w:r>
        <w:drawing>
          <wp:inline xmlns:a="http://schemas.openxmlformats.org/drawingml/2006/main" xmlns:pic="http://schemas.openxmlformats.org/drawingml/2006/picture">
            <wp:extent cx="4206240" cy="2739821"/>
            <wp:docPr id="6" name="Picture 6"/>
            <wp:cNvGraphicFramePr>
              <a:graphicFrameLocks noChangeAspect="1"/>
            </wp:cNvGraphicFramePr>
            <a:graphic>
              <a:graphicData uri="http://schemas.openxmlformats.org/drawingml/2006/picture">
                <pic:pic>
                  <pic:nvPicPr>
                    <pic:cNvPr id="0" name="mokymo_klaida.png"/>
                    <pic:cNvPicPr/>
                  </pic:nvPicPr>
                  <pic:blipFill>
                    <a:blip r:embed="rId15"/>
                    <a:stretch>
                      <a:fillRect/>
                    </a:stretch>
                  </pic:blipFill>
                  <pic:spPr>
                    <a:xfrm>
                      <a:off x="0" y="0"/>
                      <a:ext cx="4206240" cy="2739821"/>
                    </a:xfrm>
                    <a:prstGeom prst="rect"/>
                  </pic:spPr>
                </pic:pic>
              </a:graphicData>
            </a:graphic>
          </wp:inline>
        </w:drawing>
      </w:r>
    </w:p>
    <w:p>
      <w:pPr>
        <w:spacing w:before="40" w:after="140"/>
        <w:jc w:val="center"/>
      </w:pPr>
      <w:r>
        <w:rPr>
          <w:b/>
          <w:sz w:val="18"/>
        </w:rPr>
        <w:t>6 pav ANFIS mokymo klaida logaritminėje skalėje</w:t>
      </w:r>
    </w:p>
    <w:p>
      <w:pPr>
        <w:ind w:firstLine="360"/>
        <w:jc w:val="both"/>
      </w:pPr>
      <w:r>
        <w:t>Abiejų modelių mokymo klaida mažėjo ir stabilizavosi iki 100 epochos. Modelio su ankstesne kaina klaida viso mokymo metu buvo maždaug dviem dydžio eilėmis mažesnė. Tai patvirtina, kad artimiausia ankstesnė kaina turi daugiau prognozinės informacijos nei vien kalendoriniai požymiai.</w:t>
      </w:r>
    </w:p>
    <w:p>
      <w:pPr>
        <w:pStyle w:val="Heading1"/>
      </w:pPr>
      <w:r>
        <w:t>8 Atkūrimo ribotumai</w:t>
      </w:r>
    </w:p>
    <w:p>
      <w:pPr>
        <w:ind w:firstLine="360"/>
        <w:jc w:val="both"/>
      </w:pPr>
      <w:r>
        <w:t>Straipsnyje pateiktos MSE ir RMSE poros nėra matematiškai suderintos. Pavyzdžiui, RMSE 0,0532 kvadratas yra apie 0,00283, o paskelbtas MSE yra 0,04164. Analogiškas neatitikimas yra ir modelio be ankstesnės kainos lentelėje. Atkurtame eksperimente abi metrikos apskaičiuotos iš tų pačių prognozės liekanų, todėl tarpusavyje sutampa.</w:t>
      </w:r>
    </w:p>
    <w:p>
      <w:pPr>
        <w:ind w:firstLine="360"/>
        <w:jc w:val="both"/>
      </w:pPr>
      <w:r>
        <w:t>Atkūrimą taip pat riboja nepateiktas originalus programinis kodas, tikslūs atsitiktinės sekos parametrai ir nepaaiškintas 81 įrašo skirtumas. Dėl šių priežasčių vertinamas ne vien absoliutus metrikų sutapimas, bet ir pagrindinės išvados bei modelių santykis.</w:t>
      </w:r>
    </w:p>
    <w:p>
      <w:pPr>
        <w:pStyle w:val="Heading1"/>
      </w:pPr>
      <w:r>
        <w:t>9 Išvados</w:t>
      </w:r>
    </w:p>
    <w:p>
      <w:pPr>
        <w:pStyle w:val="ListBullet"/>
        <w:spacing w:after="60"/>
      </w:pPr>
      <w:r>
        <w:t>Savarankiška MATLAB ANFIS realizacija sėkmingai apmokyta be papildomų toolboxų.</w:t>
      </w:r>
    </w:p>
    <w:p>
      <w:pPr>
        <w:pStyle w:val="ListBullet"/>
        <w:spacing w:after="60"/>
      </w:pPr>
      <w:r>
        <w:t>Modelis su ankstesnės savaitės kaina beveik tiksliai atkartojo straipsnio RMSE, R2 ir koreliaciją.</w:t>
      </w:r>
    </w:p>
    <w:p>
      <w:pPr>
        <w:pStyle w:val="ListBullet"/>
        <w:spacing w:after="60"/>
      </w:pPr>
      <w:r>
        <w:t>Ankstesnė kaina sumažino atkurtą RMSE nuo 0,3682 iki 0,0521 USD už galoną.</w:t>
      </w:r>
    </w:p>
    <w:p>
      <w:pPr>
        <w:pStyle w:val="ListBullet"/>
        <w:spacing w:after="60"/>
      </w:pPr>
      <w:r>
        <w:t>Papildoma prognozė parodė 52 savaičių ir iki 2030 m. modelio ekstrapoliaciją EUR už litrą.</w:t>
      </w:r>
    </w:p>
    <w:p>
      <w:pPr>
        <w:pStyle w:val="ListBullet"/>
        <w:spacing w:after="60"/>
      </w:pPr>
      <w:r>
        <w:t>Straipsnio imties dydžio ir MSE bei RMSE neatitikimai neleidžia visiškai tiksliai atkurti visų rezultatų.</w:t>
      </w:r>
    </w:p>
    <w:p>
      <w:pPr>
        <w:pStyle w:val="Heading1"/>
      </w:pPr>
      <w:r>
        <w:t>Literatūra</w:t>
      </w:r>
    </w:p>
    <w:p>
      <w:pPr>
        <w:ind w:firstLine="360"/>
        <w:jc w:val="both"/>
      </w:pPr>
      <w:r>
        <w:t>Eliwa E H I, El Koshiry A M, Abd El Hafeez T, Omar A. Optimal Gasoline Price Predictions Leveraging the ANFIS Regression Model. International Journal of Intelligent Systems, 8462056. DOI 10.1155/2024/8462056.</w:t>
      </w:r>
    </w:p>
    <w:p>
      <w:pPr>
        <w:ind w:firstLine="360"/>
        <w:jc w:val="both"/>
      </w:pPr>
      <w:r>
        <w:t>U S Energy Information Administration. Weekly U S All Grades All Formulations Retail Gasoline Prices. Series EMM EPM0 PTE NUS DPG. Jang J S R. ANFIS Adaptive Network Based Fuzzy Inference System. IEEE Transactions on Systems Man and Cybernetics, 23, 665-685.</w:t>
      </w:r>
    </w:p>
    <w:sectPr w:rsidR="00FC693F" w:rsidRPr="0006063C" w:rsidSect="00034616">
      <w:footerReference w:type="default" r:id="rId9"/>
      <w:pgSz w:w="12240" w:h="15840"/>
      <w:pgMar w:top="1037" w:right="1123" w:bottom="979" w:left="1123"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