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基于MNSIM的PIM/CIM架构顶会论文学术建议报告</w:t>
      </w:r>
    </w:p>
    <w:p>
      <w:pPr>
        <w:pStyle w:val="2"/>
        <w:spacing w:before="320" w:after="120" w:line="288" w:lineRule="auto"/>
        <w:ind w:left="0"/>
        <w:jc w:val="left"/>
        <w:outlineLvl w:val="1"/>
      </w:pPr>
      <w:bookmarkStart w:name="heading_0" w:id="0"/>
      <w:r>
        <w:rPr>
          <w:rFonts w:eastAsia="等线" w:ascii="Arial" w:cs="Arial" w:hAnsi="Arial"/>
          <w:b w:val="true"/>
          <w:sz w:val="32"/>
        </w:rPr>
        <w:t>基于 MNSIM 的 PIM/CIM 架构创新与顶会论文发表路径规划</w:t>
      </w:r>
      <w:bookmarkEnd w:id="0"/>
    </w:p>
    <w:p>
      <w:pPr>
        <w:spacing w:before="120" w:after="120" w:line="288" w:lineRule="auto"/>
        <w:ind w:left="0"/>
        <w:jc w:val="left"/>
      </w:pPr>
      <w:r>
        <w:rPr>
          <w:rFonts w:eastAsia="等线" w:ascii="Arial" w:cs="Arial" w:hAnsi="Arial"/>
          <w:sz w:val="22"/>
        </w:rPr>
        <w:t>高老师，您好！</w:t>
      </w:r>
    </w:p>
    <w:p>
      <w:pPr>
        <w:spacing w:before="120" w:after="120" w:line="288" w:lineRule="auto"/>
        <w:ind w:left="0"/>
        <w:jc w:val="left"/>
      </w:pPr>
      <w:r>
        <w:rPr>
          <w:rFonts w:eastAsia="等线" w:ascii="Arial" w:cs="Arial" w:hAnsi="Arial"/>
          <w:sz w:val="22"/>
        </w:rPr>
        <w:t>针对您“坚持使用 MNSIM 作为核心仿真工具，如何在 PIM/CIM 领域（特别是面向边缘 CNN 推理，约束 ACC 损失</w:t>
      </w:r>
      <w:r>
        <w:rPr>
          <w:rFonts w:eastAsia="等线" w:ascii="Arial" w:cs="Arial" w:hAnsi="Arial"/>
          <w:sz w:val="22"/>
        </w:rPr>
        <w:t>&lt;1%）产出顶会/顶刊级别论文”的核心诉求，我为您梳理了一份系统性的学术建议报告。本报告旨在超越“MNSIM 能做什么”的浅层罗列，而是构建一个“如何让 MNSIM 的工作具有顶会价值”的战略框架与可落地的执行路线图。</w:t>
      </w:r>
    </w:p>
    <w:p>
      <w:pPr>
        <w:spacing w:before="120" w:after="120" w:line="288" w:lineRule="auto"/>
        <w:ind w:left="0"/>
        <w:jc w:val="left"/>
      </w:pPr>
      <w:r>
        <w:rPr>
          <w:rFonts w:eastAsia="等线" w:ascii="Arial" w:cs="Arial" w:hAnsi="Arial"/>
          <w:sz w:val="22"/>
        </w:rPr>
        <w:t>报告的核心思想是：</w:t>
      </w:r>
      <w:r>
        <w:rPr>
          <w:rFonts w:eastAsia="等线" w:ascii="Arial" w:cs="Arial" w:hAnsi="Arial"/>
          <w:b w:val="true"/>
          <w:sz w:val="22"/>
        </w:rPr>
        <w:t>承认并正视 MNSIM 作为行为级模拟器的局限性（主要是精度与非理想效应建模的不足），并将其定位为大规模设计空间探索（DSE）的“快引擎”，通过与高保真工具链的“多保真度（Multi-fidelity）”校准、创新的编译映射算法以及面向边缘场景的软硬件协同“魔改”，形成一套“快而准”且具备系统性创新的方法论。</w:t>
      </w:r>
    </w:p>
    <w:p>
      <w:pPr>
        <w:spacing w:before="120" w:after="120" w:line="288" w:lineRule="auto"/>
        <w:ind w:left="0"/>
        <w:jc w:val="left"/>
      </w:pPr>
      <w:r>
        <w:rPr>
          <w:rFonts w:eastAsia="等线" w:ascii="Arial" w:cs="Arial" w:hAnsi="Arial"/>
          <w:sz w:val="22"/>
        </w:rPr>
        <w:t>我们将采用“三维推演”与 L1-L4 演化框架来组织思路，确保每一项研究都具备从具体实验（L1）到核心能力（L2）、生态共振（L3）乃至架构基因（L4）的完整思考深度。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sz w:val="30"/>
        </w:rPr>
        <w:t>核心抓手：“三维推演” L1-L4 演化框架与一体化复合指标</w:t>
      </w:r>
      <w:bookmarkEnd w:id="1"/>
    </w:p>
    <w:p>
      <w:pPr>
        <w:spacing w:before="120" w:after="120" w:line="288" w:lineRule="auto"/>
        <w:ind w:left="0"/>
        <w:jc w:val="left"/>
      </w:pPr>
      <w:r>
        <w:rPr>
          <w:rFonts w:eastAsia="等线" w:ascii="Arial" w:cs="Arial" w:hAnsi="Arial"/>
          <w:sz w:val="22"/>
        </w:rPr>
        <w:t>在展开具体技术路径前，我们首先建立一套用于驱动与衡量所有研究的顶层框架。</w:t>
      </w:r>
    </w:p>
    <w:p>
      <w:pPr>
        <w:pStyle w:val="4"/>
        <w:spacing w:before="260" w:after="120" w:line="288" w:lineRule="auto"/>
        <w:ind w:left="0"/>
        <w:jc w:val="left"/>
        <w:outlineLvl w:val="3"/>
      </w:pPr>
      <w:bookmarkStart w:name="heading_2" w:id="2"/>
      <w:r>
        <w:rPr>
          <w:rFonts w:eastAsia="等线" w:ascii="Arial" w:cs="Arial" w:hAnsi="Arial"/>
          <w:b w:val="true"/>
          <w:sz w:val="28"/>
        </w:rPr>
        <w:t>“三维推演”与 L1-L4 演化框架</w:t>
      </w:r>
      <w:bookmarkEnd w:id="2"/>
    </w:p>
    <w:p>
      <w:pPr>
        <w:spacing w:before="120" w:after="120" w:line="288" w:lineRule="auto"/>
        <w:ind w:left="0"/>
        <w:jc w:val="left"/>
      </w:pPr>
      <w:r>
        <w:rPr>
          <w:rFonts w:eastAsia="等线" w:ascii="Arial" w:cs="Arial" w:hAnsi="Arial"/>
          <w:sz w:val="22"/>
        </w:rPr>
        <w:t>这是一个系统性思考研究贡献的思维模型，确保您的工作不仅有技术深度，更有战略高度：</w:t>
      </w:r>
    </w:p>
    <w:p>
      <w:pPr>
        <w:numPr>
          <w:numId w:val="1"/>
        </w:numPr>
        <w:spacing w:before="120" w:after="120" w:line="288" w:lineRule="auto"/>
        <w:ind w:left="0"/>
        <w:jc w:val="left"/>
      </w:pPr>
      <w:r>
        <w:rPr>
          <w:rFonts w:eastAsia="等线" w:ascii="Arial" w:cs="Arial" w:hAnsi="Arial"/>
          <w:b w:val="true"/>
          <w:sz w:val="22"/>
        </w:rPr>
        <w:t>L4：架构基因 (Architectural DNA)</w:t>
      </w:r>
      <w:r>
        <w:rPr>
          <w:rFonts w:eastAsia="等线" w:ascii="Arial" w:cs="Arial" w:hAnsi="Arial"/>
          <w:sz w:val="22"/>
        </w:rPr>
        <w:t>：研究最核心的理念与基石。这是您工作的“第一性原理”，决定了其独特性与不可替代性。</w:t>
      </w:r>
    </w:p>
    <w:p>
      <w:pPr>
        <w:numPr>
          <w:numId w:val="2"/>
        </w:numPr>
        <w:spacing w:before="120" w:after="120" w:line="288" w:lineRule="auto"/>
        <w:ind w:left="0"/>
        <w:jc w:val="left"/>
      </w:pPr>
      <w:r>
        <w:rPr>
          <w:rFonts w:eastAsia="等线" w:ascii="Arial" w:cs="Arial" w:hAnsi="Arial"/>
          <w:b w:val="true"/>
          <w:sz w:val="22"/>
        </w:rPr>
        <w:t>L3：生态共振 (Ecosystem Resonance)</w:t>
      </w:r>
      <w:r>
        <w:rPr>
          <w:rFonts w:eastAsia="等线" w:ascii="Arial" w:cs="Arial" w:hAnsi="Arial"/>
          <w:sz w:val="22"/>
        </w:rPr>
        <w:t>：您的工作如何与现有工具、模型、流程协同，产生“1+1&gt;2”的效应。</w:t>
      </w:r>
    </w:p>
    <w:p>
      <w:pPr>
        <w:numPr>
          <w:numId w:val="3"/>
        </w:numPr>
        <w:spacing w:before="120" w:after="120" w:line="288" w:lineRule="auto"/>
        <w:ind w:left="0"/>
        <w:jc w:val="left"/>
      </w:pPr>
      <w:r>
        <w:rPr>
          <w:rFonts w:eastAsia="等线" w:ascii="Arial" w:cs="Arial" w:hAnsi="Arial"/>
          <w:b w:val="true"/>
          <w:sz w:val="22"/>
        </w:rPr>
        <w:t>L2：核心能力 (Core Competence)</w:t>
      </w:r>
      <w:r>
        <w:rPr>
          <w:rFonts w:eastAsia="等线" w:ascii="Arial" w:cs="Arial" w:hAnsi="Arial"/>
          <w:sz w:val="22"/>
        </w:rPr>
        <w:t>：您工作的关键技术创新点与核心竞争力是什么。</w:t>
      </w:r>
    </w:p>
    <w:p>
      <w:pPr>
        <w:numPr>
          <w:numId w:val="4"/>
        </w:numPr>
        <w:spacing w:before="120" w:after="120" w:line="288" w:lineRule="auto"/>
        <w:ind w:left="0"/>
        <w:jc w:val="left"/>
      </w:pPr>
      <w:r>
        <w:rPr>
          <w:rFonts w:eastAsia="等线" w:ascii="Arial" w:cs="Arial" w:hAnsi="Arial"/>
          <w:b w:val="true"/>
          <w:sz w:val="22"/>
        </w:rPr>
        <w:t>L1：外观接口 (Appearance &amp; Interface)</w:t>
      </w:r>
      <w:r>
        <w:rPr>
          <w:rFonts w:eastAsia="等线" w:ascii="Arial" w:cs="Arial" w:hAnsi="Arial"/>
          <w:sz w:val="22"/>
        </w:rPr>
        <w:t>：您的研究最终呈现给学术界的具体形式，即可复现的实验、可量化的指标。</w:t>
      </w:r>
    </w:p>
    <w:p>
      <w:pPr>
        <w:spacing w:before="120" w:after="120" w:line="288" w:lineRule="auto"/>
        <w:ind w:left="0"/>
        <w:jc w:val="left"/>
      </w:pPr>
      <w:r>
        <w:rPr>
          <w:rFonts w:eastAsia="等线" w:ascii="Arial" w:cs="Arial" w:hAnsi="Arial"/>
          <w:sz w:val="22"/>
        </w:rPr>
        <w:t>对于您的研究，这个框架可以具体解读为：</w:t>
      </w:r>
    </w:p>
    <w:p>
      <w:pPr>
        <w:numPr>
          <w:numId w:val="5"/>
        </w:numPr>
        <w:spacing w:before="120" w:after="120" w:line="288" w:lineRule="auto"/>
        <w:ind w:left="0"/>
        <w:jc w:val="left"/>
      </w:pPr>
      <w:r>
        <w:rPr>
          <w:rFonts w:eastAsia="等线" w:ascii="Arial" w:cs="Arial" w:hAnsi="Arial"/>
          <w:b w:val="true"/>
          <w:sz w:val="22"/>
        </w:rPr>
        <w:t>L4 (架构基因)</w:t>
      </w:r>
      <w:r>
        <w:rPr>
          <w:rFonts w:eastAsia="等线" w:ascii="Arial" w:cs="Arial" w:hAnsi="Arial"/>
          <w:sz w:val="22"/>
        </w:rPr>
        <w:t xml:space="preserve">：提出并践行 </w:t>
      </w:r>
      <w:r>
        <w:rPr>
          <w:rFonts w:eastAsia="等线" w:ascii="Arial" w:cs="Arial" w:hAnsi="Arial"/>
          <w:b w:val="true"/>
          <w:sz w:val="22"/>
        </w:rPr>
        <w:t>“PPA-ACC 联合优化的第一性原理复合指标”</w:t>
      </w:r>
      <w:r>
        <w:rPr>
          <w:rFonts w:eastAsia="等线" w:ascii="Arial" w:cs="Arial" w:hAnsi="Arial"/>
          <w:sz w:val="22"/>
        </w:rPr>
        <w:t xml:space="preserve">，以及 </w:t>
      </w:r>
      <w:r>
        <w:rPr>
          <w:rFonts w:eastAsia="等线" w:ascii="Arial" w:cs="Arial" w:hAnsi="Arial"/>
          <w:b w:val="true"/>
          <w:sz w:val="22"/>
        </w:rPr>
        <w:t>“多保真度协同仿真”</w:t>
      </w:r>
      <w:r>
        <w:rPr>
          <w:rFonts w:eastAsia="等线" w:ascii="Arial" w:cs="Arial" w:hAnsi="Arial"/>
          <w:sz w:val="22"/>
        </w:rPr>
        <w:t xml:space="preserve"> 的方法学信仰。</w:t>
      </w:r>
    </w:p>
    <w:p>
      <w:pPr>
        <w:numPr>
          <w:numId w:val="6"/>
        </w:numPr>
        <w:spacing w:before="120" w:after="120" w:line="288" w:lineRule="auto"/>
        <w:ind w:left="0"/>
        <w:jc w:val="left"/>
      </w:pPr>
      <w:r>
        <w:rPr>
          <w:rFonts w:eastAsia="等线" w:ascii="Arial" w:cs="Arial" w:hAnsi="Arial"/>
          <w:b w:val="true"/>
          <w:sz w:val="22"/>
        </w:rPr>
        <w:t>L3 (生态共振)</w:t>
      </w:r>
      <w:r>
        <w:rPr>
          <w:rFonts w:eastAsia="等线" w:ascii="Arial" w:cs="Arial" w:hAnsi="Arial"/>
          <w:sz w:val="22"/>
        </w:rPr>
        <w:t xml:space="preserve">：将 MNSIM 无缝融入 </w:t>
      </w:r>
      <w:r>
        <w:rPr>
          <w:rFonts w:eastAsia="等线" w:ascii="Arial" w:cs="Arial" w:hAnsi="Arial"/>
          <w:b w:val="true"/>
          <w:sz w:val="22"/>
        </w:rPr>
        <w:t>“SPICE/NeuroSim ⇔ MNSIM ⇔ Pytorch/ONNX”</w:t>
      </w:r>
      <w:r>
        <w:rPr>
          <w:rFonts w:eastAsia="等线" w:ascii="Arial" w:cs="Arial" w:hAnsi="Arial"/>
          <w:sz w:val="22"/>
        </w:rPr>
        <w:t xml:space="preserve"> 的协同仿真流程；专注于 </w:t>
      </w:r>
      <w:r>
        <w:rPr>
          <w:rFonts w:eastAsia="等线" w:ascii="Arial" w:cs="Arial" w:hAnsi="Arial"/>
          <w:b w:val="true"/>
          <w:sz w:val="22"/>
        </w:rPr>
        <w:t>边缘主流 CNN 模型</w:t>
      </w:r>
      <w:r>
        <w:rPr>
          <w:rFonts w:eastAsia="等线" w:ascii="Arial" w:cs="Arial" w:hAnsi="Arial"/>
          <w:sz w:val="22"/>
        </w:rPr>
        <w:t xml:space="preserve"> (MobileNet/EfficientNet/Edge-YOLO 等) 的优化，与算法生态同频。</w:t>
      </w:r>
    </w:p>
    <w:p>
      <w:pPr>
        <w:numPr>
          <w:numId w:val="7"/>
        </w:numPr>
        <w:spacing w:before="120" w:after="120" w:line="288" w:lineRule="auto"/>
        <w:ind w:left="0"/>
        <w:jc w:val="left"/>
      </w:pPr>
      <w:r>
        <w:rPr>
          <w:rFonts w:eastAsia="等线" w:ascii="Arial" w:cs="Arial" w:hAnsi="Arial"/>
          <w:b w:val="true"/>
          <w:sz w:val="22"/>
        </w:rPr>
        <w:t>L2 (核心能力)</w:t>
      </w:r>
      <w:r>
        <w:rPr>
          <w:rFonts w:eastAsia="等线" w:ascii="Arial" w:cs="Arial" w:hAnsi="Arial"/>
          <w:sz w:val="22"/>
        </w:rPr>
        <w:t>：四大技术方向——</w:t>
      </w:r>
      <w:r>
        <w:rPr>
          <w:rFonts w:eastAsia="等线" w:ascii="Arial" w:cs="Arial" w:hAnsi="Arial"/>
          <w:b w:val="true"/>
          <w:sz w:val="22"/>
        </w:rPr>
        <w:t>宏观 DSE、多保真校准、编译映射优化、边缘 CNN 魔改</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b w:val="true"/>
          <w:sz w:val="22"/>
        </w:rPr>
        <w:t>L1 (外观接口)</w:t>
      </w:r>
      <w:r>
        <w:rPr>
          <w:rFonts w:eastAsia="等线" w:ascii="Arial" w:cs="Arial" w:hAnsi="Arial"/>
          <w:sz w:val="22"/>
        </w:rPr>
        <w:t>：</w:t>
      </w:r>
      <w:r>
        <w:rPr>
          <w:rFonts w:eastAsia="等线" w:ascii="Arial" w:cs="Arial" w:hAnsi="Arial"/>
          <w:b w:val="true"/>
          <w:sz w:val="22"/>
        </w:rPr>
        <w:t>“Next-week”可执行实验清单</w:t>
      </w:r>
      <w:r>
        <w:rPr>
          <w:rFonts w:eastAsia="等线" w:ascii="Arial" w:cs="Arial" w:hAnsi="Arial"/>
          <w:sz w:val="22"/>
        </w:rPr>
        <w:t xml:space="preserve"> 中明确的 Pareto 曲线、敏感性分析图、Ablation Study 表格等。</w:t>
      </w:r>
    </w:p>
    <w:p>
      <w:pPr>
        <w:pStyle w:val="4"/>
        <w:spacing w:before="260" w:after="120" w:line="288" w:lineRule="auto"/>
        <w:ind w:left="0"/>
        <w:jc w:val="left"/>
        <w:outlineLvl w:val="3"/>
      </w:pPr>
      <w:bookmarkStart w:name="heading_3" w:id="3"/>
      <w:r>
        <w:rPr>
          <w:rFonts w:eastAsia="等线" w:ascii="Arial" w:cs="Arial" w:hAnsi="Arial"/>
          <w:b w:val="true"/>
          <w:sz w:val="28"/>
        </w:rPr>
        <w:t>一体化首原理复合指标：E²A (Effective Energy-to-Accuracy)</w:t>
      </w:r>
      <w:bookmarkEnd w:id="3"/>
    </w:p>
    <w:p>
      <w:pPr>
        <w:spacing w:before="120" w:after="120" w:line="288" w:lineRule="auto"/>
        <w:ind w:left="0"/>
        <w:jc w:val="left"/>
      </w:pPr>
      <w:r>
        <w:rPr>
          <w:rFonts w:eastAsia="等线" w:ascii="Arial" w:cs="Arial" w:hAnsi="Arial"/>
          <w:sz w:val="22"/>
        </w:rPr>
        <w:t xml:space="preserve">为了在多目标优化中摆脱单纯的 Pareto 前沿展示，提出一个能体现您独特洞察的复合指标至关重要。我建议使用 </w:t>
      </w:r>
      <w:r>
        <w:rPr>
          <w:rFonts w:eastAsia="等线" w:ascii="Arial" w:cs="Arial" w:hAnsi="Arial"/>
          <w:b w:val="true"/>
          <w:sz w:val="22"/>
        </w:rPr>
        <w:t>E²A (有效能耗精度)</w:t>
      </w:r>
      <w:r>
        <w:rPr>
          <w:rFonts w:eastAsia="等线" w:ascii="Arial" w:cs="Arial" w:hAnsi="Arial"/>
          <w:sz w:val="22"/>
        </w:rPr>
        <w:t xml:space="preserve"> 或 </w:t>
      </w:r>
      <w:r>
        <w:rPr>
          <w:rFonts w:eastAsia="等线" w:ascii="Arial" w:cs="Arial" w:hAnsi="Arial"/>
          <w:b w:val="true"/>
          <w:sz w:val="22"/>
        </w:rPr>
        <w:t>PPA-ACC Utility</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E²A 公式定义：</w:t>
      </w:r>
      <w:r>
        <w:rPr>
          <w:rFonts w:eastAsia="等线" w:ascii="Arial" w:cs="Arial" w:hAnsi="Arial"/>
          <w:sz w:val="22"/>
        </w:rPr>
      </w:r>
      <m:oMathPara>
        <m:oMathParaPr>
          <m:jc m:val="left"/>
        </m:oMathParaPr>
        <m:oMath xmlns:mml="http://www.w3.org/1998/Math/MathML">
          <m:sSup>
            <m:e>
              <m:r>
                <w:rPr>
                  <w:rFonts w:ascii="Cambria Math" w:hAnsi="Cambria Math"/>
                </w:rPr>
                <m:t>E</m:t>
              </m:r>
            </m:e>
            <m:sup>
              <m:r>
                <w:rPr>
                  <w:rFonts w:ascii="Cambria Math" w:hAnsi="Cambria Math"/>
                </w:rPr>
                <m:t>2</m:t>
              </m:r>
            </m:sup>
          </m:sSup>
          <m:r>
            <w:rPr>
              <w:rFonts w:ascii="Cambria Math" w:hAnsi="Cambria Math"/>
            </w:rPr>
            <m:t>A=</m:t>
          </m:r>
          <m:f>
            <m:fPr>
              <m:type m:val="bar"/>
            </m:fPr>
            <m:num>
              <m:r>
                <w:rPr>
                  <w:rFonts w:ascii="Cambria Math" w:hAnsi="Cambria Math"/>
                </w:rPr>
                <m:t>(</m:t>
              </m:r>
              <m:r>
                <m:rPr>
                  <m:nor/>
                </m:rPr>
                <w:rPr>
                  <w:rFonts w:ascii="Cambria Math" w:hAnsi="Cambria Math"/>
                </w:rPr>
                <m:t>Energy</m:t>
              </m:r>
              <m:r>
                <w:rPr>
                  <w:rFonts w:ascii="Cambria Math" w:hAnsi="Cambria Math"/>
                </w:rPr>
                <m:t>×</m:t>
              </m:r>
              <m:r>
                <m:rPr>
                  <m:nor/>
                </m:rPr>
                <w:rPr>
                  <w:rFonts w:ascii="Cambria Math" w:hAnsi="Cambria Math"/>
                </w:rPr>
                <m:t>Latency</m:t>
              </m:r>
              <m:sSup>
                <m:e>
                  <m:r>
                    <w:rPr>
                      <w:rFonts w:ascii="Cambria Math" w:hAnsi="Cambria Math"/>
                    </w:rPr>
                    <m:t>)</m:t>
                  </m:r>
                </m:e>
                <m:sup>
                  <m:r>
                    <w:rPr>
                      <w:rFonts w:ascii="Cambria Math" w:hAnsi="Cambria Math"/>
                    </w:rPr>
                    <m:t>α</m:t>
                  </m:r>
                </m:sup>
              </m:sSup>
            </m:num>
            <m:den>
              <m:sSup>
                <m:e>
                  <m:r>
                    <m:rPr>
                      <m:nor/>
                    </m:rPr>
                    <w:rPr>
                      <w:rFonts w:ascii="Cambria Math" w:hAnsi="Cambria Math"/>
                    </w:rPr>
                    <m:t>AccuracyScore</m:t>
                  </m:r>
                </m:e>
                <m:sup>
                  <m:r>
                    <w:rPr>
                      <w:rFonts w:ascii="Cambria Math" w:hAnsi="Cambria Math"/>
                    </w:rPr>
                    <m:t>β</m:t>
                  </m:r>
                </m:sup>
              </m:sSup>
            </m:den>
          </m:f>
        </m:oMath>
      </m:oMathPara>
    </w:p>
    <w:p>
      <w:pPr>
        <w:numPr>
          <w:numId w:val="9"/>
        </w:numPr>
        <w:spacing w:before="120" w:after="120" w:line="288" w:lineRule="auto"/>
        <w:ind w:left="0"/>
        <w:jc w:val="left"/>
      </w:pPr>
      <w:r>
        <w:rPr>
          <w:rFonts w:eastAsia="等线" w:ascii="Arial" w:cs="Arial" w:hAnsi="Arial"/>
          <w:b w:val="true"/>
          <w:sz w:val="22"/>
        </w:rPr>
        <w:t>Energy × Latency</w:t>
      </w:r>
      <w:r>
        <w:rPr>
          <w:rFonts w:eastAsia="等线" w:ascii="Arial" w:cs="Arial" w:hAnsi="Arial"/>
          <w:sz w:val="22"/>
        </w:rPr>
        <w:t>：即 EDP (Energy-Delay Product)，是衡量计算效率的经典指标。</w:t>
      </w:r>
    </w:p>
    <w:p>
      <w:pPr>
        <w:numPr>
          <w:numId w:val="10"/>
        </w:numPr>
        <w:spacing w:before="120" w:after="120" w:line="288" w:lineRule="auto"/>
        <w:ind w:left="0"/>
        <w:jc w:val="left"/>
      </w:pPr>
      <w:r>
        <w:rPr>
          <w:rFonts w:eastAsia="等线" w:ascii="Arial" w:cs="Arial" w:hAnsi="Arial"/>
          <w:b w:val="true"/>
          <w:sz w:val="22"/>
        </w:rPr>
        <w:t>α</w:t>
      </w:r>
      <w:r>
        <w:rPr>
          <w:rFonts w:eastAsia="等线" w:ascii="Arial" w:cs="Arial" w:hAnsi="Arial"/>
          <w:sz w:val="22"/>
        </w:rPr>
        <w:t>：EDP 的权重因子，通常设为 1。</w:t>
      </w:r>
    </w:p>
    <w:p>
      <w:pPr>
        <w:numPr>
          <w:numId w:val="11"/>
        </w:numPr>
        <w:spacing w:before="120" w:after="120" w:line="288" w:lineRule="auto"/>
        <w:ind w:left="0"/>
        <w:jc w:val="left"/>
      </w:pPr>
      <w:r>
        <w:rPr>
          <w:rFonts w:eastAsia="等线" w:ascii="Arial" w:cs="Arial" w:hAnsi="Arial"/>
          <w:b w:val="true"/>
          <w:sz w:val="22"/>
        </w:rPr>
        <w:t>AccuracyScore</w:t>
      </w:r>
      <w:r>
        <w:rPr>
          <w:rFonts w:eastAsia="等线" w:ascii="Arial" w:cs="Arial" w:hAnsi="Arial"/>
          <w:sz w:val="22"/>
        </w:rPr>
        <w:t>：精度的量化表示，对“精度损失</w:t>
      </w:r>
      <w:r>
        <w:rPr>
          <w:rFonts w:eastAsia="等线" w:ascii="Arial" w:cs="Arial" w:hAnsi="Arial"/>
          <w:sz w:val="22"/>
        </w:rPr>
        <w:t>&lt;1%”这类约束极其敏感。建议采用以下形式：</w:t>
      </w:r>
    </w:p>
    <w:p>
      <w:pPr>
        <w:numPr>
          <w:numId w:val="12"/>
        </w:numPr>
        <w:spacing w:before="120" w:after="120" w:line="288" w:lineRule="auto"/>
        <w:ind w:left="453"/>
        <w:jc w:val="left"/>
      </w:pPr>
      <w:r>
        <w:rPr>
          <w:rFonts w:eastAsia="等线" w:ascii="Arial" w:cs="Arial" w:hAnsi="Arial"/>
          <w:b w:val="true"/>
          <w:sz w:val="22"/>
        </w:rPr>
        <w:t>基于倒数的惩罚</w:t>
      </w:r>
      <w:r>
        <w:rPr>
          <w:rFonts w:eastAsia="等线" w:ascii="Arial" w:cs="Arial" w:hAnsi="Arial"/>
          <w:sz w:val="22"/>
        </w:rPr>
        <w:t>：</w:t>
      </w:r>
      <w:r>
        <w:rPr>
          <w:rFonts w:eastAsia="等线" w:ascii="Arial" w:cs="Arial" w:hAnsi="Arial"/>
          <w:sz w:val="22"/>
        </w:rPr>
      </w:r>
      <m:oMathPara>
        <m:oMathParaPr>
          <m:jc m:val="left"/>
        </m:oMathParaPr>
        <m:oMath xmlns:mml="http://www.w3.org/1998/Math/MathML">
          <m:r>
            <m:rPr>
              <m:nor/>
            </m:rPr>
            <w:rPr>
              <w:rFonts w:ascii="Cambria Math" w:hAnsi="Cambria Math"/>
            </w:rPr>
            <m:t>AccuracyScore = \frac{1}{1 - \text{Top-1_Accuracy}}</m:t>
          </m:r>
        </m:oMath>
      </m:oMathPara>
      <w:r>
        <w:rPr>
          <w:rFonts w:eastAsia="等线" w:ascii="Arial" w:cs="Arial" w:hAnsi="Arial"/>
          <w:sz w:val="22"/>
        </w:rPr>
        <w:t>。当精度接近 100% 时，分母趋近于 0，指标急剧改善。</w:t>
      </w:r>
    </w:p>
    <w:p>
      <w:pPr>
        <w:numPr>
          <w:numId w:val="13"/>
        </w:numPr>
        <w:spacing w:before="120" w:after="120" w:line="288" w:lineRule="auto"/>
        <w:ind w:left="453"/>
        <w:jc w:val="left"/>
      </w:pPr>
      <w:r>
        <w:rPr>
          <w:rFonts w:eastAsia="等线" w:ascii="Arial" w:cs="Arial" w:hAnsi="Arial"/>
          <w:b w:val="true"/>
          <w:sz w:val="22"/>
        </w:rPr>
        <w:t>基于精度下降的惩罚</w:t>
      </w:r>
      <w:r>
        <w:rPr>
          <w:rFonts w:eastAsia="等线" w:ascii="Arial" w:cs="Arial" w:hAnsi="Arial"/>
          <w:sz w:val="22"/>
        </w:rPr>
        <w:t>：</w:t>
      </w:r>
      <w:r>
        <w:rPr>
          <w:rFonts w:eastAsia="等线" w:ascii="Arial" w:cs="Arial" w:hAnsi="Arial"/>
          <w:sz w:val="22"/>
        </w:rPr>
      </w:r>
      <m:oMathPara>
        <m:oMathParaPr>
          <m:jc m:val="left"/>
        </m:oMathParaPr>
        <m:oMath xmlns:mml="http://www.w3.org/1998/Math/MathML">
          <m:r>
            <m:rPr>
              <m:nor/>
            </m:rPr>
            <w:rPr>
              <w:rFonts w:ascii="Cambria Math" w:hAnsi="Cambria Math"/>
            </w:rPr>
            <m:t>AccuracyScore = \frac{1}{\text{Baseline_Acc} - \text{Current_Acc} + \epsilon}</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w:rPr>
              <w:rFonts w:ascii="Cambria Math" w:hAnsi="Cambria Math"/>
            </w:rPr>
            <m:t>ϵ</m:t>
          </m:r>
        </m:oMath>
      </m:oMathPara>
      <w:r>
        <w:rPr>
          <w:rFonts w:eastAsia="等线" w:ascii="Arial" w:cs="Arial" w:hAnsi="Arial"/>
          <w:sz w:val="22"/>
        </w:rPr>
        <w:t xml:space="preserve"> 是一个极小正常数（如 1e-6）防止分母为零。当精度下降接近预算上限（如1%）时，该指标惩罚效应弱；一旦突破，惩罚剧增。</w:t>
      </w:r>
    </w:p>
    <w:p>
      <w:pPr>
        <w:numPr>
          <w:numId w:val="14"/>
        </w:numPr>
        <w:spacing w:before="120" w:after="120" w:line="288" w:lineRule="auto"/>
        <w:ind w:left="0"/>
        <w:jc w:val="left"/>
      </w:pPr>
      <w:r>
        <w:rPr>
          <w:rFonts w:eastAsia="等线" w:ascii="Arial" w:cs="Arial" w:hAnsi="Arial"/>
          <w:b w:val="true"/>
          <w:sz w:val="22"/>
        </w:rPr>
        <w:t>β</w:t>
      </w:r>
      <w:r>
        <w:rPr>
          <w:rFonts w:eastAsia="等线" w:ascii="Arial" w:cs="Arial" w:hAnsi="Arial"/>
          <w:sz w:val="22"/>
        </w:rPr>
        <w:t>：精度贡献的权重因子。在强约束（如</w:t>
      </w:r>
      <w:r>
        <w:rPr>
          <w:rFonts w:eastAsia="等线" w:ascii="Arial" w:cs="Arial" w:hAnsi="Arial"/>
          <w:sz w:val="22"/>
        </w:rPr>
        <w:t>&lt;1%）下，可适当提高 β 值（如 2 或 3），以放大精度损失带来的负面影响。</w:t>
      </w:r>
    </w:p>
    <w:p>
      <w:pPr>
        <w:spacing w:before="120" w:after="120" w:line="288" w:lineRule="auto"/>
        <w:ind w:left="0"/>
        <w:jc w:val="left"/>
      </w:pPr>
      <w:r>
        <w:rPr>
          <w:rFonts w:eastAsia="等线" w:ascii="Arial" w:cs="Arial" w:hAnsi="Arial"/>
          <w:b w:val="true"/>
          <w:sz w:val="22"/>
        </w:rPr>
        <w:t>如何使用 E²A</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b w:val="true"/>
          <w:sz w:val="22"/>
        </w:rPr>
        <w:t>作为 DSE 的目标函数</w:t>
      </w:r>
      <w:r>
        <w:rPr>
          <w:rFonts w:eastAsia="等线" w:ascii="Arial" w:cs="Arial" w:hAnsi="Arial"/>
          <w:sz w:val="22"/>
        </w:rPr>
        <w:t>：在强化学习或进化算法中，直接将最小化 E²A 作为奖励函数或适应度函数。</w:t>
      </w:r>
    </w:p>
    <w:p>
      <w:pPr>
        <w:numPr>
          <w:numId w:val="16"/>
        </w:numPr>
        <w:spacing w:before="120" w:after="120" w:line="288" w:lineRule="auto"/>
        <w:ind w:left="0"/>
        <w:jc w:val="left"/>
      </w:pPr>
      <w:r>
        <w:rPr>
          <w:rFonts w:eastAsia="等线" w:ascii="Arial" w:cs="Arial" w:hAnsi="Arial"/>
          <w:b w:val="true"/>
          <w:sz w:val="22"/>
        </w:rPr>
        <w:t>作为方法对比的“标尺”</w:t>
      </w:r>
      <w:r>
        <w:rPr>
          <w:rFonts w:eastAsia="等线" w:ascii="Arial" w:cs="Arial" w:hAnsi="Arial"/>
          <w:sz w:val="22"/>
        </w:rPr>
        <w:t>：在论文中，用 E²A 值来量化对比不同方法（如不同的数据流、映射策略）的综合效用，比单纯展示多组 PPA+ACC 数据点更有说服力。</w:t>
      </w:r>
    </w:p>
    <w:p>
      <w:pPr>
        <w:numPr>
          <w:numId w:val="17"/>
        </w:numPr>
        <w:spacing w:before="120" w:after="120" w:line="288" w:lineRule="auto"/>
        <w:ind w:left="0"/>
        <w:jc w:val="left"/>
      </w:pPr>
      <w:r>
        <w:rPr>
          <w:rFonts w:eastAsia="等线" w:ascii="Arial" w:cs="Arial" w:hAnsi="Arial"/>
          <w:b w:val="true"/>
          <w:sz w:val="22"/>
        </w:rPr>
        <w:t>驱动敏感性分析</w:t>
      </w:r>
      <w:r>
        <w:rPr>
          <w:rFonts w:eastAsia="等线" w:ascii="Arial" w:cs="Arial" w:hAnsi="Arial"/>
          <w:sz w:val="22"/>
        </w:rPr>
        <w:t>：分析关键硬件参数（如 ADC 位宽）对 E²A 的影响，可以直观地找到“性价比”最高的参数配置点。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方向一：系统/宏观架构级设计空间探索 (DSE)</w:t>
      </w:r>
      <w:bookmarkEnd w:id="4"/>
    </w:p>
    <w:p>
      <w:pPr>
        <w:spacing w:before="120" w:after="120" w:line="288" w:lineRule="auto"/>
        <w:ind w:left="0"/>
        <w:jc w:val="left"/>
      </w:pPr>
      <w:r>
        <w:rPr>
          <w:rFonts w:eastAsia="等线" w:ascii="Arial" w:cs="Arial" w:hAnsi="Arial"/>
          <w:sz w:val="22"/>
        </w:rPr>
        <w:t>这是最能发挥 MNSIM 快速行为级建模优势的方向。核心是“宏观”与“联合寻优”。</w:t>
      </w:r>
    </w:p>
    <w:p>
      <w:pPr>
        <w:spacing w:before="120" w:after="120" w:line="288" w:lineRule="auto"/>
        <w:ind w:left="0"/>
        <w:jc w:val="left"/>
      </w:pPr>
      <w:r>
        <w:rPr>
          <w:rFonts w:eastAsia="等线" w:ascii="Arial" w:cs="Arial" w:hAnsi="Arial"/>
          <w:b w:val="true"/>
          <w:sz w:val="22"/>
        </w:rPr>
        <w:t>顶会切入点</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b w:val="true"/>
          <w:sz w:val="22"/>
        </w:rPr>
        <w:t>大规模跨层级联合优化</w:t>
      </w:r>
      <w:r>
        <w:rPr>
          <w:rFonts w:eastAsia="等线" w:ascii="Arial" w:cs="Arial" w:hAnsi="Arial"/>
          <w:sz w:val="22"/>
        </w:rPr>
        <w:t xml:space="preserve">：现有很多工作要么只关注阵列内，要么只关注片上互连，很少有工作能将 </w:t>
      </w:r>
      <w:r>
        <w:rPr>
          <w:rFonts w:eastAsia="等线" w:ascii="Arial" w:cs="Arial" w:hAnsi="Arial"/>
          <w:b w:val="true"/>
          <w:sz w:val="22"/>
        </w:rPr>
        <w:t>宏观拓扑（阵列规模/层次）、数据流、映射策略</w:t>
      </w:r>
      <w:r>
        <w:rPr>
          <w:rFonts w:eastAsia="等线" w:ascii="Arial" w:cs="Arial" w:hAnsi="Arial"/>
          <w:sz w:val="22"/>
        </w:rPr>
        <w:t xml:space="preserve"> 这三个耦合极深的层面进行统一建模和联合寻优。MNSIM 的速度使其成为可能。</w:t>
      </w:r>
    </w:p>
    <w:p>
      <w:pPr>
        <w:numPr>
          <w:numId w:val="19"/>
        </w:numPr>
        <w:spacing w:before="120" w:after="120" w:line="288" w:lineRule="auto"/>
        <w:ind w:left="0"/>
        <w:jc w:val="left"/>
      </w:pPr>
      <w:r>
        <w:rPr>
          <w:rFonts w:eastAsia="等线" w:ascii="Arial" w:cs="Arial" w:hAnsi="Arial"/>
          <w:b w:val="true"/>
          <w:sz w:val="22"/>
        </w:rPr>
        <w:t>面向特定数据流的拓扑自适应</w:t>
      </w:r>
      <w:r>
        <w:rPr>
          <w:rFonts w:eastAsia="等线" w:ascii="Arial" w:cs="Arial" w:hAnsi="Arial"/>
          <w:sz w:val="22"/>
        </w:rPr>
        <w:t>：探索对于 WS、RS、OS 等不同数据流，最优的宏观架构（如 Buffer 大小与划分、NoC 带宽与拓扑）是什么。可以提出一种“Dataflow-Aware Topology Synthesis”的方法。</w:t>
      </w:r>
    </w:p>
    <w:p>
      <w:pPr>
        <w:numPr>
          <w:numId w:val="20"/>
        </w:numPr>
        <w:spacing w:before="120" w:after="120" w:line="288" w:lineRule="auto"/>
        <w:ind w:left="0"/>
        <w:jc w:val="left"/>
      </w:pPr>
      <w:r>
        <w:rPr>
          <w:rFonts w:eastAsia="等线" w:ascii="Arial" w:cs="Arial" w:hAnsi="Arial"/>
          <w:b w:val="true"/>
          <w:sz w:val="22"/>
        </w:rPr>
        <w:t>多目标 Pareto 前沿的深度分析</w:t>
      </w:r>
      <w:r>
        <w:rPr>
          <w:rFonts w:eastAsia="等线" w:ascii="Arial" w:cs="Arial" w:hAnsi="Arial"/>
          <w:sz w:val="22"/>
        </w:rPr>
        <w:t xml:space="preserve">：在（P, P, A, ACC）四维空间中，利用 MNSIM 快速生成数万个设计点，绘制出清晰的 Pareto 曲面。重点分析 </w:t>
      </w:r>
      <w:r>
        <w:rPr>
          <w:rFonts w:eastAsia="等线" w:ascii="Arial" w:cs="Arial" w:hAnsi="Arial"/>
          <w:b w:val="true"/>
          <w:sz w:val="22"/>
        </w:rPr>
        <w:t>“拐点”</w:t>
      </w:r>
      <w:r>
        <w:rPr>
          <w:rFonts w:eastAsia="等线" w:ascii="Arial" w:cs="Arial" w:hAnsi="Arial"/>
          <w:sz w:val="22"/>
        </w:rPr>
        <w:t xml:space="preserve"> 和 </w:t>
      </w:r>
      <w:r>
        <w:rPr>
          <w:rFonts w:eastAsia="等线" w:ascii="Arial" w:cs="Arial" w:hAnsi="Arial"/>
          <w:b w:val="true"/>
          <w:sz w:val="22"/>
        </w:rPr>
        <w:t>“峭壁”</w:t>
      </w:r>
      <w:r>
        <w:rPr>
          <w:rFonts w:eastAsia="等线" w:ascii="Arial" w:cs="Arial" w:hAnsi="Arial"/>
          <w:sz w:val="22"/>
        </w:rPr>
        <w:t xml:space="preserve"> 区域，揭示关键参数（如 ADC 从 5bit 增到 6bit）对系统整体 PPA-ACC 的非线性影响。</w:t>
      </w:r>
    </w:p>
    <w:p>
      <w:pPr>
        <w:numPr>
          <w:numId w:val="21"/>
        </w:numPr>
        <w:spacing w:before="120" w:after="120" w:line="288" w:lineRule="auto"/>
        <w:ind w:left="0"/>
        <w:jc w:val="left"/>
      </w:pPr>
      <w:r>
        <w:rPr>
          <w:rFonts w:eastAsia="等线" w:ascii="Arial" w:cs="Arial" w:hAnsi="Arial"/>
          <w:b w:val="true"/>
          <w:sz w:val="22"/>
        </w:rPr>
        <w:t>敏感性与边际贡献分析</w:t>
      </w:r>
      <w:r>
        <w:rPr>
          <w:rFonts w:eastAsia="等线" w:ascii="Arial" w:cs="Arial" w:hAnsi="Arial"/>
          <w:sz w:val="22"/>
        </w:rPr>
        <w:t>：量化每一个架构参数（如 Crossbar 尺寸、Buffer 容量）对最终能耗、延迟和精度的边际贡献（Marginal Contribution）。这对于指导实际硬件设计具有极高的价值，是顶会非常看重的 Insights。</w:t>
      </w:r>
    </w:p>
    <w:p>
      <w:pPr>
        <w:spacing w:before="120" w:after="120" w:line="288" w:lineRule="auto"/>
        <w:ind w:left="0"/>
        <w:jc w:val="left"/>
      </w:pPr>
      <w:r>
        <w:rPr>
          <w:rFonts w:eastAsia="等线" w:ascii="Arial" w:cs="Arial" w:hAnsi="Arial"/>
          <w:b w:val="true"/>
          <w:sz w:val="22"/>
        </w:rPr>
        <w:t>方法学创新</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b w:val="true"/>
          <w:sz w:val="22"/>
        </w:rPr>
        <w:t>构建参数化的宏观架构生成器</w:t>
      </w:r>
      <w:r>
        <w:rPr>
          <w:rFonts w:eastAsia="等线" w:ascii="Arial" w:cs="Arial" w:hAnsi="Arial"/>
          <w:sz w:val="22"/>
        </w:rPr>
        <w:t>：编写脚本，可以根据一组高层参数（如总计算资源、总存储预算）自动生成 MNSIM 所需的配置文件。</w:t>
      </w:r>
    </w:p>
    <w:p>
      <w:pPr>
        <w:numPr>
          <w:numId w:val="23"/>
        </w:numPr>
        <w:spacing w:before="120" w:after="120" w:line="288" w:lineRule="auto"/>
        <w:ind w:left="0"/>
        <w:jc w:val="left"/>
      </w:pPr>
      <w:r>
        <w:rPr>
          <w:rFonts w:eastAsia="等线" w:ascii="Arial" w:cs="Arial" w:hAnsi="Arial"/>
          <w:b w:val="true"/>
          <w:sz w:val="22"/>
        </w:rPr>
        <w:t>集成高效多目标优化算法</w:t>
      </w:r>
      <w:r>
        <w:rPr>
          <w:rFonts w:eastAsia="等线" w:ascii="Arial" w:cs="Arial" w:hAnsi="Arial"/>
          <w:sz w:val="22"/>
        </w:rPr>
        <w:t>：将 NSGA-II、MOEA/D 等经典的进化算法与 MNSIM 仿真流程打通，实现 DSE 的自动化闭环。</w:t>
      </w:r>
    </w:p>
    <w:p>
      <w:pPr>
        <w:spacing w:before="120" w:after="120" w:line="288" w:lineRule="auto"/>
        <w:ind w:left="0"/>
        <w:jc w:val="left"/>
      </w:pPr>
      <w:r>
        <w:rPr>
          <w:rFonts w:eastAsia="等线" w:ascii="Arial" w:cs="Arial" w:hAnsi="Arial"/>
          <w:b w:val="true"/>
          <w:sz w:val="22"/>
        </w:rPr>
        <w:t>图示参考</w:t>
      </w:r>
      <w:r>
        <w:rPr>
          <w:rFonts w:eastAsia="等线" w:ascii="Arial" w:cs="Arial" w:hAnsi="Arial"/>
          <w:sz w:val="22"/>
        </w:rPr>
        <w:t>：</w:t>
      </w:r>
    </w:p>
    <w:p>
      <w:pPr>
        <w:spacing w:before="120" w:after="120" w:line="288" w:lineRule="auto"/>
        <w:ind w:left="0"/>
        <w:jc w:val="center"/>
      </w:pPr>
      <w:r>
        <w:drawing>
          <wp:inline distT="0" distR="0" distB="0" distL="0">
            <wp:extent cx="5257800" cy="2047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04787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方向二：混合仿真/多保真度建模 (Multi-fidelity Simulation)</w:t>
      </w:r>
      <w:bookmarkEnd w:id="5"/>
    </w:p>
    <w:p>
      <w:pPr>
        <w:spacing w:before="120" w:after="120" w:line="288" w:lineRule="auto"/>
        <w:ind w:left="0"/>
        <w:jc w:val="left"/>
      </w:pPr>
      <w:r>
        <w:rPr>
          <w:rFonts w:eastAsia="等线" w:ascii="Arial" w:cs="Arial" w:hAnsi="Arial"/>
          <w:sz w:val="22"/>
        </w:rPr>
        <w:t>这是弥补 MNSIM 精度短板、提升研究可信度的“杀手锏”，也是方法学创新的高价值区。</w:t>
      </w:r>
    </w:p>
    <w:p>
      <w:pPr>
        <w:spacing w:before="120" w:after="120" w:line="288" w:lineRule="auto"/>
        <w:ind w:left="0"/>
        <w:jc w:val="left"/>
      </w:pPr>
      <w:r>
        <w:rPr>
          <w:rFonts w:eastAsia="等线" w:ascii="Arial" w:cs="Arial" w:hAnsi="Arial"/>
          <w:b w:val="true"/>
          <w:sz w:val="22"/>
        </w:rPr>
        <w:t>顶会切入点</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rPr>
        <w:t>提出一种可复现的分层校准框架</w:t>
      </w:r>
      <w:r>
        <w:rPr>
          <w:rFonts w:eastAsia="等线" w:ascii="Arial" w:cs="Arial" w:hAnsi="Arial"/>
          <w:sz w:val="22"/>
        </w:rPr>
        <w:t>：明确提出一个“MNSIM-calibrated”或“MF-MNSIM”（Multi-Fidelity MNSIM）的框架。该框架的核心思想是，用高保真工具的“点”来校准 MNSIM 的“面”。</w:t>
      </w:r>
    </w:p>
    <w:p>
      <w:pPr>
        <w:numPr>
          <w:numId w:val="25"/>
        </w:numPr>
        <w:spacing w:before="120" w:after="120" w:line="288" w:lineRule="auto"/>
        <w:ind w:left="0"/>
        <w:jc w:val="left"/>
      </w:pPr>
      <w:r>
        <w:rPr>
          <w:rFonts w:eastAsia="等线" w:ascii="Arial" w:cs="Arial" w:hAnsi="Arial"/>
          <w:b w:val="true"/>
          <w:sz w:val="22"/>
        </w:rPr>
        <w:t>误差核与非理想效应迁移</w:t>
      </w:r>
      <w:r>
        <w:rPr>
          <w:rFonts w:eastAsia="等线" w:ascii="Arial" w:cs="Arial" w:hAnsi="Arial"/>
          <w:sz w:val="22"/>
        </w:rPr>
        <w:t>：</w:t>
      </w:r>
    </w:p>
    <w:p>
      <w:pPr>
        <w:numPr>
          <w:numId w:val="26"/>
        </w:numPr>
        <w:spacing w:before="120" w:after="120" w:line="288" w:lineRule="auto"/>
        <w:ind w:left="453"/>
        <w:jc w:val="left"/>
      </w:pPr>
      <w:r>
        <w:rPr>
          <w:rFonts w:eastAsia="等线" w:ascii="Arial" w:cs="Arial" w:hAnsi="Arial"/>
          <w:sz w:val="22"/>
        </w:rPr>
        <w:t xml:space="preserve">在 </w:t>
      </w:r>
      <w:r>
        <w:rPr>
          <w:rFonts w:eastAsia="等线" w:ascii="Arial" w:cs="Arial" w:hAnsi="Arial"/>
          <w:b w:val="true"/>
          <w:sz w:val="22"/>
        </w:rPr>
        <w:t>SPICE/NeuroSim</w:t>
      </w:r>
      <w:r>
        <w:rPr>
          <w:rFonts w:eastAsia="等线" w:ascii="Arial" w:cs="Arial" w:hAnsi="Arial"/>
          <w:sz w:val="22"/>
        </w:rPr>
        <w:t xml:space="preserve"> 中，对单个或小规模 Crossbar 阵列进行精细仿真，考虑器件变异、IR-drop、读干扰等，提取出统计性的 </w:t>
      </w:r>
      <w:r>
        <w:rPr>
          <w:rFonts w:eastAsia="等线" w:ascii="Arial" w:cs="Arial" w:hAnsi="Arial"/>
          <w:b w:val="true"/>
          <w:sz w:val="22"/>
        </w:rPr>
        <w:t>“阵列级误差核 (Array-level Error Kernel)”</w:t>
      </w:r>
      <w:r>
        <w:rPr>
          <w:rFonts w:eastAsia="等线" w:ascii="Arial" w:cs="Arial" w:hAnsi="Arial"/>
          <w:sz w:val="22"/>
        </w:rPr>
        <w:t>。</w:t>
      </w:r>
    </w:p>
    <w:p>
      <w:pPr>
        <w:numPr>
          <w:numId w:val="27"/>
        </w:numPr>
        <w:spacing w:before="120" w:after="120" w:line="288" w:lineRule="auto"/>
        <w:ind w:left="453"/>
        <w:jc w:val="left"/>
      </w:pPr>
      <w:r>
        <w:rPr>
          <w:rFonts w:eastAsia="等线" w:ascii="Arial" w:cs="Arial" w:hAnsi="Arial"/>
          <w:sz w:val="22"/>
        </w:rPr>
        <w:t>将此误差核模型（可以是一个查找表、一个概率分布或一个简单的函数）</w:t>
      </w:r>
      <w:r>
        <w:rPr>
          <w:rFonts w:eastAsia="等线" w:ascii="Arial" w:cs="Arial" w:hAnsi="Arial"/>
          <w:b w:val="true"/>
          <w:sz w:val="22"/>
        </w:rPr>
        <w:t>注入</w:t>
      </w:r>
      <w:r>
        <w:rPr>
          <w:rFonts w:eastAsia="等线" w:ascii="Arial" w:cs="Arial" w:hAnsi="Arial"/>
          <w:sz w:val="22"/>
        </w:rPr>
        <w:t>到 MNSIM 的行为级计算模型中，取代其原有的理想或过于简化的误差模型。</w:t>
      </w:r>
    </w:p>
    <w:p>
      <w:pPr>
        <w:numPr>
          <w:numId w:val="28"/>
        </w:numPr>
        <w:spacing w:before="120" w:after="120" w:line="288" w:lineRule="auto"/>
        <w:ind w:left="453"/>
        <w:jc w:val="left"/>
      </w:pPr>
      <w:r>
        <w:rPr>
          <w:rFonts w:eastAsia="等线" w:ascii="Arial" w:cs="Arial" w:hAnsi="Arial"/>
          <w:sz w:val="22"/>
        </w:rPr>
        <w:t>对 ADC 等关键模拟外设，同样用 SPICE/NeuroSim 仿真其非线性、量化噪声等特性，生成高精度模型，并用于校准 MNSIM 中对应的模块。</w:t>
      </w:r>
    </w:p>
    <w:p>
      <w:pPr>
        <w:numPr>
          <w:numId w:val="29"/>
        </w:numPr>
        <w:spacing w:before="120" w:after="120" w:line="288" w:lineRule="auto"/>
        <w:ind w:left="0"/>
        <w:jc w:val="left"/>
      </w:pPr>
      <w:r>
        <w:rPr>
          <w:rFonts w:eastAsia="等线" w:ascii="Arial" w:cs="Arial" w:hAnsi="Arial"/>
          <w:b w:val="true"/>
          <w:sz w:val="22"/>
        </w:rPr>
        <w:t>基于代理模型和贝叶斯优化的智能采样</w:t>
      </w:r>
      <w:r>
        <w:rPr>
          <w:rFonts w:eastAsia="等线" w:ascii="Arial" w:cs="Arial" w:hAnsi="Arial"/>
          <w:sz w:val="22"/>
        </w:rPr>
        <w:t>：直接用高保真工具跑大量样本不现实。可以先用 MNSIM 快速扫描整个设计空间，然后：</w:t>
      </w:r>
    </w:p>
    <w:p>
      <w:pPr>
        <w:numPr>
          <w:numId w:val="30"/>
        </w:numPr>
        <w:spacing w:before="120" w:after="120" w:line="288" w:lineRule="auto"/>
        <w:ind w:left="453"/>
        <w:jc w:val="left"/>
      </w:pPr>
      <w:r>
        <w:rPr>
          <w:rFonts w:eastAsia="等线" w:ascii="Arial" w:cs="Arial" w:hAnsi="Arial"/>
          <w:sz w:val="22"/>
        </w:rPr>
        <w:t>构建一个关于设计参数到 PPA-ACC 的</w:t>
      </w:r>
      <w:r>
        <w:rPr>
          <w:rFonts w:eastAsia="等线" w:ascii="Arial" w:cs="Arial" w:hAnsi="Arial"/>
          <w:b w:val="true"/>
          <w:sz w:val="22"/>
        </w:rPr>
        <w:t>代理模型 (Surrogate Model)</w:t>
      </w:r>
      <w:r>
        <w:rPr>
          <w:rFonts w:eastAsia="等线" w:ascii="Arial" w:cs="Arial" w:hAnsi="Arial"/>
          <w:sz w:val="22"/>
        </w:rPr>
        <w:t>，如高斯过程回归。</w:t>
      </w:r>
    </w:p>
    <w:p>
      <w:pPr>
        <w:numPr>
          <w:numId w:val="31"/>
        </w:numPr>
        <w:spacing w:before="120" w:after="120" w:line="288" w:lineRule="auto"/>
        <w:ind w:left="453"/>
        <w:jc w:val="left"/>
      </w:pPr>
      <w:r>
        <w:rPr>
          <w:rFonts w:eastAsia="等线" w:ascii="Arial" w:cs="Arial" w:hAnsi="Arial"/>
          <w:sz w:val="22"/>
        </w:rPr>
        <w:t>使用</w:t>
      </w:r>
      <w:r>
        <w:rPr>
          <w:rFonts w:eastAsia="等线" w:ascii="Arial" w:cs="Arial" w:hAnsi="Arial"/>
          <w:b w:val="true"/>
          <w:sz w:val="22"/>
        </w:rPr>
        <w:t>贝叶斯优化</w:t>
      </w:r>
      <w:r>
        <w:rPr>
          <w:rFonts w:eastAsia="等线" w:ascii="Arial" w:cs="Arial" w:hAnsi="Arial"/>
          <w:sz w:val="22"/>
        </w:rPr>
        <w:t>，由代理模型“智能”地建议下一批最有价值的、需要用 SPICE/NeuroSim 进行高保真仿真的“采样点”。</w:t>
      </w:r>
    </w:p>
    <w:p>
      <w:pPr>
        <w:numPr>
          <w:numId w:val="32"/>
        </w:numPr>
        <w:spacing w:before="120" w:after="120" w:line="288" w:lineRule="auto"/>
        <w:ind w:left="453"/>
        <w:jc w:val="left"/>
      </w:pPr>
      <w:r>
        <w:rPr>
          <w:rFonts w:eastAsia="等线" w:ascii="Arial" w:cs="Arial" w:hAnsi="Arial"/>
          <w:sz w:val="22"/>
        </w:rPr>
        <w:t>用这些新的高保真数据点反过来更新代理模型，循环迭代，最终用极少的代价获得对整个设计空间高精度响应面的认知。</w:t>
      </w:r>
    </w:p>
    <w:p>
      <w:pPr>
        <w:spacing w:before="120" w:after="120" w:line="288" w:lineRule="auto"/>
        <w:ind w:left="0"/>
        <w:jc w:val="left"/>
      </w:pPr>
      <w:r>
        <w:rPr>
          <w:rFonts w:eastAsia="等线" w:ascii="Arial" w:cs="Arial" w:hAnsi="Arial"/>
          <w:b w:val="true"/>
          <w:sz w:val="22"/>
        </w:rPr>
        <w:t>方法学创新</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b w:val="true"/>
          <w:sz w:val="22"/>
        </w:rPr>
        <w:t>校准协议与统计显著性检验</w:t>
      </w:r>
      <w:r>
        <w:rPr>
          <w:rFonts w:eastAsia="等线" w:ascii="Arial" w:cs="Arial" w:hAnsi="Arial"/>
          <w:sz w:val="22"/>
        </w:rPr>
        <w:t>：设计一套标准的、可被其他研究者复现的校准流程。在论文中，必须使用严格的统计方法（如 K-S检验、交叉验证）来证明，校准后的 MNSIM 仿真结果与高保真仿真结果在统计分布上是一致的。</w:t>
      </w:r>
    </w:p>
    <w:p>
      <w:pPr>
        <w:numPr>
          <w:numId w:val="34"/>
        </w:numPr>
        <w:spacing w:before="120" w:after="120" w:line="288" w:lineRule="auto"/>
        <w:ind w:left="0"/>
        <w:jc w:val="left"/>
      </w:pPr>
      <w:r>
        <w:rPr>
          <w:rFonts w:eastAsia="等线" w:ascii="Arial" w:cs="Arial" w:hAnsi="Arial"/>
          <w:b w:val="true"/>
          <w:sz w:val="22"/>
        </w:rPr>
        <w:t>迁移学习的应用</w:t>
      </w:r>
      <w:r>
        <w:rPr>
          <w:rFonts w:eastAsia="等线" w:ascii="Arial" w:cs="Arial" w:hAnsi="Arial"/>
          <w:sz w:val="22"/>
        </w:rPr>
        <w:t>：将高保真仿真中获得的“知识”（如特定工艺角下 ADC 的非线性模式）通过迁移学习的方法，泛化并应用到 MNSIM 的模型中，提高其在未见设计点上的预测准确率。</w:t>
      </w:r>
    </w:p>
    <w:p>
      <w:pPr>
        <w:spacing w:before="120" w:after="120" w:line="288" w:lineRule="auto"/>
        <w:ind w:left="0"/>
        <w:jc w:val="left"/>
      </w:pPr>
      <w:r>
        <w:rPr>
          <w:rFonts w:eastAsia="等线" w:ascii="Arial" w:cs="Arial" w:hAnsi="Arial"/>
          <w:b w:val="true"/>
          <w:sz w:val="22"/>
        </w:rPr>
        <w:t>图示参考</w:t>
      </w:r>
      <w:r>
        <w:rPr>
          <w:rFonts w:eastAsia="等线" w:ascii="Arial" w:cs="Arial" w:hAnsi="Arial"/>
          <w:sz w:val="22"/>
        </w:rPr>
        <w:t>：</w:t>
      </w:r>
    </w:p>
    <w:p>
      <w:pPr>
        <w:spacing w:before="120" w:after="120" w:line="288" w:lineRule="auto"/>
        <w:ind w:left="0"/>
        <w:jc w:val="center"/>
      </w:pPr>
      <w:r>
        <w:drawing>
          <wp:inline distT="0" distR="0" distB="0" distL="0">
            <wp:extent cx="5257800" cy="2447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4792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方向三：编译与映射优化算法</w:t>
      </w:r>
      <w:bookmarkEnd w:id="6"/>
    </w:p>
    <w:p>
      <w:pPr>
        <w:spacing w:before="120" w:after="120" w:line="288" w:lineRule="auto"/>
        <w:ind w:left="0"/>
        <w:jc w:val="left"/>
      </w:pPr>
      <w:r>
        <w:rPr>
          <w:rFonts w:eastAsia="等线" w:ascii="Arial" w:cs="Arial" w:hAnsi="Arial"/>
          <w:sz w:val="22"/>
        </w:rPr>
        <w:t>这个方向将 MNSIM 作为评估后端，工作重心放在上游的“编译”步骤，是算法与架构结合的经典范式。</w:t>
      </w:r>
    </w:p>
    <w:p>
      <w:pPr>
        <w:spacing w:before="120" w:after="120" w:line="288" w:lineRule="auto"/>
        <w:ind w:left="0"/>
        <w:jc w:val="left"/>
      </w:pPr>
      <w:r>
        <w:rPr>
          <w:rFonts w:eastAsia="等线" w:ascii="Arial" w:cs="Arial" w:hAnsi="Arial"/>
          <w:b w:val="true"/>
          <w:sz w:val="22"/>
        </w:rPr>
        <w:t>顶会切入点</w:t>
      </w:r>
      <w:r>
        <w:rPr>
          <w:rFonts w:eastAsia="等线" w:ascii="Arial" w:cs="Arial" w:hAnsi="Arial"/>
          <w:sz w:val="22"/>
        </w:rPr>
        <w:t>：</w:t>
      </w:r>
    </w:p>
    <w:p>
      <w:pPr>
        <w:numPr>
          <w:numId w:val="35"/>
        </w:numPr>
        <w:spacing w:before="120" w:after="120" w:line="288" w:lineRule="auto"/>
        <w:ind w:left="0"/>
        <w:jc w:val="left"/>
      </w:pPr>
      <w:r>
        <w:rPr>
          <w:rFonts w:eastAsia="等线" w:ascii="Arial" w:cs="Arial" w:hAnsi="Arial"/>
          <w:b w:val="true"/>
          <w:sz w:val="22"/>
        </w:rPr>
        <w:t>约束驱动的强化学习/进化算法映射器</w:t>
      </w:r>
      <w:r>
        <w:rPr>
          <w:rFonts w:eastAsia="等线" w:ascii="Arial" w:cs="Arial" w:hAnsi="Arial"/>
          <w:sz w:val="22"/>
        </w:rPr>
        <w:t xml:space="preserve">：设计一个以 </w:t>
      </w:r>
      <w:r>
        <w:rPr>
          <w:rFonts w:eastAsia="等线" w:ascii="Arial" w:cs="Arial" w:hAnsi="Arial"/>
          <w:b w:val="true"/>
          <w:sz w:val="22"/>
        </w:rPr>
        <w:t>RL Agent</w:t>
      </w:r>
      <w:r>
        <w:rPr>
          <w:rFonts w:eastAsia="等线" w:ascii="Arial" w:cs="Arial" w:hAnsi="Arial"/>
          <w:sz w:val="22"/>
        </w:rPr>
        <w:t xml:space="preserve"> 或 </w:t>
      </w:r>
      <w:r>
        <w:rPr>
          <w:rFonts w:eastAsia="等线" w:ascii="Arial" w:cs="Arial" w:hAnsi="Arial"/>
          <w:b w:val="true"/>
          <w:sz w:val="22"/>
        </w:rPr>
        <w:t>进化算法（如 NSGA-II）</w:t>
      </w:r>
      <w:r>
        <w:rPr>
          <w:rFonts w:eastAsia="等线" w:ascii="Arial" w:cs="Arial" w:hAnsi="Arial"/>
          <w:sz w:val="22"/>
        </w:rPr>
        <w:t xml:space="preserve"> 为核心的 CNN 模型映射器。</w:t>
      </w:r>
    </w:p>
    <w:p>
      <w:pPr>
        <w:numPr>
          <w:numId w:val="36"/>
        </w:numPr>
        <w:spacing w:before="120" w:after="120" w:line="288" w:lineRule="auto"/>
        <w:ind w:left="453"/>
        <w:jc w:val="left"/>
      </w:pPr>
      <w:r>
        <w:rPr>
          <w:rFonts w:eastAsia="等线" w:ascii="Arial" w:cs="Arial" w:hAnsi="Arial"/>
          <w:b w:val="true"/>
          <w:sz w:val="22"/>
        </w:rPr>
        <w:t>状态空间 (State)</w:t>
      </w:r>
      <w:r>
        <w:rPr>
          <w:rFonts w:eastAsia="等线" w:ascii="Arial" w:cs="Arial" w:hAnsi="Arial"/>
          <w:sz w:val="22"/>
        </w:rPr>
        <w:t>：CNN 计算图的表示、当前硬件资源占用情况。</w:t>
      </w:r>
    </w:p>
    <w:p>
      <w:pPr>
        <w:numPr>
          <w:numId w:val="37"/>
        </w:numPr>
        <w:spacing w:before="120" w:after="120" w:line="288" w:lineRule="auto"/>
        <w:ind w:left="453"/>
        <w:jc w:val="left"/>
      </w:pPr>
      <w:r>
        <w:rPr>
          <w:rFonts w:eastAsia="等线" w:ascii="Arial" w:cs="Arial" w:hAnsi="Arial"/>
          <w:b w:val="true"/>
          <w:sz w:val="22"/>
        </w:rPr>
        <w:t>动作空间 (Action)</w:t>
      </w:r>
      <w:r>
        <w:rPr>
          <w:rFonts w:eastAsia="等线" w:ascii="Arial" w:cs="Arial" w:hAnsi="Arial"/>
          <w:sz w:val="22"/>
        </w:rPr>
        <w:t>：如何切分一个卷积层（跨阵列、跨位线/字线）、如何调度不同层的执行顺序、如何为不同的数据（输入、权重、输出）分配 Buffer。</w:t>
      </w:r>
    </w:p>
    <w:p>
      <w:pPr>
        <w:numPr>
          <w:numId w:val="38"/>
        </w:numPr>
        <w:spacing w:before="120" w:after="120" w:line="288" w:lineRule="auto"/>
        <w:ind w:left="453"/>
        <w:jc w:val="left"/>
      </w:pPr>
      <w:r>
        <w:rPr>
          <w:rFonts w:eastAsia="等线" w:ascii="Arial" w:cs="Arial" w:hAnsi="Arial"/>
          <w:b w:val="true"/>
          <w:sz w:val="22"/>
        </w:rPr>
        <w:t>奖励函数 (Reward)</w:t>
      </w:r>
      <w:r>
        <w:rPr>
          <w:rFonts w:eastAsia="等线" w:ascii="Arial" w:cs="Arial" w:hAnsi="Arial"/>
          <w:sz w:val="22"/>
        </w:rPr>
        <w:t xml:space="preserve">：直接使用我们定义的 </w:t>
      </w:r>
      <w:r>
        <w:rPr>
          <w:rFonts w:eastAsia="等线" w:ascii="Arial" w:cs="Arial" w:hAnsi="Arial"/>
          <w:b w:val="true"/>
          <w:sz w:val="22"/>
        </w:rPr>
        <w:t>E²A 指标</w:t>
      </w:r>
      <w:r>
        <w:rPr>
          <w:rFonts w:eastAsia="等线" w:ascii="Arial" w:cs="Arial" w:hAnsi="Arial"/>
          <w:sz w:val="22"/>
        </w:rPr>
        <w:t>，或者一个综合了 PPA 和 ACC 损失的函数。</w:t>
      </w:r>
    </w:p>
    <w:p>
      <w:pPr>
        <w:numPr>
          <w:numId w:val="39"/>
        </w:numPr>
        <w:spacing w:before="120" w:after="120" w:line="288" w:lineRule="auto"/>
        <w:ind w:left="453"/>
        <w:jc w:val="left"/>
      </w:pPr>
      <w:r>
        <w:rPr>
          <w:rFonts w:eastAsia="等线" w:ascii="Arial" w:cs="Arial" w:hAnsi="Arial"/>
          <w:b w:val="true"/>
          <w:sz w:val="22"/>
        </w:rPr>
        <w:t>约束处理</w:t>
      </w:r>
      <w:r>
        <w:rPr>
          <w:rFonts w:eastAsia="等线" w:ascii="Arial" w:cs="Arial" w:hAnsi="Arial"/>
          <w:sz w:val="22"/>
        </w:rPr>
        <w:t>：将精度预算（</w:t>
      </w:r>
      <w:r>
        <w:rPr>
          <w:rFonts w:eastAsia="等线" w:ascii="Arial" w:cs="Arial" w:hAnsi="Arial"/>
          <w:sz w:val="22"/>
        </w:rPr>
        <w:t>&lt;1%）、ADC 位宽、阵列故障率、片上带宽/容量等作为环境约束，任何违反约束的 Action 都会受到巨大惩罚。</w:t>
      </w:r>
    </w:p>
    <w:p>
      <w:pPr>
        <w:numPr>
          <w:numId w:val="40"/>
        </w:numPr>
        <w:spacing w:before="120" w:after="120" w:line="288" w:lineRule="auto"/>
        <w:ind w:left="0"/>
        <w:jc w:val="left"/>
      </w:pPr>
      <w:r>
        <w:rPr>
          <w:rFonts w:eastAsia="等线" w:ascii="Arial" w:cs="Arial" w:hAnsi="Arial"/>
          <w:b w:val="true"/>
          <w:sz w:val="22"/>
        </w:rPr>
        <w:t>可微映射 (Differentiable Mapping/Placement)</w:t>
      </w:r>
      <w:r>
        <w:rPr>
          <w:rFonts w:eastAsia="等线" w:ascii="Arial" w:cs="Arial" w:hAnsi="Arial"/>
          <w:sz w:val="22"/>
        </w:rPr>
        <w:t>：这是一个非常前沿的方向。尝试将离散的映射问题松弛（relax）为一个连续的优化问题。例如，用一个可学习的概率矩阵来表示某个数据块被映射到某个物理阵列的概率，然后通过反向传播和梯度下降来优化这个概率矩阵。这可以与 GNN（图神经网络）结合，对硬件拓扑和计算图进行联合编码。</w:t>
      </w:r>
    </w:p>
    <w:p>
      <w:pPr>
        <w:numPr>
          <w:numId w:val="41"/>
        </w:numPr>
        <w:spacing w:before="120" w:after="120" w:line="288" w:lineRule="auto"/>
        <w:ind w:left="0"/>
        <w:jc w:val="left"/>
      </w:pPr>
      <w:r>
        <w:rPr>
          <w:rFonts w:eastAsia="等线" w:ascii="Arial" w:cs="Arial" w:hAnsi="Arial"/>
          <w:b w:val="true"/>
          <w:sz w:val="22"/>
        </w:rPr>
        <w:t>鲁棒性与容错映射</w:t>
      </w:r>
      <w:r>
        <w:rPr>
          <w:rFonts w:eastAsia="等线" w:ascii="Arial" w:cs="Arial" w:hAnsi="Arial"/>
          <w:sz w:val="22"/>
        </w:rPr>
        <w:t>：在优化目标中加入对硬件缺陷（如坏点阵列、Stuck-at-Faults）的鲁棒性考量。</w:t>
      </w:r>
    </w:p>
    <w:p>
      <w:pPr>
        <w:numPr>
          <w:numId w:val="42"/>
        </w:numPr>
        <w:spacing w:before="120" w:after="120" w:line="288" w:lineRule="auto"/>
        <w:ind w:left="453"/>
        <w:jc w:val="left"/>
      </w:pPr>
      <w:r>
        <w:rPr>
          <w:rFonts w:eastAsia="等线" w:ascii="Arial" w:cs="Arial" w:hAnsi="Arial"/>
          <w:b w:val="true"/>
          <w:sz w:val="22"/>
        </w:rPr>
        <w:t>新的代价函数</w:t>
      </w:r>
      <w:r>
        <w:rPr>
          <w:rFonts w:eastAsia="等线" w:ascii="Arial" w:cs="Arial" w:hAnsi="Arial"/>
          <w:sz w:val="22"/>
        </w:rPr>
        <w:t>：在评估一个映射方案时，不仅考虑其理想情况下的 PPA-ACC，还考虑其在一定故障率下的性能/精度期望值或最坏情况。</w:t>
      </w:r>
    </w:p>
    <w:p>
      <w:pPr>
        <w:numPr>
          <w:numId w:val="43"/>
        </w:numPr>
        <w:spacing w:before="120" w:after="120" w:line="288" w:lineRule="auto"/>
        <w:ind w:left="453"/>
        <w:jc w:val="left"/>
      </w:pPr>
      <w:r>
        <w:rPr>
          <w:rFonts w:eastAsia="等线" w:ascii="Arial" w:cs="Arial" w:hAnsi="Arial"/>
          <w:b w:val="true"/>
          <w:sz w:val="22"/>
        </w:rPr>
        <w:t>冗余与重映射策略</w:t>
      </w:r>
      <w:r>
        <w:rPr>
          <w:rFonts w:eastAsia="等线" w:ascii="Arial" w:cs="Arial" w:hAnsi="Arial"/>
          <w:sz w:val="22"/>
        </w:rPr>
        <w:t>：探索在编译时主动加入冗余计算，或设计当检测到故障时能够快速低代价重映射的算法。</w:t>
      </w:r>
    </w:p>
    <w:p>
      <w:pPr>
        <w:numPr>
          <w:numId w:val="44"/>
        </w:numPr>
        <w:spacing w:before="120" w:after="120" w:line="288" w:lineRule="auto"/>
        <w:ind w:left="0"/>
        <w:jc w:val="left"/>
      </w:pPr>
      <w:r>
        <w:rPr>
          <w:rFonts w:eastAsia="等线" w:ascii="Arial" w:cs="Arial" w:hAnsi="Arial"/>
          <w:b w:val="true"/>
          <w:sz w:val="22"/>
        </w:rPr>
        <w:t>网络结构-映射策略协同搜索 (NAS-CIM)</w:t>
      </w:r>
      <w:r>
        <w:rPr>
          <w:rFonts w:eastAsia="等线" w:ascii="Arial" w:cs="Arial" w:hAnsi="Arial"/>
          <w:sz w:val="22"/>
        </w:rPr>
        <w:t>：将硬件映射策略的 DSE 与神经网络结构搜索（NAS）结合起来。例如，在 NAS 的搜索空间中，不仅有网络结构参数（深度、宽度、算子类型），还有硬件映射的倾向性参数（如倾向于大 Kernel 还是小 Kernel，倾向于层内并行还是层间流水线）。通过 MNSIM 快速评估每个“结构-映射”对的 PPA-ACC，找到软硬件协同最优的解决方案。</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方向四：针对边缘 CNN 的定制化“魔改”</w:t>
      </w:r>
      <w:bookmarkEnd w:id="7"/>
    </w:p>
    <w:p>
      <w:pPr>
        <w:spacing w:before="120" w:after="120" w:line="288" w:lineRule="auto"/>
        <w:ind w:left="0"/>
        <w:jc w:val="left"/>
      </w:pPr>
      <w:r>
        <w:rPr>
          <w:rFonts w:eastAsia="等线" w:ascii="Arial" w:cs="Arial" w:hAnsi="Arial"/>
          <w:sz w:val="22"/>
        </w:rPr>
        <w:t>这个方向聚焦于在不改动硬件（或仅需微小改动）的前提下，通过算法/软件层面的创新来提升系统整体能效，非常适合在 MNSIM 这种行为级模拟器上进行快速验证和迭代。</w:t>
      </w:r>
    </w:p>
    <w:p>
      <w:pPr>
        <w:spacing w:before="120" w:after="120" w:line="288" w:lineRule="auto"/>
        <w:ind w:left="0"/>
        <w:jc w:val="left"/>
      </w:pPr>
      <w:r>
        <w:rPr>
          <w:rFonts w:eastAsia="等线" w:ascii="Arial" w:cs="Arial" w:hAnsi="Arial"/>
          <w:b w:val="true"/>
          <w:sz w:val="22"/>
        </w:rPr>
        <w:t>顶会切入点</w:t>
      </w:r>
      <w:r>
        <w:rPr>
          <w:rFonts w:eastAsia="等线" w:ascii="Arial" w:cs="Arial" w:hAnsi="Arial"/>
          <w:sz w:val="22"/>
        </w:rPr>
        <w:t>：</w:t>
      </w:r>
    </w:p>
    <w:p>
      <w:pPr>
        <w:numPr>
          <w:numId w:val="45"/>
        </w:numPr>
        <w:spacing w:before="120" w:after="120" w:line="288" w:lineRule="auto"/>
        <w:ind w:left="0"/>
        <w:jc w:val="left"/>
      </w:pPr>
      <w:r>
        <w:rPr>
          <w:rFonts w:eastAsia="等线" w:ascii="Arial" w:cs="Arial" w:hAnsi="Arial"/>
          <w:b w:val="true"/>
          <w:sz w:val="22"/>
        </w:rPr>
        <w:t>误差预算的智能分配与门控</w:t>
      </w:r>
      <w:r>
        <w:rPr>
          <w:rFonts w:eastAsia="等线" w:ascii="Arial" w:cs="Arial" w:hAnsi="Arial"/>
          <w:sz w:val="22"/>
        </w:rPr>
        <w:t>：</w:t>
      </w:r>
    </w:p>
    <w:p>
      <w:pPr>
        <w:numPr>
          <w:numId w:val="46"/>
        </w:numPr>
        <w:spacing w:before="120" w:after="120" w:line="288" w:lineRule="auto"/>
        <w:ind w:left="453"/>
        <w:jc w:val="left"/>
      </w:pPr>
      <w:r>
        <w:rPr>
          <w:rFonts w:eastAsia="等线" w:ascii="Arial" w:cs="Arial" w:hAnsi="Arial"/>
          <w:b w:val="true"/>
          <w:sz w:val="22"/>
        </w:rPr>
        <w:t>Per-layer Noise-aware Quantization &amp; Pruning</w:t>
      </w:r>
      <w:r>
        <w:rPr>
          <w:rFonts w:eastAsia="等线" w:ascii="Arial" w:cs="Arial" w:hAnsi="Arial"/>
          <w:sz w:val="22"/>
        </w:rPr>
        <w:t>：利用 MNSIM 提供的精度模型，分析不同层对硬件噪声的敏感度。对不敏感的层采用更激进的量化、剪枝策略，或分配到PPA更差但能耗更低的阵列上；对敏感的层则进行保护。</w:t>
      </w:r>
    </w:p>
    <w:p>
      <w:pPr>
        <w:numPr>
          <w:numId w:val="47"/>
        </w:numPr>
        <w:spacing w:before="120" w:after="120" w:line="288" w:lineRule="auto"/>
        <w:ind w:left="453"/>
        <w:jc w:val="left"/>
      </w:pPr>
      <w:r>
        <w:rPr>
          <w:rFonts w:eastAsia="等线" w:ascii="Arial" w:cs="Arial" w:hAnsi="Arial"/>
          <w:b w:val="true"/>
          <w:sz w:val="22"/>
        </w:rPr>
        <w:t>动态误差门控 (Dynamic Error Gating)</w:t>
      </w:r>
      <w:r>
        <w:rPr>
          <w:rFonts w:eastAsia="等线" w:ascii="Arial" w:cs="Arial" w:hAnsi="Arial"/>
          <w:sz w:val="22"/>
        </w:rPr>
        <w:t>：在运行时，根据输入的统计特性或中间特征图的饱和度，动态决定是否可以“跳过”某些计算或使用一个低精度的近似计算路径。例如，如果一个区域的特征图值非常小，其后续的 CIM 计算引入的误差对最终结果影响甚微，可以被安全地门控掉。</w:t>
      </w:r>
    </w:p>
    <w:p>
      <w:pPr>
        <w:numPr>
          <w:numId w:val="48"/>
        </w:numPr>
        <w:spacing w:before="120" w:after="120" w:line="288" w:lineRule="auto"/>
        <w:ind w:left="0"/>
        <w:jc w:val="left"/>
      </w:pPr>
      <w:r>
        <w:rPr>
          <w:rFonts w:eastAsia="等线" w:ascii="Arial" w:cs="Arial" w:hAnsi="Arial"/>
          <w:b w:val="true"/>
          <w:sz w:val="22"/>
        </w:rPr>
        <w:t>带可校准查找表（LUT）的离线补偿模型</w:t>
      </w:r>
      <w:r>
        <w:rPr>
          <w:rFonts w:eastAsia="等线" w:ascii="Arial" w:cs="Arial" w:hAnsi="Arial"/>
          <w:sz w:val="22"/>
        </w:rPr>
        <w:t>：</w:t>
      </w:r>
    </w:p>
    <w:p>
      <w:pPr>
        <w:numPr>
          <w:numId w:val="49"/>
        </w:numPr>
        <w:spacing w:before="120" w:after="120" w:line="288" w:lineRule="auto"/>
        <w:ind w:left="453"/>
        <w:jc w:val="left"/>
      </w:pPr>
      <w:r>
        <w:rPr>
          <w:rFonts w:eastAsia="等线" w:ascii="Arial" w:cs="Arial" w:hAnsi="Arial"/>
          <w:b w:val="true"/>
          <w:sz w:val="22"/>
        </w:rPr>
        <w:t>思路</w:t>
      </w:r>
      <w:r>
        <w:rPr>
          <w:rFonts w:eastAsia="等线" w:ascii="Arial" w:cs="Arial" w:hAnsi="Arial"/>
          <w:sz w:val="22"/>
        </w:rPr>
        <w:t>: 与其在硬件上做复杂的在线校正，不如在软件层面做一个“逆向误差模型”。</w:t>
      </w:r>
    </w:p>
    <w:p>
      <w:pPr>
        <w:numPr>
          <w:numId w:val="50"/>
        </w:numPr>
        <w:spacing w:before="120" w:after="120" w:line="288" w:lineRule="auto"/>
        <w:ind w:left="453"/>
        <w:jc w:val="left"/>
      </w:pPr>
      <w:r>
        <w:rPr>
          <w:rFonts w:eastAsia="等线" w:ascii="Arial" w:cs="Arial" w:hAnsi="Arial"/>
          <w:sz w:val="22"/>
        </w:rPr>
        <w:t>首先，通过 MNSIM（或已校准的 MNSIM）对整个 CNN 模型进行一次带误差的推理，获得每一层由硬件非理想效应引入的系统性误差（Systematic Error）的统计分布。</w:t>
      </w:r>
    </w:p>
    <w:p>
      <w:pPr>
        <w:numPr>
          <w:numId w:val="51"/>
        </w:numPr>
        <w:spacing w:before="120" w:after="120" w:line="288" w:lineRule="auto"/>
        <w:ind w:left="453"/>
        <w:jc w:val="left"/>
      </w:pPr>
      <w:r>
        <w:rPr>
          <w:rFonts w:eastAsia="等线" w:ascii="Arial" w:cs="Arial" w:hAnsi="Arial"/>
          <w:sz w:val="22"/>
        </w:rPr>
        <w:t xml:space="preserve">训练一个轻量级的补偿网络或构建一个 </w:t>
      </w:r>
      <w:r>
        <w:rPr>
          <w:rFonts w:eastAsia="等线" w:ascii="Arial" w:cs="Arial" w:hAnsi="Arial"/>
          <w:b w:val="true"/>
          <w:sz w:val="22"/>
        </w:rPr>
        <w:t>可校准的查找表（Calibratable LUT）</w:t>
      </w:r>
      <w:r>
        <w:rPr>
          <w:rFonts w:eastAsia="等线" w:ascii="Arial" w:cs="Arial" w:hAnsi="Arial"/>
          <w:sz w:val="22"/>
        </w:rPr>
        <w:t>，在 CIM 计算之后，对输出结果进行快速的软件后处理，以抵消掉大部分系统性误差。</w:t>
      </w:r>
    </w:p>
    <w:p>
      <w:pPr>
        <w:numPr>
          <w:numId w:val="52"/>
        </w:numPr>
        <w:spacing w:before="120" w:after="120" w:line="288" w:lineRule="auto"/>
        <w:ind w:left="453"/>
        <w:jc w:val="left"/>
      </w:pPr>
      <w:r>
        <w:rPr>
          <w:rFonts w:eastAsia="等线" w:ascii="Arial" w:cs="Arial" w:hAnsi="Arial"/>
          <w:sz w:val="22"/>
        </w:rPr>
        <w:t>这个 LUT 可以在部署前离线校准一次，运行时开销极低，非常适合边缘设备。</w:t>
      </w:r>
    </w:p>
    <w:p>
      <w:pPr>
        <w:numPr>
          <w:numId w:val="53"/>
        </w:numPr>
        <w:spacing w:before="120" w:after="120" w:line="288" w:lineRule="auto"/>
        <w:ind w:left="0"/>
        <w:jc w:val="left"/>
      </w:pPr>
      <w:r>
        <w:rPr>
          <w:rFonts w:eastAsia="等线" w:ascii="Arial" w:cs="Arial" w:hAnsi="Arial"/>
          <w:b w:val="true"/>
          <w:sz w:val="22"/>
        </w:rPr>
        <w:t>设计-训练-部署闭环验证方案</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b w:val="true"/>
          <w:sz w:val="22"/>
        </w:rPr>
        <w:t>Noise-Aware Training (NAT)</w:t>
      </w:r>
      <w:r>
        <w:rPr>
          <w:rFonts w:eastAsia="等线" w:ascii="Arial" w:cs="Arial" w:hAnsi="Arial"/>
          <w:sz w:val="22"/>
        </w:rPr>
        <w:t>：在 Pytorch/TensorFlow 训练环路中，前向传播时注入从 MNSIM 中抽象出的硬件噪声模型。这样训练出的模型天生就对硬件非理想效应具有更强的鲁棒性。</w:t>
      </w:r>
    </w:p>
    <w:p>
      <w:pPr>
        <w:numPr>
          <w:numId w:val="55"/>
        </w:numPr>
        <w:spacing w:before="120" w:after="120" w:line="288" w:lineRule="auto"/>
        <w:ind w:left="453"/>
        <w:jc w:val="left"/>
      </w:pPr>
      <w:r>
        <w:rPr>
          <w:rFonts w:eastAsia="等线" w:ascii="Arial" w:cs="Arial" w:hAnsi="Arial"/>
          <w:b w:val="true"/>
          <w:sz w:val="22"/>
        </w:rPr>
        <w:t>闭环流程</w:t>
      </w:r>
      <w:r>
        <w:rPr>
          <w:rFonts w:eastAsia="等线" w:ascii="Arial" w:cs="Arial" w:hAnsi="Arial"/>
          <w:sz w:val="22"/>
        </w:rPr>
        <w:t>：提出一个完整的 toolchain：1) MNSIM 评估硬件特性并抽象出噪声模型 -&gt; 2) 在 Pytorch 中进行 NAT -&gt; 3) 将训练好的模型重新部署回 MNSIM 进行最终的 PPA-ACC 验证。这个闭环本身就是一个有价值的贡献。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“Next-week”可执行实验清单</w:t>
      </w:r>
      <w:bookmarkEnd w:id="8"/>
    </w:p>
    <w:p>
      <w:pPr>
        <w:spacing w:before="120" w:after="120" w:line="288" w:lineRule="auto"/>
        <w:ind w:left="0"/>
        <w:jc w:val="left"/>
      </w:pPr>
      <w:r>
        <w:rPr>
          <w:rFonts w:eastAsia="等线" w:ascii="Arial" w:cs="Arial" w:hAnsi="Arial"/>
          <w:sz w:val="22"/>
        </w:rPr>
        <w:t>为使上述思路能快速启动，以下是一份具体的实验设计建议：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具体条目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说明与目标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ImageNet-1K 子集 (如 ILSVRC2012-mini)、COCO 子集 (进行边缘目标检测)、或自建特定边缘场景数据集 (如工业缺陷检测、智能安防)。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选择能代表典型边缘应用且便于快速迭代的数据集。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CNN 模型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分类:</w:t>
            </w:r>
            <w:r>
              <w:rPr>
                <w:rFonts w:eastAsia="等线" w:ascii="Arial" w:cs="Arial" w:hAnsi="Arial"/>
                <w:sz w:val="22"/>
              </w:rPr>
              <w:t xml:space="preserve"> MobileNetV2/V3, EfficientNet-Lite-B0, RepVGG-A0, ResNet-18</w:t>
              <w:br/>
            </w:r>
            <w:r>
              <w:rPr>
                <w:rFonts w:eastAsia="等线" w:ascii="Arial" w:cs="Arial" w:hAnsi="Arial"/>
                <w:b w:val="true"/>
                <w:sz w:val="22"/>
              </w:rPr>
              <w:t>检测:</w:t>
            </w:r>
            <w:r>
              <w:rPr>
                <w:rFonts w:eastAsia="等线" w:ascii="Arial" w:cs="Arial" w:hAnsi="Arial"/>
                <w:sz w:val="22"/>
              </w:rPr>
              <w:t xml:space="preserve"> YOLO-Nano, Edge-YOLO, SSD-MobileNet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覆盖轻量化 CNN 的主流设计范式，具有不同的计算/访存特性。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 DSE 参数范围</w:t>
            </w:r>
          </w:p>
        </w:tc>
        <w:tc>
          <w:tcPr>
            <w:tcW w:w="2760" w:type="dxa"/>
            <w:tcMar>
              <w:top w:type="dxa" w:w="60"/>
              <w:left w:type="dxa" w:w="120"/>
              <w:bottom w:type="dxa" w:w="30"/>
              <w:right w:type="dxa" w:w="120"/>
            </w:tcMar>
          </w:tcPr>
          <w:p>
            <w:pPr>
              <w:numPr>
                <w:numId w:val="56"/>
              </w:numPr>
              <w:spacing w:before="120" w:after="120" w:line="288" w:lineRule="auto"/>
              <w:ind w:left="0"/>
              <w:jc w:val="left"/>
            </w:pPr>
            <w:r>
              <w:rPr>
                <w:rFonts w:eastAsia="等线" w:ascii="Arial" w:cs="Arial" w:hAnsi="Arial"/>
                <w:b w:val="true"/>
                <w:sz w:val="22"/>
              </w:rPr>
              <w:t>阵列大小 (Tile Size):</w:t>
            </w:r>
            <w:r>
              <w:rPr>
                <w:rFonts w:eastAsia="等线" w:ascii="Arial" w:cs="Arial" w:hAnsi="Arial"/>
                <w:sz w:val="22"/>
              </w:rPr>
              <w:t xml:space="preserve"> 64x64, 128x128, 256x256</w:t>
            </w:r>
          </w:p>
          <w:p>
            <w:pPr>
              <w:numPr>
                <w:numId w:val="57"/>
              </w:numPr>
              <w:spacing w:before="120" w:after="120" w:line="288" w:lineRule="auto"/>
              <w:ind w:left="0"/>
              <w:jc w:val="left"/>
            </w:pPr>
            <w:r>
              <w:rPr>
                <w:rFonts w:eastAsia="等线" w:ascii="Arial" w:cs="Arial" w:hAnsi="Arial"/>
                <w:b w:val="true"/>
                <w:sz w:val="22"/>
              </w:rPr>
              <w:t>ADC 位宽 (Precision):</w:t>
            </w:r>
            <w:r>
              <w:rPr>
                <w:rFonts w:eastAsia="等线" w:ascii="Arial" w:cs="Arial" w:hAnsi="Arial"/>
                <w:sz w:val="22"/>
              </w:rPr>
              <w:t xml:space="preserve"> 4-bit 到 8-bit</w:t>
            </w:r>
          </w:p>
          <w:p>
            <w:pPr>
              <w:numPr>
                <w:numId w:val="58"/>
              </w:numPr>
              <w:spacing w:before="120" w:after="120" w:line="288" w:lineRule="auto"/>
              <w:ind w:left="0"/>
              <w:jc w:val="left"/>
            </w:pPr>
            <w:r>
              <w:rPr>
                <w:rFonts w:eastAsia="等线" w:ascii="Arial" w:cs="Arial" w:hAnsi="Arial"/>
                <w:b w:val="true"/>
                <w:sz w:val="22"/>
              </w:rPr>
              <w:t>Buffer 尺寸/层次:</w:t>
            </w:r>
            <w:r>
              <w:rPr>
                <w:rFonts w:eastAsia="等线" w:ascii="Arial" w:cs="Arial" w:hAnsi="Arial"/>
                <w:sz w:val="22"/>
              </w:rPr>
              <w:t xml:space="preserve"> eDRAM/SRAM 组合，总容量从 128KB 到 2MB</w:t>
            </w:r>
          </w:p>
          <w:p>
            <w:pPr>
              <w:numPr>
                <w:numId w:val="59"/>
              </w:numPr>
              <w:spacing w:before="120" w:after="120" w:line="288" w:lineRule="auto"/>
              <w:ind w:left="0"/>
              <w:jc w:val="left"/>
            </w:pPr>
            <w:r>
              <w:rPr>
                <w:rFonts w:eastAsia="等线" w:ascii="Arial" w:cs="Arial" w:hAnsi="Arial"/>
                <w:b w:val="true"/>
                <w:sz w:val="22"/>
              </w:rPr>
              <w:t>数据流 (Dataflow):</w:t>
            </w:r>
            <w:r>
              <w:rPr>
                <w:rFonts w:eastAsia="等线" w:ascii="Arial" w:cs="Arial" w:hAnsi="Arial"/>
                <w:sz w:val="22"/>
              </w:rPr>
              <w:t xml:space="preserve"> Weight-Stationary (WS), Row-Stationary (RS), Output-Stationary (OS)</w:t>
            </w:r>
          </w:p>
          <w:p>
            <w:pPr>
              <w:numPr>
                <w:numId w:val="60"/>
              </w:numPr>
              <w:spacing w:before="120" w:after="120" w:line="288" w:lineRule="auto"/>
              <w:ind w:left="0"/>
              <w:jc w:val="left"/>
            </w:pPr>
            <w:r>
              <w:rPr>
                <w:rFonts w:eastAsia="等线" w:ascii="Arial" w:cs="Arial" w:hAnsi="Arial"/>
                <w:b w:val="true"/>
                <w:sz w:val="22"/>
              </w:rPr>
              <w:t>并行度 (Parallelism):</w:t>
            </w:r>
            <w:r>
              <w:rPr>
                <w:rFonts w:eastAsia="等线" w:ascii="Arial" w:cs="Arial" w:hAnsi="Arial"/>
                <w:sz w:val="22"/>
              </w:rPr>
              <w:t xml:space="preserve"> 从 4 到 64 个 PE (Processing Element)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覆盖对 PPA-ACC 影响最显著的宏观参数，用于生成初始的 Pareto 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优化器/算法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DSE 驱动:</w:t>
            </w:r>
            <w:r>
              <w:rPr>
                <w:rFonts w:eastAsia="等线" w:ascii="Arial" w:cs="Arial" w:hAnsi="Arial"/>
                <w:sz w:val="22"/>
              </w:rPr>
              <w:t xml:space="preserve"> NSGA-II (使用 pymoo 库), 贝叶斯优化 (使用 scikit-optimize)</w:t>
              <w:br/>
            </w:r>
            <w:r>
              <w:rPr>
                <w:rFonts w:eastAsia="等线" w:ascii="Arial" w:cs="Arial" w:hAnsi="Arial"/>
                <w:b w:val="true"/>
                <w:sz w:val="22"/>
              </w:rPr>
              <w:t>编译/映射:</w:t>
            </w:r>
            <w:r>
              <w:rPr>
                <w:rFonts w:eastAsia="等线" w:ascii="Arial" w:cs="Arial" w:hAnsi="Arial"/>
                <w:sz w:val="22"/>
              </w:rPr>
              <w:t xml:space="preserve"> 可从基线的贪心算法开始，逐步迭代到基于 RL (如 PPO) 或进化算法的方案。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选择成熟的优化库，快速搭建自动化 DSE 框架。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统计与衡量指标</w:t>
            </w:r>
          </w:p>
        </w:tc>
        <w:tc>
          <w:tcPr>
            <w:tcW w:w="2760" w:type="dxa"/>
            <w:tcMar>
              <w:top w:type="dxa" w:w="60"/>
              <w:left w:type="dxa" w:w="120"/>
              <w:bottom w:type="dxa" w:w="30"/>
              <w:right w:type="dxa" w:w="120"/>
            </w:tcMar>
          </w:tcPr>
          <w:p>
            <w:pPr>
              <w:numPr>
                <w:numId w:val="61"/>
              </w:numPr>
              <w:spacing w:before="120" w:after="120" w:line="288" w:lineRule="auto"/>
              <w:ind w:left="0"/>
              <w:jc w:val="left"/>
            </w:pPr>
            <w:r>
              <w:rPr>
                <w:rFonts w:eastAsia="等线" w:ascii="Arial" w:cs="Arial" w:hAnsi="Arial"/>
                <w:b w:val="true"/>
                <w:sz w:val="22"/>
              </w:rPr>
              <w:t>精度:</w:t>
            </w:r>
            <w:r>
              <w:rPr>
                <w:rFonts w:eastAsia="等线" w:ascii="Arial" w:cs="Arial" w:hAnsi="Arial"/>
                <w:sz w:val="22"/>
              </w:rPr>
              <w:t xml:space="preserve"> Top-1/Top-5 Accuracy Drop (vs. FP32 baseline)</w:t>
            </w:r>
          </w:p>
          <w:p>
            <w:pPr>
              <w:numPr>
                <w:numId w:val="62"/>
              </w:numPr>
              <w:spacing w:before="120" w:after="120" w:line="288" w:lineRule="auto"/>
              <w:ind w:left="0"/>
              <w:jc w:val="left"/>
            </w:pPr>
            <w:r>
              <w:rPr>
                <w:rFonts w:eastAsia="等线" w:ascii="Arial" w:cs="Arial" w:hAnsi="Arial"/>
                <w:b w:val="true"/>
                <w:sz w:val="22"/>
              </w:rPr>
              <w:t>性能:</w:t>
            </w:r>
            <w:r>
              <w:rPr>
                <w:rFonts w:eastAsia="等线" w:ascii="Arial" w:cs="Arial" w:hAnsi="Arial"/>
                <w:sz w:val="22"/>
              </w:rPr>
              <w:t xml:space="preserve"> Latency (ms/frame), Throughput (fps)</w:t>
            </w:r>
          </w:p>
          <w:p>
            <w:pPr>
              <w:numPr>
                <w:numId w:val="63"/>
              </w:numPr>
              <w:spacing w:before="120" w:after="120" w:line="288" w:lineRule="auto"/>
              <w:ind w:left="0"/>
              <w:jc w:val="left"/>
            </w:pPr>
            <w:r>
              <w:rPr>
                <w:rFonts w:eastAsia="等线" w:ascii="Arial" w:cs="Arial" w:hAnsi="Arial"/>
                <w:b w:val="true"/>
                <w:sz w:val="22"/>
              </w:rPr>
              <w:t>功耗/面积:</w:t>
            </w:r>
            <w:r>
              <w:rPr>
                <w:rFonts w:eastAsia="等线" w:ascii="Arial" w:cs="Arial" w:hAnsi="Arial"/>
                <w:sz w:val="22"/>
              </w:rPr>
              <w:t xml:space="preserve"> Energy (μJ/frame), Power (mW), Area (mm²)</w:t>
            </w:r>
          </w:p>
          <w:p>
            <w:pPr>
              <w:numPr>
                <w:numId w:val="64"/>
              </w:numPr>
              <w:spacing w:before="120" w:after="120" w:line="288" w:lineRule="auto"/>
              <w:ind w:left="0"/>
              <w:jc w:val="left"/>
            </w:pPr>
            <w:r>
              <w:rPr>
                <w:rFonts w:eastAsia="等线" w:ascii="Arial" w:cs="Arial" w:hAnsi="Arial"/>
                <w:b w:val="true"/>
                <w:sz w:val="22"/>
              </w:rPr>
              <w:t>复合指标:</w:t>
            </w:r>
            <w:r>
              <w:rPr>
                <w:rFonts w:eastAsia="等线" w:ascii="Arial" w:cs="Arial" w:hAnsi="Arial"/>
                <w:sz w:val="22"/>
              </w:rPr>
              <w:t xml:space="preserve"> </w:t>
            </w:r>
            <w:r>
              <w:rPr>
                <w:rFonts w:eastAsia="等线" w:ascii="Arial" w:cs="Arial" w:hAnsi="Arial"/>
                <w:b w:val="true"/>
                <w:sz w:val="22"/>
              </w:rPr>
              <w:t>E²A</w:t>
            </w:r>
            <w:r>
              <w:rPr>
                <w:rFonts w:eastAsia="等线" w:ascii="Arial" w:cs="Arial" w:hAnsi="Arial"/>
                <w:sz w:val="22"/>
              </w:rPr>
              <w:t xml:space="preserve"> 分布、Pareto 支配关系图、Ablation Study 表格。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构建全面的评价体系，用数据和图表清晰展示贡献。</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Risk-Response Matrix：MNSIM 的适用边界与缓解策略</w:t>
      </w:r>
      <w:bookmarkEnd w:id="9"/>
    </w:p>
    <w:p>
      <w:pPr>
        <w:spacing w:before="120" w:after="120" w:line="288" w:lineRule="auto"/>
        <w:ind w:left="0"/>
        <w:jc w:val="left"/>
      </w:pPr>
      <w:r>
        <w:rPr>
          <w:rFonts w:eastAsia="等线" w:ascii="Arial" w:cs="Arial" w:hAnsi="Arial"/>
          <w:sz w:val="22"/>
        </w:rPr>
        <w:t>任何工具都有其局限性，在论文中坦诚地讨论这些局限性并给出缓解策略，是严谨学术态度的体现，反而会增加审稿人的信任。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潜在风险/陷阱 (Potential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具体描述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缓解策略 (Response/Mitigation Strategy)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算法精度建模局限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MNSIM 的精度模型可能无法完全捕捉所有非理想效应（特别是随机性误差、器件老化等）的复杂耦合，导致精度预测过于乐观。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多保真校准 (方向二)</w:t>
            </w:r>
            <w:r>
              <w:rPr>
                <w:rFonts w:eastAsia="等线" w:ascii="Arial" w:cs="Arial" w:hAnsi="Arial"/>
                <w:sz w:val="22"/>
              </w:rPr>
              <w:t>：使用 NeuroSim/SPICE 的结果对 MNSIM 的误差模型进行校准。在论文中明确声明所用误差模型的假设和校准过程。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器件非理想效应覆盖度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MNSIM可能未包含某些特定的 RRAM 非理想行为，如 state-drift、non-linearity in multi-level cell (MLC)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a-resistance states 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文献调研与模型注入</w:t>
            </w:r>
            <w:r>
              <w:rPr>
                <w:rFonts w:eastAsia="等线" w:ascii="Arial" w:cs="Arial" w:hAnsi="Arial"/>
                <w:sz w:val="22"/>
              </w:rPr>
              <w:t>：深入调研最新的 RRAM 器件物理论文，将其中关键的非理想效应简化为行为级模型，并注入 MNSIM。在论文中作为一个贡献点（“Enhanced MNSIM with ... model”）。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外围/互连/控制逻辑逼真度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MNSIM 对 NoC、总线、控制逻辑等的建模相对简化，其延迟和功耗可能是基于模型的估计，而非实际综合布局后的结果。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保守区间估计</w:t>
            </w:r>
            <w:r>
              <w:rPr>
                <w:rFonts w:eastAsia="等线" w:ascii="Arial" w:cs="Arial" w:hAnsi="Arial"/>
                <w:sz w:val="22"/>
              </w:rPr>
              <w:t>：在报告 PPA 结果时，给出一个基于 MNSIM 原始数据和考虑了 15-20% margin 的保守数据。</w:t>
            </w:r>
            <w:r>
              <w:rPr>
                <w:rFonts w:eastAsia="等线" w:ascii="Arial" w:cs="Arial" w:hAnsi="Arial"/>
                <w:b w:val="true"/>
                <w:sz w:val="22"/>
              </w:rPr>
              <w:t>关键路径工具校准</w:t>
            </w:r>
            <w:r>
              <w:rPr>
                <w:rFonts w:eastAsia="等线" w:ascii="Arial" w:cs="Arial" w:hAnsi="Arial"/>
                <w:sz w:val="22"/>
              </w:rPr>
              <w:t>：使用 Synopsys DC/Cadence Genus 等工具对关键的数字逻辑模块（如 NoC router）进行综合，用得到的数据校准 MNSIM 的模型。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数据流与实际执行的差异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MNSIM 中定义的数据流（Dataflow）可能与真实硬件执行时因控制复杂性、流水线冲突等导致的微观行为有偏差。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反例测试 (Corner-case Testing)</w:t>
            </w:r>
            <w:r>
              <w:rPr>
                <w:rFonts w:eastAsia="等线" w:ascii="Arial" w:cs="Arial" w:hAnsi="Arial"/>
                <w:sz w:val="22"/>
              </w:rPr>
              <w:t>：设计一些极端的测试用例（如极小或极大的 feature map，极度不均衡的层），检验 MNSIM 的 PPA 趋势是否依然合理。</w:t>
            </w:r>
            <w:r>
              <w:rPr>
                <w:rFonts w:eastAsia="等线" w:ascii="Arial" w:cs="Arial" w:hAnsi="Arial"/>
                <w:b w:val="true"/>
                <w:sz w:val="22"/>
              </w:rPr>
              <w:t>与 Cycle-accurate 模拟器交叉验证</w:t>
            </w:r>
            <w:r>
              <w:rPr>
                <w:rFonts w:eastAsia="等线" w:ascii="Arial" w:cs="Arial" w:hAnsi="Arial"/>
                <w:sz w:val="22"/>
              </w:rPr>
              <w:t>：对于最终选定的少数几个最优设计点，使用更精确的 Cycle-accurate 模拟器（如果有）进行交叉验证。</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顶会/期刊论文定位与贡献陈述模板</w:t>
      </w:r>
      <w:bookmarkEnd w:id="10"/>
    </w:p>
    <w:p>
      <w:pPr>
        <w:spacing w:before="120" w:after="120" w:line="288" w:lineRule="auto"/>
        <w:ind w:left="0"/>
        <w:jc w:val="left"/>
      </w:pPr>
      <w:r>
        <w:rPr>
          <w:rFonts w:eastAsia="等线" w:ascii="Arial" w:cs="Arial" w:hAnsi="Arial"/>
          <w:sz w:val="22"/>
        </w:rPr>
        <w:t>根据您的研究侧重点，可以选择不同的叙事路径和投稿目标。</w:t>
      </w:r>
    </w:p>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8280"/>
      </w:tblGrid>
      <w:tr>
        <w:tc>
          <w:tcPr>
            <w:tcW w:w="8280" w:type="dxa"/>
            <w:shd w:color="auto" w:val="clear" w:fill="fefff0"/>
            <w:tcMar>
              <w:top w:type="dxa" w:w="60"/>
              <w:left w:type="dxa" w:w="120"/>
              <w:bottom w:type="dxa" w:w="30"/>
              <w:right w:type="dxa" w:w="120"/>
            </w:tcMar>
          </w:tcPr>
          <w:p>
            <w:pPr>
              <w:pStyle w:val="4"/>
              <w:spacing w:before="260" w:after="120" w:line="288" w:lineRule="auto"/>
              <w:ind w:left="0"/>
              <w:jc w:val="left"/>
              <w:outlineLvl w:val="3"/>
            </w:pPr>
            <w:bookmarkStart w:name="heading_11" w:id="11"/>
            <w:r>
              <w:rPr>
                <w:rFonts w:eastAsia="等线" w:ascii="Arial" w:cs="Arial" w:hAnsi="Arial"/>
                <w:b w:val="true"/>
                <w:sz w:val="28"/>
              </w:rPr>
              <w:t>定位一：偏架构 (Target: ISCA/MICRO/HPCA/ASPLOS)</w:t>
            </w:r>
            <w:bookmarkEnd w:id="11"/>
          </w:p>
          <w:p>
            <w:pPr>
              <w:numPr>
                <w:numId w:val="65"/>
              </w:numPr>
              <w:spacing w:before="120" w:after="120" w:line="288" w:lineRule="auto"/>
              <w:ind w:left="0"/>
              <w:jc w:val="left"/>
            </w:pPr>
            <w:r>
              <w:rPr>
                <w:rFonts w:eastAsia="等线" w:ascii="Arial" w:cs="Arial" w:hAnsi="Arial"/>
                <w:b w:val="true"/>
                <w:sz w:val="22"/>
              </w:rPr>
              <w:t>标题范式</w:t>
            </w:r>
            <w:r>
              <w:rPr>
                <w:rFonts w:eastAsia="等线" w:ascii="Arial" w:cs="Arial" w:hAnsi="Arial"/>
                <w:sz w:val="22"/>
              </w:rPr>
              <w:t xml:space="preserve">: </w:t>
            </w:r>
            <w:r>
              <w:rPr>
                <w:rFonts w:eastAsia="等线" w:ascii="Arial" w:cs="Arial" w:hAnsi="Arial"/>
                <w:b w:val="true"/>
                <w:sz w:val="22"/>
              </w:rPr>
              <w:t>“Arch-CIM: A Dataflow-aware and Multi-fidelity Co-design Framework for CIM-based CNN Accelerators”</w:t>
            </w:r>
          </w:p>
          <w:p>
            <w:pPr>
              <w:numPr>
                <w:numId w:val="66"/>
              </w:numPr>
              <w:spacing w:before="120" w:after="120" w:line="288" w:lineRule="auto"/>
              <w:ind w:left="0"/>
              <w:jc w:val="left"/>
            </w:pPr>
            <w:r>
              <w:rPr>
                <w:rFonts w:eastAsia="等线" w:ascii="Arial" w:cs="Arial" w:hAnsi="Arial"/>
                <w:b w:val="true"/>
                <w:sz w:val="22"/>
              </w:rPr>
              <w:t>核心主张 (Claim)</w:t>
            </w:r>
            <w:r>
              <w:rPr>
                <w:rFonts w:eastAsia="等线" w:ascii="Arial" w:cs="Arial" w:hAnsi="Arial"/>
                <w:sz w:val="22"/>
              </w:rPr>
              <w:t>: “我们提出了一个系统性的、跨层级的 CIM 架构设计方法学。该方法学首次将宏观拓扑、数据流和映射策略在统一框架下进行联合寻优，并通过一种新颖的多保真度校准流程，使得大规模 DSE 的结果兼具速度与可信度。实验表明，我们的方法发现的设计点在 E²A 指标上比现有 SOTA (State-of-the-art) 设计平均提升 X%。”</w:t>
            </w:r>
          </w:p>
          <w:p>
            <w:pPr>
              <w:numPr>
                <w:numId w:val="67"/>
              </w:numPr>
              <w:spacing w:before="120" w:after="120" w:line="288" w:lineRule="auto"/>
              <w:ind w:left="0"/>
              <w:jc w:val="left"/>
            </w:pPr>
            <w:r>
              <w:rPr>
                <w:rFonts w:eastAsia="等线" w:ascii="Arial" w:cs="Arial" w:hAnsi="Arial"/>
                <w:b w:val="true"/>
                <w:sz w:val="22"/>
              </w:rPr>
              <w:t>贡献陈述 (Contributions)</w:t>
            </w:r>
            <w:r>
              <w:rPr>
                <w:rFonts w:eastAsia="等线" w:ascii="Arial" w:cs="Arial" w:hAnsi="Arial"/>
                <w:sz w:val="22"/>
              </w:rPr>
              <w:t>:</w:t>
            </w:r>
          </w:p>
          <w:p>
            <w:pPr>
              <w:numPr>
                <w:numId w:val="68"/>
              </w:numPr>
              <w:spacing w:before="120" w:after="120" w:line="288" w:lineRule="auto"/>
              <w:ind w:left="453"/>
              <w:jc w:val="left"/>
            </w:pPr>
            <w:r>
              <w:rPr>
                <w:rFonts w:eastAsia="等线" w:ascii="Arial" w:cs="Arial" w:hAnsi="Arial"/>
                <w:sz w:val="22"/>
              </w:rPr>
              <w:t>一个支持宏观拓扑、数据流、映射策略联合寻优的自动化 DSE 框架。</w:t>
            </w:r>
          </w:p>
          <w:p>
            <w:pPr>
              <w:numPr>
                <w:numId w:val="69"/>
              </w:numPr>
              <w:spacing w:before="120" w:after="120" w:line="288" w:lineRule="auto"/>
              <w:ind w:left="453"/>
              <w:jc w:val="left"/>
            </w:pPr>
            <w:r>
              <w:rPr>
                <w:rFonts w:eastAsia="等线" w:ascii="Arial" w:cs="Arial" w:hAnsi="Arial"/>
                <w:sz w:val="22"/>
              </w:rPr>
              <w:t>一种基于代理模型和贝叶斯优化的多保真度校准方法，成功将 SPICE 级的精度引入 MNSIM 级的快速仿真。</w:t>
            </w:r>
          </w:p>
          <w:p>
            <w:pPr>
              <w:numPr>
                <w:numId w:val="70"/>
              </w:numPr>
              <w:spacing w:before="120" w:after="120" w:line="288" w:lineRule="auto"/>
              <w:ind w:left="453"/>
              <w:jc w:val="left"/>
            </w:pPr>
            <w:r>
              <w:rPr>
                <w:rFonts w:eastAsia="等线" w:ascii="Arial" w:cs="Arial" w:hAnsi="Arial"/>
                <w:sz w:val="22"/>
              </w:rPr>
              <w:t>对多种主流边缘 CNN 模型在 RRAM CIM 架构上的 PPA-ACC Pareto 前沿的深度洞察与分析。</w:t>
            </w:r>
          </w:p>
          <w:p>
            <w:pPr>
              <w:numPr>
                <w:numId w:val="71"/>
              </w:numPr>
              <w:spacing w:before="120" w:after="120" w:line="288" w:lineRule="auto"/>
              <w:ind w:left="453"/>
              <w:jc w:val="left"/>
            </w:pPr>
            <w:r>
              <w:rPr>
                <w:rFonts w:eastAsia="等线" w:ascii="Arial" w:cs="Arial" w:hAnsi="Arial"/>
                <w:sz w:val="22"/>
              </w:rPr>
              <w:t>提出并验证了 E²A 复合指标作为衡量 CIM 架构综合效能的有效工具。</w:t>
            </w:r>
          </w:p>
          <w:p>
            <w:pPr>
              <w:pStyle w:val="4"/>
              <w:spacing w:before="260" w:after="120" w:line="288" w:lineRule="auto"/>
              <w:ind w:left="0"/>
              <w:jc w:val="left"/>
              <w:outlineLvl w:val="3"/>
            </w:pPr>
            <w:bookmarkStart w:name="heading_12" w:id="12"/>
            <w:r>
              <w:rPr>
                <w:rFonts w:eastAsia="等线" w:ascii="Arial" w:cs="Arial" w:hAnsi="Arial"/>
                <w:b w:val="true"/>
                <w:sz w:val="28"/>
              </w:rPr>
              <w:t>定位二：偏算法/编译 (Target: DAC/ICCAD/TCAD)</w:t>
            </w:r>
            <w:bookmarkEnd w:id="12"/>
          </w:p>
          <w:p>
            <w:pPr>
              <w:numPr>
                <w:numId w:val="72"/>
              </w:numPr>
              <w:spacing w:before="120" w:after="120" w:line="288" w:lineRule="auto"/>
              <w:ind w:left="0"/>
              <w:jc w:val="left"/>
            </w:pPr>
            <w:r>
              <w:rPr>
                <w:rFonts w:eastAsia="等线" w:ascii="Arial" w:cs="Arial" w:hAnsi="Arial"/>
                <w:b w:val="true"/>
                <w:sz w:val="22"/>
              </w:rPr>
              <w:t>标题范式</w:t>
            </w:r>
            <w:r>
              <w:rPr>
                <w:rFonts w:eastAsia="等线" w:ascii="Arial" w:cs="Arial" w:hAnsi="Arial"/>
                <w:sz w:val="22"/>
              </w:rPr>
              <w:t xml:space="preserve">: </w:t>
            </w:r>
            <w:r>
              <w:rPr>
                <w:rFonts w:eastAsia="等线" w:ascii="Arial" w:cs="Arial" w:hAnsi="Arial"/>
                <w:b w:val="true"/>
                <w:sz w:val="22"/>
              </w:rPr>
              <w:t>“RL-Map: A Reinforcement Learning-based Mapper with Accuracy Constraint for Efficient CNN Inference on CIM Architectures”</w:t>
            </w:r>
          </w:p>
          <w:p>
            <w:pPr>
              <w:numPr>
                <w:numId w:val="73"/>
              </w:numPr>
              <w:spacing w:before="120" w:after="120" w:line="288" w:lineRule="auto"/>
              <w:ind w:left="0"/>
              <w:jc w:val="left"/>
            </w:pPr>
            <w:r>
              <w:rPr>
                <w:rFonts w:eastAsia="等线" w:ascii="Arial" w:cs="Arial" w:hAnsi="Arial"/>
                <w:b w:val="true"/>
                <w:sz w:val="22"/>
              </w:rPr>
              <w:t>核心主张 (Claim)</w:t>
            </w:r>
            <w:r>
              <w:rPr>
                <w:rFonts w:eastAsia="等线" w:ascii="Arial" w:cs="Arial" w:hAnsi="Arial"/>
                <w:sz w:val="22"/>
              </w:rPr>
              <w:t>: “我们提出了一种基于强化学习的 CNN 映射器 RL-Map，它能够在满足严格精度损失约束（</w:t>
            </w:r>
            <w:r>
              <w:rPr>
                <w:rFonts w:eastAsia="等线" w:ascii="Arial" w:cs="Arial" w:hAnsi="Arial"/>
                <w:sz w:val="22"/>
              </w:rPr>
              <w:t>&lt;1%）下，为给定的 CIM 宏观架构自动寻找最优的数据切分、排布和调度策略。通过将 MNSIM 作为 PPA 评估环境，RL-Map 学习到的策略在能效上超越了现有的启发式或基于搜索的映射算法。”</w:t>
            </w:r>
          </w:p>
          <w:p>
            <w:pPr>
              <w:numPr>
                <w:numId w:val="74"/>
              </w:numPr>
              <w:spacing w:before="120" w:after="120" w:line="288" w:lineRule="auto"/>
              <w:ind w:left="0"/>
              <w:jc w:val="left"/>
            </w:pPr>
            <w:r>
              <w:rPr>
                <w:rFonts w:eastAsia="等线" w:ascii="Arial" w:cs="Arial" w:hAnsi="Arial"/>
                <w:b w:val="true"/>
                <w:sz w:val="22"/>
              </w:rPr>
              <w:t>贡献陈述 (Contributions)</w:t>
            </w:r>
            <w:r>
              <w:rPr>
                <w:rFonts w:eastAsia="等线" w:ascii="Arial" w:cs="Arial" w:hAnsi="Arial"/>
                <w:sz w:val="22"/>
              </w:rPr>
              <w:t>:</w:t>
            </w:r>
          </w:p>
          <w:p>
            <w:pPr>
              <w:numPr>
                <w:numId w:val="75"/>
              </w:numPr>
              <w:spacing w:before="120" w:after="120" w:line="288" w:lineRule="auto"/>
              <w:ind w:left="453"/>
              <w:jc w:val="left"/>
            </w:pPr>
            <w:r>
              <w:rPr>
                <w:rFonts w:eastAsia="等线" w:ascii="Arial" w:cs="Arial" w:hAnsi="Arial"/>
                <w:sz w:val="22"/>
              </w:rPr>
              <w:t>首次将强化学习应用于带精度约束的 CIM 映射问题，并设计了有效的状态、动作和奖励空间。</w:t>
            </w:r>
          </w:p>
          <w:p>
            <w:pPr>
              <w:numPr>
                <w:numId w:val="76"/>
              </w:numPr>
              <w:spacing w:before="120" w:after="120" w:line="288" w:lineRule="auto"/>
              <w:ind w:left="453"/>
              <w:jc w:val="left"/>
            </w:pPr>
            <w:r>
              <w:rPr>
                <w:rFonts w:eastAsia="等线" w:ascii="Arial" w:cs="Arial" w:hAnsi="Arial"/>
                <w:sz w:val="22"/>
              </w:rPr>
              <w:t>提出了一种将硬件缺陷（如故障率）纳入 RL 环境的鲁棒性映射训练方法。</w:t>
            </w:r>
          </w:p>
          <w:p>
            <w:pPr>
              <w:numPr>
                <w:numId w:val="77"/>
              </w:numPr>
              <w:spacing w:before="120" w:after="120" w:line="288" w:lineRule="auto"/>
              <w:ind w:left="453"/>
              <w:jc w:val="left"/>
            </w:pPr>
            <w:r>
              <w:rPr>
                <w:rFonts w:eastAsia="等线" w:ascii="Arial" w:cs="Arial" w:hAnsi="Arial"/>
                <w:sz w:val="22"/>
              </w:rPr>
              <w:t>一个开源的、基于 MNSIM 的 RL 映射研究平台，便于社区进行后续研究。</w:t>
            </w:r>
          </w:p>
          <w:p>
            <w:pPr>
              <w:numPr>
                <w:numId w:val="78"/>
              </w:numPr>
              <w:spacing w:before="120" w:after="120" w:line="288" w:lineRule="auto"/>
              <w:ind w:left="453"/>
              <w:jc w:val="left"/>
            </w:pPr>
            <w:r>
              <w:rPr>
                <w:rFonts w:eastAsia="等线" w:ascii="Arial" w:cs="Arial" w:hAnsi="Arial"/>
                <w:sz w:val="22"/>
              </w:rPr>
              <w:t>实验证明，RL-Map 找到的映射方案相较于基线方法，在 E²A 指标上平均改善 Y%。</w:t>
            </w:r>
          </w:p>
          <w:p>
            <w:pPr>
              <w:pStyle w:val="4"/>
              <w:spacing w:before="260" w:after="120" w:line="288" w:lineRule="auto"/>
              <w:ind w:left="0"/>
              <w:jc w:val="left"/>
              <w:outlineLvl w:val="3"/>
            </w:pPr>
            <w:bookmarkStart w:name="heading_13" w:id="13"/>
            <w:r>
              <w:rPr>
                <w:rFonts w:eastAsia="等线" w:ascii="Arial" w:cs="Arial" w:hAnsi="Arial"/>
                <w:b w:val="true"/>
                <w:sz w:val="28"/>
              </w:rPr>
              <w:t>定位三：偏工具/方法学 (Target: TCAD/TVLSI/ICCAD)</w:t>
            </w:r>
            <w:bookmarkEnd w:id="13"/>
          </w:p>
          <w:p>
            <w:pPr>
              <w:numPr>
                <w:numId w:val="79"/>
              </w:numPr>
              <w:spacing w:before="120" w:after="120" w:line="288" w:lineRule="auto"/>
              <w:ind w:left="0"/>
              <w:jc w:val="left"/>
            </w:pPr>
            <w:r>
              <w:rPr>
                <w:rFonts w:eastAsia="等线" w:ascii="Arial" w:cs="Arial" w:hAnsi="Arial"/>
                <w:b w:val="true"/>
                <w:sz w:val="22"/>
              </w:rPr>
              <w:t>标题范式</w:t>
            </w:r>
            <w:r>
              <w:rPr>
                <w:rFonts w:eastAsia="等线" w:ascii="Arial" w:cs="Arial" w:hAnsi="Arial"/>
                <w:sz w:val="22"/>
              </w:rPr>
              <w:t xml:space="preserve">: </w:t>
            </w:r>
            <w:r>
              <w:rPr>
                <w:rFonts w:eastAsia="等线" w:ascii="Arial" w:cs="Arial" w:hAnsi="Arial"/>
                <w:b w:val="true"/>
                <w:sz w:val="22"/>
              </w:rPr>
              <w:t>“MF-Sim: A Multi-fidelity Simulation Methodology for Fast and Accurate Evaluation of PIM Systems”</w:t>
            </w:r>
          </w:p>
          <w:p>
            <w:pPr>
              <w:numPr>
                <w:numId w:val="80"/>
              </w:numPr>
              <w:spacing w:before="120" w:after="120" w:line="288" w:lineRule="auto"/>
              <w:ind w:left="0"/>
              <w:jc w:val="left"/>
            </w:pPr>
            <w:r>
              <w:rPr>
                <w:rFonts w:eastAsia="等线" w:ascii="Arial" w:cs="Arial" w:hAnsi="Arial"/>
                <w:b w:val="true"/>
                <w:sz w:val="22"/>
              </w:rPr>
              <w:t>核心主张 (Claim)</w:t>
            </w:r>
            <w:r>
              <w:rPr>
                <w:rFonts w:eastAsia="等线" w:ascii="Arial" w:cs="Arial" w:hAnsi="Arial"/>
                <w:sz w:val="22"/>
              </w:rPr>
              <w:t>: “我们提出并开源了一套多保真度协同仿真方法论 MF-Sim，它能够系统性地将来自不同抽象层次（器件、电路、架构）的仿真工具（SPICE, NeuroSim, MNSIM）整合起来。通过分层校准和知识迁移，MF-Sim 在保持 MNSIM 数量级的仿真速度的同时，将系统级 PPA 和精度预测的误差降低到 Z% 以内。”</w:t>
            </w:r>
          </w:p>
          <w:p>
            <w:pPr>
              <w:numPr>
                <w:numId w:val="81"/>
              </w:numPr>
              <w:spacing w:before="120" w:after="120" w:line="288" w:lineRule="auto"/>
              <w:ind w:left="0"/>
              <w:jc w:val="left"/>
            </w:pPr>
            <w:r>
              <w:rPr>
                <w:rFonts w:eastAsia="等线" w:ascii="Arial" w:cs="Arial" w:hAnsi="Arial"/>
                <w:b w:val="true"/>
                <w:sz w:val="22"/>
              </w:rPr>
              <w:t>贡献陈述 (Contributions)</w:t>
            </w:r>
            <w:r>
              <w:rPr>
                <w:rFonts w:eastAsia="等线" w:ascii="Arial" w:cs="Arial" w:hAnsi="Arial"/>
                <w:sz w:val="22"/>
              </w:rPr>
              <w:t>:</w:t>
            </w:r>
          </w:p>
          <w:p>
            <w:pPr>
              <w:numPr>
                <w:numId w:val="82"/>
              </w:numPr>
              <w:spacing w:before="120" w:after="120" w:line="288" w:lineRule="auto"/>
              <w:ind w:left="453"/>
              <w:jc w:val="left"/>
            </w:pPr>
            <w:r>
              <w:rPr>
                <w:rFonts w:eastAsia="等线" w:ascii="Arial" w:cs="Arial" w:hAnsi="Arial"/>
                <w:sz w:val="22"/>
              </w:rPr>
              <w:t>一套完整的、可复现的多保真度校准协议，明确了从高保真工具提取误差核并注入低保真工具的具体流程。</w:t>
            </w:r>
          </w:p>
          <w:p>
            <w:pPr>
              <w:numPr>
                <w:numId w:val="83"/>
              </w:numPr>
              <w:spacing w:before="120" w:after="120" w:line="288" w:lineRule="auto"/>
              <w:ind w:left="453"/>
              <w:jc w:val="left"/>
            </w:pPr>
            <w:r>
              <w:rPr>
                <w:rFonts w:eastAsia="等线" w:ascii="Arial" w:cs="Arial" w:hAnsi="Arial"/>
                <w:sz w:val="22"/>
              </w:rPr>
              <w:t>对贝叶斯优化和迁移学习在本场景下有效性的系统性评估与比较。</w:t>
            </w:r>
          </w:p>
          <w:p>
            <w:pPr>
              <w:numPr>
                <w:numId w:val="84"/>
              </w:numPr>
              <w:spacing w:before="120" w:after="120" w:line="288" w:lineRule="auto"/>
              <w:ind w:left="453"/>
              <w:jc w:val="left"/>
            </w:pPr>
            <w:r>
              <w:rPr>
                <w:rFonts w:eastAsia="等线" w:ascii="Arial" w:cs="Arial" w:hAnsi="Arial"/>
                <w:sz w:val="22"/>
              </w:rPr>
              <w:t>通过对多个公开 CIM 设计的案例研究，证明了 MF-Sim 相较于单一模拟器在评估准确性上的显著优势。</w:t>
            </w:r>
          </w:p>
          <w:p>
            <w:pPr>
              <w:numPr>
                <w:numId w:val="85"/>
              </w:numPr>
              <w:spacing w:before="120" w:after="120" w:line="288" w:lineRule="auto"/>
              <w:ind w:left="453"/>
              <w:jc w:val="left"/>
            </w:pPr>
            <w:r>
              <w:rPr>
                <w:rFonts w:eastAsia="等线" w:ascii="Arial" w:cs="Arial" w:hAnsi="Arial"/>
                <w:sz w:val="22"/>
              </w:rPr>
              <w:t>开源了 MF-Sim 工具链，包含所有校准脚本和接口，为 PIM/CIM 社区提供了一个兼顾速度和精度的评估基础设施。</w:t>
            </w:r>
          </w:p>
        </w:tc>
      </w:tr>
    </w:tbl>
    <w:p>
      <w:pPr>
        <w:spacing w:before="120" w:after="120" w:line="288" w:lineRule="auto"/>
        <w:ind w:left="0"/>
        <w:jc w:val="left"/>
      </w:pPr>
      <w:r>
        <w:rPr>
          <w:rFonts w:eastAsia="等线" w:ascii="Arial" w:cs="Arial" w:hAnsi="Arial"/>
          <w:sz w:val="22"/>
        </w:rPr>
        <w:t>希望这份详尽的报告能为您提供清晰的指引和切实的帮助。基于 MNSIM 的研究大有可为，关键在于找准其生态位，并通过系统性的方法学创新来弥补其内在短板，从而构建出超越工具本身价值的、具有顶会水准的学术贡献。</w:t>
      </w:r>
    </w:p>
    <w:p>
      <w:pPr>
        <w:spacing w:before="120" w:after="120" w:line="288" w:lineRule="auto"/>
        <w:ind w:left="0"/>
        <w:jc w:val="left"/>
      </w:pPr>
      <w:r>
        <w:rPr>
          <w:rFonts w:eastAsia="等线" w:ascii="Arial" w:cs="Arial" w:hAnsi="Arial"/>
          <w:sz w:val="22"/>
        </w:rPr>
        <w:t>祝您科研顺利，早日产出顶尖成果！</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02152">
    <w:lvl>
      <w:numFmt w:val="bullet"/>
      <w:suff w:val="tab"/>
      <w:lvlText w:val="•"/>
      <w:rPr>
        <w:color w:val="3370ff"/>
      </w:rPr>
    </w:lvl>
  </w:abstractNum>
  <w:abstractNum w:abstractNumId="202153">
    <w:lvl>
      <w:numFmt w:val="bullet"/>
      <w:suff w:val="tab"/>
      <w:lvlText w:val="•"/>
      <w:rPr>
        <w:color w:val="3370ff"/>
      </w:rPr>
    </w:lvl>
  </w:abstractNum>
  <w:abstractNum w:abstractNumId="202154">
    <w:lvl>
      <w:numFmt w:val="bullet"/>
      <w:suff w:val="tab"/>
      <w:lvlText w:val="•"/>
      <w:rPr>
        <w:color w:val="3370ff"/>
      </w:rPr>
    </w:lvl>
  </w:abstractNum>
  <w:abstractNum w:abstractNumId="202155">
    <w:lvl>
      <w:numFmt w:val="bullet"/>
      <w:suff w:val="tab"/>
      <w:lvlText w:val="•"/>
      <w:rPr>
        <w:color w:val="3370ff"/>
      </w:rPr>
    </w:lvl>
  </w:abstractNum>
  <w:abstractNum w:abstractNumId="202156">
    <w:lvl>
      <w:numFmt w:val="bullet"/>
      <w:suff w:val="tab"/>
      <w:lvlText w:val="•"/>
      <w:rPr>
        <w:color w:val="3370ff"/>
      </w:rPr>
    </w:lvl>
  </w:abstractNum>
  <w:abstractNum w:abstractNumId="202157">
    <w:lvl>
      <w:numFmt w:val="bullet"/>
      <w:suff w:val="tab"/>
      <w:lvlText w:val="•"/>
      <w:rPr>
        <w:color w:val="3370ff"/>
      </w:rPr>
    </w:lvl>
  </w:abstractNum>
  <w:abstractNum w:abstractNumId="202158">
    <w:lvl>
      <w:numFmt w:val="bullet"/>
      <w:suff w:val="tab"/>
      <w:lvlText w:val="•"/>
      <w:rPr>
        <w:color w:val="3370ff"/>
      </w:rPr>
    </w:lvl>
  </w:abstractNum>
  <w:abstractNum w:abstractNumId="202159">
    <w:lvl>
      <w:numFmt w:val="bullet"/>
      <w:suff w:val="tab"/>
      <w:lvlText w:val="•"/>
      <w:rPr>
        <w:color w:val="3370ff"/>
      </w:rPr>
    </w:lvl>
  </w:abstractNum>
  <w:abstractNum w:abstractNumId="202160">
    <w:lvl>
      <w:numFmt w:val="bullet"/>
      <w:suff w:val="tab"/>
      <w:lvlText w:val="•"/>
      <w:rPr>
        <w:color w:val="3370ff"/>
      </w:rPr>
    </w:lvl>
  </w:abstractNum>
  <w:abstractNum w:abstractNumId="202161">
    <w:lvl>
      <w:numFmt w:val="bullet"/>
      <w:suff w:val="tab"/>
      <w:lvlText w:val="•"/>
      <w:rPr>
        <w:color w:val="3370ff"/>
      </w:rPr>
    </w:lvl>
  </w:abstractNum>
  <w:abstractNum w:abstractNumId="202162">
    <w:lvl>
      <w:numFmt w:val="bullet"/>
      <w:suff w:val="tab"/>
      <w:lvlText w:val="•"/>
      <w:rPr>
        <w:color w:val="3370ff"/>
      </w:rPr>
    </w:lvl>
  </w:abstractNum>
  <w:abstractNum w:abstractNumId="202163">
    <w:lvl>
      <w:numFmt w:val="bullet"/>
      <w:suff w:val="tab"/>
      <w:lvlText w:val="￮"/>
      <w:rPr>
        <w:color w:val="3370ff"/>
      </w:rPr>
    </w:lvl>
  </w:abstractNum>
  <w:abstractNum w:abstractNumId="202164">
    <w:lvl>
      <w:numFmt w:val="bullet"/>
      <w:suff w:val="tab"/>
      <w:lvlText w:val="￮"/>
      <w:rPr>
        <w:color w:val="3370ff"/>
      </w:rPr>
    </w:lvl>
  </w:abstractNum>
  <w:abstractNum w:abstractNumId="202165">
    <w:lvl>
      <w:numFmt w:val="bullet"/>
      <w:suff w:val="tab"/>
      <w:lvlText w:val="•"/>
      <w:rPr>
        <w:color w:val="3370ff"/>
      </w:rPr>
    </w:lvl>
  </w:abstractNum>
  <w:abstractNum w:abstractNumId="202166">
    <w:lvl>
      <w:start w:val="1"/>
      <w:numFmt w:val="decimal"/>
      <w:suff w:val="tab"/>
      <w:lvlText w:val="%1."/>
      <w:rPr>
        <w:color w:val="3370ff"/>
      </w:rPr>
    </w:lvl>
  </w:abstractNum>
  <w:abstractNum w:abstractNumId="202167">
    <w:lvl>
      <w:start w:val="2"/>
      <w:numFmt w:val="decimal"/>
      <w:suff w:val="tab"/>
      <w:lvlText w:val="%1."/>
      <w:rPr>
        <w:color w:val="3370ff"/>
      </w:rPr>
    </w:lvl>
  </w:abstractNum>
  <w:abstractNum w:abstractNumId="202168">
    <w:lvl>
      <w:start w:val="3"/>
      <w:numFmt w:val="decimal"/>
      <w:suff w:val="tab"/>
      <w:lvlText w:val="%1."/>
      <w:rPr>
        <w:color w:val="3370ff"/>
      </w:rPr>
    </w:lvl>
  </w:abstractNum>
  <w:abstractNum w:abstractNumId="202169">
    <w:lvl>
      <w:numFmt w:val="bullet"/>
      <w:suff w:val="tab"/>
      <w:lvlText w:val="•"/>
      <w:rPr>
        <w:color w:val="3370ff"/>
      </w:rPr>
    </w:lvl>
  </w:abstractNum>
  <w:abstractNum w:abstractNumId="202170">
    <w:lvl>
      <w:numFmt w:val="bullet"/>
      <w:suff w:val="tab"/>
      <w:lvlText w:val="•"/>
      <w:rPr>
        <w:color w:val="3370ff"/>
      </w:rPr>
    </w:lvl>
  </w:abstractNum>
  <w:abstractNum w:abstractNumId="202171">
    <w:lvl>
      <w:numFmt w:val="bullet"/>
      <w:suff w:val="tab"/>
      <w:lvlText w:val="•"/>
      <w:rPr>
        <w:color w:val="3370ff"/>
      </w:rPr>
    </w:lvl>
  </w:abstractNum>
  <w:abstractNum w:abstractNumId="202172">
    <w:lvl>
      <w:numFmt w:val="bullet"/>
      <w:suff w:val="tab"/>
      <w:lvlText w:val="•"/>
      <w:rPr>
        <w:color w:val="3370ff"/>
      </w:rPr>
    </w:lvl>
  </w:abstractNum>
  <w:abstractNum w:abstractNumId="202173">
    <w:lvl>
      <w:numFmt w:val="bullet"/>
      <w:suff w:val="tab"/>
      <w:lvlText w:val="•"/>
      <w:rPr>
        <w:color w:val="3370ff"/>
      </w:rPr>
    </w:lvl>
  </w:abstractNum>
  <w:abstractNum w:abstractNumId="202174">
    <w:lvl>
      <w:numFmt w:val="bullet"/>
      <w:suff w:val="tab"/>
      <w:lvlText w:val="•"/>
      <w:rPr>
        <w:color w:val="3370ff"/>
      </w:rPr>
    </w:lvl>
  </w:abstractNum>
  <w:abstractNum w:abstractNumId="202175">
    <w:lvl>
      <w:numFmt w:val="bullet"/>
      <w:suff w:val="tab"/>
      <w:lvlText w:val="•"/>
      <w:rPr>
        <w:color w:val="3370ff"/>
      </w:rPr>
    </w:lvl>
  </w:abstractNum>
  <w:abstractNum w:abstractNumId="202176">
    <w:lvl>
      <w:numFmt w:val="bullet"/>
      <w:suff w:val="tab"/>
      <w:lvlText w:val="•"/>
      <w:rPr>
        <w:color w:val="3370ff"/>
      </w:rPr>
    </w:lvl>
  </w:abstractNum>
  <w:abstractNum w:abstractNumId="202177">
    <w:lvl>
      <w:start w:val="1"/>
      <w:numFmt w:val="lowerLetter"/>
      <w:suff w:val="tab"/>
      <w:lvlText w:val="%1."/>
      <w:rPr>
        <w:color w:val="3370ff"/>
      </w:rPr>
    </w:lvl>
  </w:abstractNum>
  <w:abstractNum w:abstractNumId="202178">
    <w:lvl>
      <w:start w:val="2"/>
      <w:numFmt w:val="lowerLetter"/>
      <w:suff w:val="tab"/>
      <w:lvlText w:val="%1."/>
      <w:rPr>
        <w:color w:val="3370ff"/>
      </w:rPr>
    </w:lvl>
  </w:abstractNum>
  <w:abstractNum w:abstractNumId="202179">
    <w:lvl>
      <w:start w:val="3"/>
      <w:numFmt w:val="lowerLetter"/>
      <w:suff w:val="tab"/>
      <w:lvlText w:val="%1."/>
      <w:rPr>
        <w:color w:val="3370ff"/>
      </w:rPr>
    </w:lvl>
  </w:abstractNum>
  <w:abstractNum w:abstractNumId="202180">
    <w:lvl>
      <w:numFmt w:val="bullet"/>
      <w:suff w:val="tab"/>
      <w:lvlText w:val="•"/>
      <w:rPr>
        <w:color w:val="3370ff"/>
      </w:rPr>
    </w:lvl>
  </w:abstractNum>
  <w:abstractNum w:abstractNumId="202181">
    <w:lvl>
      <w:start w:val="1"/>
      <w:numFmt w:val="lowerLetter"/>
      <w:suff w:val="tab"/>
      <w:lvlText w:val="%1."/>
      <w:rPr>
        <w:color w:val="3370ff"/>
      </w:rPr>
    </w:lvl>
  </w:abstractNum>
  <w:abstractNum w:abstractNumId="202182">
    <w:lvl>
      <w:start w:val="2"/>
      <w:numFmt w:val="lowerLetter"/>
      <w:suff w:val="tab"/>
      <w:lvlText w:val="%1."/>
      <w:rPr>
        <w:color w:val="3370ff"/>
      </w:rPr>
    </w:lvl>
  </w:abstractNum>
  <w:abstractNum w:abstractNumId="202183">
    <w:lvl>
      <w:start w:val="3"/>
      <w:numFmt w:val="lowerLetter"/>
      <w:suff w:val="tab"/>
      <w:lvlText w:val="%1."/>
      <w:rPr>
        <w:color w:val="3370ff"/>
      </w:rPr>
    </w:lvl>
  </w:abstractNum>
  <w:abstractNum w:abstractNumId="202184">
    <w:lvl>
      <w:numFmt w:val="bullet"/>
      <w:suff w:val="tab"/>
      <w:lvlText w:val="•"/>
      <w:rPr>
        <w:color w:val="3370ff"/>
      </w:rPr>
    </w:lvl>
  </w:abstractNum>
  <w:abstractNum w:abstractNumId="202185">
    <w:lvl>
      <w:numFmt w:val="bullet"/>
      <w:suff w:val="tab"/>
      <w:lvlText w:val="•"/>
      <w:rPr>
        <w:color w:val="3370ff"/>
      </w:rPr>
    </w:lvl>
  </w:abstractNum>
  <w:abstractNum w:abstractNumId="202186">
    <w:lvl>
      <w:numFmt w:val="bullet"/>
      <w:suff w:val="tab"/>
      <w:lvlText w:val="•"/>
      <w:rPr>
        <w:color w:val="3370ff"/>
      </w:rPr>
    </w:lvl>
  </w:abstractNum>
  <w:abstractNum w:abstractNumId="202187">
    <w:lvl>
      <w:numFmt w:val="bullet"/>
      <w:suff w:val="tab"/>
      <w:lvlText w:val="￮"/>
      <w:rPr>
        <w:color w:val="3370ff"/>
      </w:rPr>
    </w:lvl>
  </w:abstractNum>
  <w:abstractNum w:abstractNumId="202188">
    <w:lvl>
      <w:numFmt w:val="bullet"/>
      <w:suff w:val="tab"/>
      <w:lvlText w:val="￮"/>
      <w:rPr>
        <w:color w:val="3370ff"/>
      </w:rPr>
    </w:lvl>
  </w:abstractNum>
  <w:abstractNum w:abstractNumId="202189">
    <w:lvl>
      <w:numFmt w:val="bullet"/>
      <w:suff w:val="tab"/>
      <w:lvlText w:val="￮"/>
      <w:rPr>
        <w:color w:val="3370ff"/>
      </w:rPr>
    </w:lvl>
  </w:abstractNum>
  <w:abstractNum w:abstractNumId="202190">
    <w:lvl>
      <w:numFmt w:val="bullet"/>
      <w:suff w:val="tab"/>
      <w:lvlText w:val="￮"/>
      <w:rPr>
        <w:color w:val="3370ff"/>
      </w:rPr>
    </w:lvl>
  </w:abstractNum>
  <w:abstractNum w:abstractNumId="202191">
    <w:lvl>
      <w:numFmt w:val="bullet"/>
      <w:suff w:val="tab"/>
      <w:lvlText w:val="•"/>
      <w:rPr>
        <w:color w:val="3370ff"/>
      </w:rPr>
    </w:lvl>
  </w:abstractNum>
  <w:abstractNum w:abstractNumId="202192">
    <w:lvl>
      <w:numFmt w:val="bullet"/>
      <w:suff w:val="tab"/>
      <w:lvlText w:val="•"/>
      <w:rPr>
        <w:color w:val="3370ff"/>
      </w:rPr>
    </w:lvl>
  </w:abstractNum>
  <w:abstractNum w:abstractNumId="202193">
    <w:lvl>
      <w:numFmt w:val="bullet"/>
      <w:suff w:val="tab"/>
      <w:lvlText w:val="￮"/>
      <w:rPr>
        <w:color w:val="3370ff"/>
      </w:rPr>
    </w:lvl>
  </w:abstractNum>
  <w:abstractNum w:abstractNumId="202194">
    <w:lvl>
      <w:numFmt w:val="bullet"/>
      <w:suff w:val="tab"/>
      <w:lvlText w:val="￮"/>
      <w:rPr>
        <w:color w:val="3370ff"/>
      </w:rPr>
    </w:lvl>
  </w:abstractNum>
  <w:abstractNum w:abstractNumId="202195">
    <w:lvl>
      <w:numFmt w:val="bullet"/>
      <w:suff w:val="tab"/>
      <w:lvlText w:val="•"/>
      <w:rPr>
        <w:color w:val="3370ff"/>
      </w:rPr>
    </w:lvl>
  </w:abstractNum>
  <w:abstractNum w:abstractNumId="202196">
    <w:lvl>
      <w:numFmt w:val="bullet"/>
      <w:suff w:val="tab"/>
      <w:lvlText w:val="•"/>
      <w:rPr>
        <w:color w:val="3370ff"/>
      </w:rPr>
    </w:lvl>
  </w:abstractNum>
  <w:abstractNum w:abstractNumId="202197">
    <w:lvl>
      <w:numFmt w:val="bullet"/>
      <w:suff w:val="tab"/>
      <w:lvlText w:val="￮"/>
      <w:rPr>
        <w:color w:val="3370ff"/>
      </w:rPr>
    </w:lvl>
  </w:abstractNum>
  <w:abstractNum w:abstractNumId="202198">
    <w:lvl>
      <w:numFmt w:val="bullet"/>
      <w:suff w:val="tab"/>
      <w:lvlText w:val="￮"/>
      <w:rPr>
        <w:color w:val="3370ff"/>
      </w:rPr>
    </w:lvl>
  </w:abstractNum>
  <w:abstractNum w:abstractNumId="202199">
    <w:lvl>
      <w:numFmt w:val="bullet"/>
      <w:suff w:val="tab"/>
      <w:lvlText w:val="•"/>
      <w:rPr>
        <w:color w:val="3370ff"/>
      </w:rPr>
    </w:lvl>
  </w:abstractNum>
  <w:abstractNum w:abstractNumId="202200">
    <w:lvl>
      <w:numFmt w:val="bullet"/>
      <w:suff w:val="tab"/>
      <w:lvlText w:val="￮"/>
      <w:rPr>
        <w:color w:val="3370ff"/>
      </w:rPr>
    </w:lvl>
  </w:abstractNum>
  <w:abstractNum w:abstractNumId="202201">
    <w:lvl>
      <w:start w:val="1"/>
      <w:numFmt w:val="lowerLetter"/>
      <w:suff w:val="tab"/>
      <w:lvlText w:val="%1."/>
      <w:rPr>
        <w:color w:val="3370ff"/>
      </w:rPr>
    </w:lvl>
  </w:abstractNum>
  <w:abstractNum w:abstractNumId="202202">
    <w:lvl>
      <w:start w:val="2"/>
      <w:numFmt w:val="lowerLetter"/>
      <w:suff w:val="tab"/>
      <w:lvlText w:val="%1."/>
      <w:rPr>
        <w:color w:val="3370ff"/>
      </w:rPr>
    </w:lvl>
  </w:abstractNum>
  <w:abstractNum w:abstractNumId="202203">
    <w:lvl>
      <w:start w:val="3"/>
      <w:numFmt w:val="lowerLetter"/>
      <w:suff w:val="tab"/>
      <w:lvlText w:val="%1."/>
      <w:rPr>
        <w:color w:val="3370ff"/>
      </w:rPr>
    </w:lvl>
  </w:abstractNum>
  <w:abstractNum w:abstractNumId="202204">
    <w:lvl>
      <w:numFmt w:val="bullet"/>
      <w:suff w:val="tab"/>
      <w:lvlText w:val="•"/>
      <w:rPr>
        <w:color w:val="3370ff"/>
      </w:rPr>
    </w:lvl>
  </w:abstractNum>
  <w:abstractNum w:abstractNumId="202205">
    <w:lvl>
      <w:numFmt w:val="bullet"/>
      <w:suff w:val="tab"/>
      <w:lvlText w:val="￮"/>
      <w:rPr>
        <w:color w:val="3370ff"/>
      </w:rPr>
    </w:lvl>
  </w:abstractNum>
  <w:abstractNum w:abstractNumId="202206">
    <w:lvl>
      <w:numFmt w:val="bullet"/>
      <w:suff w:val="tab"/>
      <w:lvlText w:val="￮"/>
      <w:rPr>
        <w:color w:val="3370ff"/>
      </w:rPr>
    </w:lvl>
  </w:abstractNum>
  <w:abstractNum w:abstractNumId="202207">
    <w:lvl>
      <w:numFmt w:val="bullet"/>
      <w:suff w:val="tab"/>
      <w:lvlText w:val="•"/>
      <w:rPr>
        <w:color w:val="3370ff"/>
      </w:rPr>
    </w:lvl>
  </w:abstractNum>
  <w:abstractNum w:abstractNumId="202208">
    <w:lvl>
      <w:numFmt w:val="bullet"/>
      <w:suff w:val="tab"/>
      <w:lvlText w:val="•"/>
      <w:rPr>
        <w:color w:val="3370ff"/>
      </w:rPr>
    </w:lvl>
  </w:abstractNum>
  <w:abstractNum w:abstractNumId="202209">
    <w:lvl>
      <w:numFmt w:val="bullet"/>
      <w:suff w:val="tab"/>
      <w:lvlText w:val="•"/>
      <w:rPr>
        <w:color w:val="3370ff"/>
      </w:rPr>
    </w:lvl>
  </w:abstractNum>
  <w:abstractNum w:abstractNumId="202210">
    <w:lvl>
      <w:numFmt w:val="bullet"/>
      <w:suff w:val="tab"/>
      <w:lvlText w:val="•"/>
      <w:rPr>
        <w:color w:val="3370ff"/>
      </w:rPr>
    </w:lvl>
  </w:abstractNum>
  <w:abstractNum w:abstractNumId="202211">
    <w:lvl>
      <w:numFmt w:val="bullet"/>
      <w:suff w:val="tab"/>
      <w:lvlText w:val="•"/>
      <w:rPr>
        <w:color w:val="3370ff"/>
      </w:rPr>
    </w:lvl>
  </w:abstractNum>
  <w:abstractNum w:abstractNumId="202212">
    <w:lvl>
      <w:numFmt w:val="bullet"/>
      <w:suff w:val="tab"/>
      <w:lvlText w:val="•"/>
      <w:rPr>
        <w:color w:val="3370ff"/>
      </w:rPr>
    </w:lvl>
  </w:abstractNum>
  <w:abstractNum w:abstractNumId="202213">
    <w:lvl>
      <w:numFmt w:val="bullet"/>
      <w:suff w:val="tab"/>
      <w:lvlText w:val="•"/>
      <w:rPr>
        <w:color w:val="3370ff"/>
      </w:rPr>
    </w:lvl>
  </w:abstractNum>
  <w:abstractNum w:abstractNumId="202214">
    <w:lvl>
      <w:numFmt w:val="bullet"/>
      <w:suff w:val="tab"/>
      <w:lvlText w:val="•"/>
      <w:rPr>
        <w:color w:val="3370ff"/>
      </w:rPr>
    </w:lvl>
  </w:abstractNum>
  <w:abstractNum w:abstractNumId="202215">
    <w:lvl>
      <w:numFmt w:val="bullet"/>
      <w:suff w:val="tab"/>
      <w:lvlText w:val="•"/>
      <w:rPr>
        <w:color w:val="3370ff"/>
      </w:rPr>
    </w:lvl>
  </w:abstractNum>
  <w:abstractNum w:abstractNumId="202216">
    <w:lvl>
      <w:numFmt w:val="bullet"/>
      <w:suff w:val="tab"/>
      <w:lvlText w:val="•"/>
      <w:rPr>
        <w:color w:val="3370ff"/>
      </w:rPr>
    </w:lvl>
  </w:abstractNum>
  <w:abstractNum w:abstractNumId="202217">
    <w:lvl>
      <w:numFmt w:val="bullet"/>
      <w:suff w:val="tab"/>
      <w:lvlText w:val="•"/>
      <w:rPr>
        <w:color w:val="3370ff"/>
      </w:rPr>
    </w:lvl>
  </w:abstractNum>
  <w:abstractNum w:abstractNumId="202218">
    <w:lvl>
      <w:numFmt w:val="bullet"/>
      <w:suff w:val="tab"/>
      <w:lvlText w:val="•"/>
      <w:rPr>
        <w:color w:val="3370ff"/>
      </w:rPr>
    </w:lvl>
  </w:abstractNum>
  <w:abstractNum w:abstractNumId="202219">
    <w:lvl>
      <w:start w:val="1"/>
      <w:numFmt w:val="lowerLetter"/>
      <w:suff w:val="tab"/>
      <w:lvlText w:val="%1."/>
      <w:rPr>
        <w:color w:val="3370ff"/>
      </w:rPr>
    </w:lvl>
  </w:abstractNum>
  <w:abstractNum w:abstractNumId="202220">
    <w:lvl>
      <w:start w:val="2"/>
      <w:numFmt w:val="lowerLetter"/>
      <w:suff w:val="tab"/>
      <w:lvlText w:val="%1."/>
      <w:rPr>
        <w:color w:val="3370ff"/>
      </w:rPr>
    </w:lvl>
  </w:abstractNum>
  <w:abstractNum w:abstractNumId="202221">
    <w:lvl>
      <w:start w:val="3"/>
      <w:numFmt w:val="lowerLetter"/>
      <w:suff w:val="tab"/>
      <w:lvlText w:val="%1."/>
      <w:rPr>
        <w:color w:val="3370ff"/>
      </w:rPr>
    </w:lvl>
  </w:abstractNum>
  <w:abstractNum w:abstractNumId="202222">
    <w:lvl>
      <w:start w:val="4"/>
      <w:numFmt w:val="lowerLetter"/>
      <w:suff w:val="tab"/>
      <w:lvlText w:val="%1."/>
      <w:rPr>
        <w:color w:val="3370ff"/>
      </w:rPr>
    </w:lvl>
  </w:abstractNum>
  <w:abstractNum w:abstractNumId="202223">
    <w:lvl>
      <w:numFmt w:val="bullet"/>
      <w:suff w:val="tab"/>
      <w:lvlText w:val="•"/>
      <w:rPr>
        <w:color w:val="3370ff"/>
      </w:rPr>
    </w:lvl>
  </w:abstractNum>
  <w:abstractNum w:abstractNumId="202224">
    <w:lvl>
      <w:numFmt w:val="bullet"/>
      <w:suff w:val="tab"/>
      <w:lvlText w:val="•"/>
      <w:rPr>
        <w:color w:val="3370ff"/>
      </w:rPr>
    </w:lvl>
  </w:abstractNum>
  <w:abstractNum w:abstractNumId="202225">
    <w:lvl>
      <w:numFmt w:val="bullet"/>
      <w:suff w:val="tab"/>
      <w:lvlText w:val="•"/>
      <w:rPr>
        <w:color w:val="3370ff"/>
      </w:rPr>
    </w:lvl>
  </w:abstractNum>
  <w:abstractNum w:abstractNumId="202226">
    <w:lvl>
      <w:start w:val="1"/>
      <w:numFmt w:val="lowerLetter"/>
      <w:suff w:val="tab"/>
      <w:lvlText w:val="%1."/>
      <w:rPr>
        <w:color w:val="3370ff"/>
      </w:rPr>
    </w:lvl>
  </w:abstractNum>
  <w:abstractNum w:abstractNumId="202227">
    <w:lvl>
      <w:start w:val="2"/>
      <w:numFmt w:val="lowerLetter"/>
      <w:suff w:val="tab"/>
      <w:lvlText w:val="%1."/>
      <w:rPr>
        <w:color w:val="3370ff"/>
      </w:rPr>
    </w:lvl>
  </w:abstractNum>
  <w:abstractNum w:abstractNumId="202228">
    <w:lvl>
      <w:start w:val="3"/>
      <w:numFmt w:val="lowerLetter"/>
      <w:suff w:val="tab"/>
      <w:lvlText w:val="%1."/>
      <w:rPr>
        <w:color w:val="3370ff"/>
      </w:rPr>
    </w:lvl>
  </w:abstractNum>
  <w:abstractNum w:abstractNumId="202229">
    <w:lvl>
      <w:start w:val="4"/>
      <w:numFmt w:val="lowerLetter"/>
      <w:suff w:val="tab"/>
      <w:lvlText w:val="%1."/>
      <w:rPr>
        <w:color w:val="3370ff"/>
      </w:rPr>
    </w:lvl>
  </w:abstractNum>
  <w:abstractNum w:abstractNumId="202230">
    <w:lvl>
      <w:numFmt w:val="bullet"/>
      <w:suff w:val="tab"/>
      <w:lvlText w:val="•"/>
      <w:rPr>
        <w:color w:val="3370ff"/>
      </w:rPr>
    </w:lvl>
  </w:abstractNum>
  <w:abstractNum w:abstractNumId="202231">
    <w:lvl>
      <w:numFmt w:val="bullet"/>
      <w:suff w:val="tab"/>
      <w:lvlText w:val="•"/>
      <w:rPr>
        <w:color w:val="3370ff"/>
      </w:rPr>
    </w:lvl>
  </w:abstractNum>
  <w:abstractNum w:abstractNumId="202232">
    <w:lvl>
      <w:numFmt w:val="bullet"/>
      <w:suff w:val="tab"/>
      <w:lvlText w:val="•"/>
      <w:rPr>
        <w:color w:val="3370ff"/>
      </w:rPr>
    </w:lvl>
  </w:abstractNum>
  <w:abstractNum w:abstractNumId="202233">
    <w:lvl>
      <w:start w:val="1"/>
      <w:numFmt w:val="lowerLetter"/>
      <w:suff w:val="tab"/>
      <w:lvlText w:val="%1."/>
      <w:rPr>
        <w:color w:val="3370ff"/>
      </w:rPr>
    </w:lvl>
  </w:abstractNum>
  <w:abstractNum w:abstractNumId="202234">
    <w:lvl>
      <w:start w:val="2"/>
      <w:numFmt w:val="lowerLetter"/>
      <w:suff w:val="tab"/>
      <w:lvlText w:val="%1."/>
      <w:rPr>
        <w:color w:val="3370ff"/>
      </w:rPr>
    </w:lvl>
  </w:abstractNum>
  <w:abstractNum w:abstractNumId="202235">
    <w:lvl>
      <w:start w:val="3"/>
      <w:numFmt w:val="lowerLetter"/>
      <w:suff w:val="tab"/>
      <w:lvlText w:val="%1."/>
      <w:rPr>
        <w:color w:val="3370ff"/>
      </w:rPr>
    </w:lvl>
  </w:abstractNum>
  <w:abstractNum w:abstractNumId="202236">
    <w:lvl>
      <w:start w:val="4"/>
      <w:numFmt w:val="lowerLetter"/>
      <w:suff w:val="tab"/>
      <w:lvlText w:val="%1."/>
      <w:rPr>
        <w:color w:val="3370ff"/>
      </w:rPr>
    </w:lvl>
  </w:abstractNum>
  <w:num w:numId="1">
    <w:abstractNumId w:val="202152"/>
  </w:num>
  <w:num w:numId="2">
    <w:abstractNumId w:val="202153"/>
  </w:num>
  <w:num w:numId="3">
    <w:abstractNumId w:val="202154"/>
  </w:num>
  <w:num w:numId="4">
    <w:abstractNumId w:val="202155"/>
  </w:num>
  <w:num w:numId="5">
    <w:abstractNumId w:val="202156"/>
  </w:num>
  <w:num w:numId="6">
    <w:abstractNumId w:val="202157"/>
  </w:num>
  <w:num w:numId="7">
    <w:abstractNumId w:val="202158"/>
  </w:num>
  <w:num w:numId="8">
    <w:abstractNumId w:val="202159"/>
  </w:num>
  <w:num w:numId="9">
    <w:abstractNumId w:val="202160"/>
  </w:num>
  <w:num w:numId="10">
    <w:abstractNumId w:val="202161"/>
  </w:num>
  <w:num w:numId="11">
    <w:abstractNumId w:val="202162"/>
  </w:num>
  <w:num w:numId="12">
    <w:abstractNumId w:val="202163"/>
  </w:num>
  <w:num w:numId="13">
    <w:abstractNumId w:val="202164"/>
  </w:num>
  <w:num w:numId="14">
    <w:abstractNumId w:val="202165"/>
  </w:num>
  <w:num w:numId="15">
    <w:abstractNumId w:val="202166"/>
  </w:num>
  <w:num w:numId="16">
    <w:abstractNumId w:val="202167"/>
  </w:num>
  <w:num w:numId="17">
    <w:abstractNumId w:val="202168"/>
  </w:num>
  <w:num w:numId="18">
    <w:abstractNumId w:val="202169"/>
  </w:num>
  <w:num w:numId="19">
    <w:abstractNumId w:val="202170"/>
  </w:num>
  <w:num w:numId="20">
    <w:abstractNumId w:val="202171"/>
  </w:num>
  <w:num w:numId="21">
    <w:abstractNumId w:val="202172"/>
  </w:num>
  <w:num w:numId="22">
    <w:abstractNumId w:val="202173"/>
  </w:num>
  <w:num w:numId="23">
    <w:abstractNumId w:val="202174"/>
  </w:num>
  <w:num w:numId="24">
    <w:abstractNumId w:val="202175"/>
  </w:num>
  <w:num w:numId="25">
    <w:abstractNumId w:val="202176"/>
  </w:num>
  <w:num w:numId="26">
    <w:abstractNumId w:val="202177"/>
  </w:num>
  <w:num w:numId="27">
    <w:abstractNumId w:val="202178"/>
  </w:num>
  <w:num w:numId="28">
    <w:abstractNumId w:val="202179"/>
  </w:num>
  <w:num w:numId="29">
    <w:abstractNumId w:val="202180"/>
  </w:num>
  <w:num w:numId="30">
    <w:abstractNumId w:val="202181"/>
  </w:num>
  <w:num w:numId="31">
    <w:abstractNumId w:val="202182"/>
  </w:num>
  <w:num w:numId="32">
    <w:abstractNumId w:val="202183"/>
  </w:num>
  <w:num w:numId="33">
    <w:abstractNumId w:val="202184"/>
  </w:num>
  <w:num w:numId="34">
    <w:abstractNumId w:val="202185"/>
  </w:num>
  <w:num w:numId="35">
    <w:abstractNumId w:val="202186"/>
  </w:num>
  <w:num w:numId="36">
    <w:abstractNumId w:val="202187"/>
  </w:num>
  <w:num w:numId="37">
    <w:abstractNumId w:val="202188"/>
  </w:num>
  <w:num w:numId="38">
    <w:abstractNumId w:val="202189"/>
  </w:num>
  <w:num w:numId="39">
    <w:abstractNumId w:val="202190"/>
  </w:num>
  <w:num w:numId="40">
    <w:abstractNumId w:val="202191"/>
  </w:num>
  <w:num w:numId="41">
    <w:abstractNumId w:val="202192"/>
  </w:num>
  <w:num w:numId="42">
    <w:abstractNumId w:val="202193"/>
  </w:num>
  <w:num w:numId="43">
    <w:abstractNumId w:val="202194"/>
  </w:num>
  <w:num w:numId="44">
    <w:abstractNumId w:val="202195"/>
  </w:num>
  <w:num w:numId="45">
    <w:abstractNumId w:val="202196"/>
  </w:num>
  <w:num w:numId="46">
    <w:abstractNumId w:val="202197"/>
  </w:num>
  <w:num w:numId="47">
    <w:abstractNumId w:val="202198"/>
  </w:num>
  <w:num w:numId="48">
    <w:abstractNumId w:val="202199"/>
  </w:num>
  <w:num w:numId="49">
    <w:abstractNumId w:val="202200"/>
  </w:num>
  <w:num w:numId="50">
    <w:abstractNumId w:val="202201"/>
  </w:num>
  <w:num w:numId="51">
    <w:abstractNumId w:val="202202"/>
  </w:num>
  <w:num w:numId="52">
    <w:abstractNumId w:val="202203"/>
  </w:num>
  <w:num w:numId="53">
    <w:abstractNumId w:val="202204"/>
  </w:num>
  <w:num w:numId="54">
    <w:abstractNumId w:val="202205"/>
  </w:num>
  <w:num w:numId="55">
    <w:abstractNumId w:val="202206"/>
  </w:num>
  <w:num w:numId="56">
    <w:abstractNumId w:val="202207"/>
  </w:num>
  <w:num w:numId="57">
    <w:abstractNumId w:val="202208"/>
  </w:num>
  <w:num w:numId="58">
    <w:abstractNumId w:val="202209"/>
  </w:num>
  <w:num w:numId="59">
    <w:abstractNumId w:val="202210"/>
  </w:num>
  <w:num w:numId="60">
    <w:abstractNumId w:val="202211"/>
  </w:num>
  <w:num w:numId="61">
    <w:abstractNumId w:val="202212"/>
  </w:num>
  <w:num w:numId="62">
    <w:abstractNumId w:val="202213"/>
  </w:num>
  <w:num w:numId="63">
    <w:abstractNumId w:val="202214"/>
  </w:num>
  <w:num w:numId="64">
    <w:abstractNumId w:val="202215"/>
  </w:num>
  <w:num w:numId="65">
    <w:abstractNumId w:val="202216"/>
  </w:num>
  <w:num w:numId="66">
    <w:abstractNumId w:val="202217"/>
  </w:num>
  <w:num w:numId="67">
    <w:abstractNumId w:val="202218"/>
  </w:num>
  <w:num w:numId="68">
    <w:abstractNumId w:val="202219"/>
  </w:num>
  <w:num w:numId="69">
    <w:abstractNumId w:val="202220"/>
  </w:num>
  <w:num w:numId="70">
    <w:abstractNumId w:val="202221"/>
  </w:num>
  <w:num w:numId="71">
    <w:abstractNumId w:val="202222"/>
  </w:num>
  <w:num w:numId="72">
    <w:abstractNumId w:val="202223"/>
  </w:num>
  <w:num w:numId="73">
    <w:abstractNumId w:val="202224"/>
  </w:num>
  <w:num w:numId="74">
    <w:abstractNumId w:val="202225"/>
  </w:num>
  <w:num w:numId="75">
    <w:abstractNumId w:val="202226"/>
  </w:num>
  <w:num w:numId="76">
    <w:abstractNumId w:val="202227"/>
  </w:num>
  <w:num w:numId="77">
    <w:abstractNumId w:val="202228"/>
  </w:num>
  <w:num w:numId="78">
    <w:abstractNumId w:val="202229"/>
  </w:num>
  <w:num w:numId="79">
    <w:abstractNumId w:val="202230"/>
  </w:num>
  <w:num w:numId="80">
    <w:abstractNumId w:val="202231"/>
  </w:num>
  <w:num w:numId="81">
    <w:abstractNumId w:val="202232"/>
  </w:num>
  <w:num w:numId="82">
    <w:abstractNumId w:val="202233"/>
  </w:num>
  <w:num w:numId="83">
    <w:abstractNumId w:val="202234"/>
  </w:num>
  <w:num w:numId="84">
    <w:abstractNumId w:val="202235"/>
  </w:num>
  <w:num w:numId="85">
    <w:abstractNumId w:val="2022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2026-04-17T05:18:43Z</dcterms:created>
  <dc:creator>Apache POI</dc:creator>
</cp:coreProperties>
</file>