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TRL: Training Loss</w:t>
      </w:r>
    </w:p>
    <w:p w:rsidR="00000000" w:rsidDel="00000000" w:rsidP="00000000" w:rsidRDefault="00000000" w:rsidRPr="00000000" w14:paraId="00000002">
      <w:pPr>
        <w:ind w:firstLine="720"/>
        <w:rPr/>
      </w:pPr>
      <w:r w:rsidDel="00000000" w:rsidR="00000000" w:rsidRPr="00000000">
        <w:rPr>
          <w:rtl w:val="0"/>
        </w:rPr>
        <w:t xml:space="preserve">TSL: Testing/Validation Loss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58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70"/>
        <w:gridCol w:w="2490"/>
        <w:gridCol w:w="2460"/>
        <w:tblGridChange w:id="0">
          <w:tblGrid>
            <w:gridCol w:w="1965"/>
            <w:gridCol w:w="2670"/>
            <w:gridCol w:w="2490"/>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epochs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0.0934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0.0922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very less distinct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8.958076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0.0928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0.0917</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slightly more distinct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8.785289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0.0926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0.014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even more distinct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8.515391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Sparse 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0.3331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0.8663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quite blurry, features more distinct than VAE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0.0491325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0.2982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0.7205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a little less blurry, features slightly more distinct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0.05058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0.3001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0.6652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slightly less blurry, features even more distinct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0.0515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Contractive 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0.1939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0.1914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quite blurry, even more than SAE at 20epochs, features have little to no info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0.8807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0.1667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0.1650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still blurry, more than SAE at 20 epochs, features improved but still negligible, can’t find out meaningful info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0.8612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TRL: 0.1443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TSL: 0.1416</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Decoded images now resemble the input and are less blurry, but still it’s more than SAE and VAE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Mean: 0.7303</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the number of epochs increase, the features which are identified in the encoder start becoming more distinct.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Please refer to the features being displayed in the Colab Notebooks to compare. A final result of 200+ epochs has been done as well to show the increase in the distinctiveness of the features.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 lose a lot of detail in the VAE, which is shown by the encoded features.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 the case of SAE, the mean encoded value is quite less, but then the decoded images were blurry in the case of 20 epochs. With increasing number of epochs the blurriness reduced.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opposed to the encoded features in VAE, we can somewhat discern patterns related to the handwritten digits in the encoded features of SAE.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training loss in SAE is more than VAE due to the regularization loss and KL divergence term.</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 the case of CAE, in 20 and 40 epochs, the decoded images were quite blurry, even more than those during the 20 epochs of SAE.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 60 epochs of CAE the images are still blurry, but it has reduced considerably.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Meaningful results would be obtained in CAE on increasing epochs(In code, made one result for 200+ epochs).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Also, when input is some noisy image, the results aren’t satisfactory at all, the reason being that noisy images aren’t used as training set, and thus the network doesn’t know how to remove the noise. This can be done using denoising autoencoder.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