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{{virtual_implant_table}}</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