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DAYASHANKAR^62YRS [ 3D CBCT MAXILLA ]</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1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Lower left second molar</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2024-01-12</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8978900" cy="31623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8978900" cy="31623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 to 32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33 to 42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43 to 68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69 to 78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79 to 105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60 to 63]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23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23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64 to 68]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24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24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69 to 73]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25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25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74 to 78]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26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26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79 to 87]</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27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27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88 to 96]</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V4</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