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KAMALA^66YRS F [OPG]3D[25]</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Dispersed Regions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2024-01-17</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3263900" cy="37846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 to 32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33 to 42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43 to 68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69 to 78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79 to 105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22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22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60 to 63]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23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23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64 to 68]</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24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24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69 to 73]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25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25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74 to 78]</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26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26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79 to 87]</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27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27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88 to 96]</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