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90DC" w14:textId="77777777" w:rsidR="00167178"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Advanced Generative Optimization and Stability-Constrained Vector Synthesis in Sequential Multi-Dimensional Panel Data</w:t>
      </w:r>
    </w:p>
    <w:p w14:paraId="2EB490DD"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synthesis of high-performance, stable vectors within a multi-dimensional design space represents one of the most complex challenges in contemporary computational optimization and predictive </w:t>
      </w:r>
      <w:proofErr w:type="spellStart"/>
      <w:r>
        <w:rPr>
          <w:rFonts w:ascii="Google Sans Text" w:eastAsia="Google Sans Text" w:hAnsi="Google Sans Text" w:cs="Google Sans Text"/>
          <w:color w:val="1F1F1F"/>
        </w:rPr>
        <w:t>modeling</w:t>
      </w:r>
      <w:proofErr w:type="spellEnd"/>
      <w:r>
        <w:rPr>
          <w:rFonts w:ascii="Google Sans Text" w:eastAsia="Google Sans Text" w:hAnsi="Google Sans Text" w:cs="Google Sans Text"/>
          <w:color w:val="1F1F1F"/>
        </w:rPr>
        <w:t xml:space="preserve">. When presented with a longitudinal dataset consisting of </w:t>
      </w:r>
      <w:r>
        <w:rPr>
          <w:rFonts w:ascii="Google Sans Text" w:eastAsia="Google Sans Text" w:hAnsi="Google Sans Text" w:cs="Google Sans Text"/>
          <w:noProof/>
          <w:color w:val="1F1F1F"/>
        </w:rPr>
        <w:drawing>
          <wp:inline distT="19050" distB="19050" distL="19050" distR="19050" wp14:anchorId="2EB491F6" wp14:editId="2EB491F7">
            <wp:extent cx="105541" cy="238856"/>
            <wp:effectExtent l="0" t="0" r="0" b="0"/>
            <wp:docPr id="8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105541" cy="238856"/>
                    </a:xfrm>
                    <a:prstGeom prst="rect">
                      <a:avLst/>
                    </a:prstGeom>
                    <a:ln/>
                  </pic:spPr>
                </pic:pic>
              </a:graphicData>
            </a:graphic>
          </wp:inline>
        </w:drawing>
      </w:r>
      <w:r>
        <w:rPr>
          <w:rFonts w:ascii="Google Sans Text" w:eastAsia="Google Sans Text" w:hAnsi="Google Sans Text" w:cs="Google Sans Text"/>
          <w:color w:val="1F1F1F"/>
        </w:rPr>
        <w:t xml:space="preserve"> sequential sets—where each set contains </w:t>
      </w:r>
      <w:r>
        <w:rPr>
          <w:rFonts w:ascii="Google Sans Text" w:eastAsia="Google Sans Text" w:hAnsi="Google Sans Text" w:cs="Google Sans Text"/>
          <w:noProof/>
          <w:color w:val="1F1F1F"/>
        </w:rPr>
        <w:drawing>
          <wp:inline distT="19050" distB="19050" distL="19050" distR="19050" wp14:anchorId="2EB491F8" wp14:editId="2EB491F9">
            <wp:extent cx="96951" cy="245229"/>
            <wp:effectExtent l="0" t="0" r="0" b="0"/>
            <wp:docPr id="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96951" cy="245229"/>
                    </a:xfrm>
                    <a:prstGeom prst="rect">
                      <a:avLst/>
                    </a:prstGeom>
                    <a:ln/>
                  </pic:spPr>
                </pic:pic>
              </a:graphicData>
            </a:graphic>
          </wp:inline>
        </w:drawing>
      </w:r>
      <w:r>
        <w:rPr>
          <w:rFonts w:ascii="Google Sans Text" w:eastAsia="Google Sans Text" w:hAnsi="Google Sans Text" w:cs="Google Sans Text"/>
          <w:color w:val="1F1F1F"/>
        </w:rPr>
        <w:t xml:space="preserve"> unique entities defined by static </w:t>
      </w:r>
      <w:r>
        <w:rPr>
          <w:rFonts w:ascii="Google Sans Text" w:eastAsia="Google Sans Text" w:hAnsi="Google Sans Text" w:cs="Google Sans Text"/>
          <w:noProof/>
          <w:color w:val="1F1F1F"/>
        </w:rPr>
        <w:drawing>
          <wp:inline distT="19050" distB="19050" distL="19050" distR="19050" wp14:anchorId="2EB491FA" wp14:editId="2EB491FB">
            <wp:extent cx="95930" cy="242647"/>
            <wp:effectExtent l="0" t="0" r="0" b="0"/>
            <wp:docPr id="8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95930" cy="242647"/>
                    </a:xfrm>
                    <a:prstGeom prst="rect">
                      <a:avLst/>
                    </a:prstGeom>
                    <a:ln/>
                  </pic:spPr>
                </pic:pic>
              </a:graphicData>
            </a:graphic>
          </wp:inline>
        </w:drawing>
      </w:r>
      <w:r>
        <w:rPr>
          <w:rFonts w:ascii="Google Sans Text" w:eastAsia="Google Sans Text" w:hAnsi="Google Sans Text" w:cs="Google Sans Text"/>
          <w:color w:val="1F1F1F"/>
        </w:rPr>
        <w:t xml:space="preserve">-dimensional vectors </w:t>
      </w:r>
      <w:r>
        <w:rPr>
          <w:rFonts w:ascii="Google Sans Text" w:eastAsia="Google Sans Text" w:hAnsi="Google Sans Text" w:cs="Google Sans Text"/>
          <w:noProof/>
          <w:color w:val="1F1F1F"/>
        </w:rPr>
        <w:drawing>
          <wp:inline distT="19050" distB="19050" distL="19050" distR="19050" wp14:anchorId="2EB491FC" wp14:editId="2EB491FD">
            <wp:extent cx="129863" cy="194794"/>
            <wp:effectExtent l="0" t="0" r="0" b="0"/>
            <wp:docPr id="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but associated with evolving temporal results </w:t>
      </w:r>
      <w:r>
        <w:rPr>
          <w:rFonts w:ascii="Google Sans Text" w:eastAsia="Google Sans Text" w:hAnsi="Google Sans Text" w:cs="Google Sans Text"/>
          <w:noProof/>
          <w:color w:val="1F1F1F"/>
        </w:rPr>
        <w:drawing>
          <wp:inline distT="19050" distB="19050" distL="19050" distR="19050" wp14:anchorId="2EB491FE" wp14:editId="2EB491FF">
            <wp:extent cx="82153" cy="197168"/>
            <wp:effectExtent l="0" t="0" r="0" b="0"/>
            <wp:docPr id="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—the primary objective shifts from simple regression to generative engineering. The goal is to develop an algorithm capable of </w:t>
      </w:r>
      <w:proofErr w:type="spellStart"/>
      <w:r>
        <w:rPr>
          <w:rFonts w:ascii="Google Sans Text" w:eastAsia="Google Sans Text" w:hAnsi="Google Sans Text" w:cs="Google Sans Text"/>
          <w:color w:val="1F1F1F"/>
        </w:rPr>
        <w:t>analyzing</w:t>
      </w:r>
      <w:proofErr w:type="spellEnd"/>
      <w:r>
        <w:rPr>
          <w:rFonts w:ascii="Google Sans Text" w:eastAsia="Google Sans Text" w:hAnsi="Google Sans Text" w:cs="Google Sans Text"/>
          <w:color w:val="1F1F1F"/>
        </w:rPr>
        <w:t xml:space="preserve"> historical trajectories to synthesize a hypothetical 'Set </w:t>
      </w:r>
      <w:r>
        <w:rPr>
          <w:rFonts w:ascii="Google Sans Text" w:eastAsia="Google Sans Text" w:hAnsi="Google Sans Text" w:cs="Google Sans Text"/>
          <w:noProof/>
          <w:color w:val="1F1F1F"/>
        </w:rPr>
        <w:drawing>
          <wp:inline distT="19050" distB="19050" distL="19050" distR="19050" wp14:anchorId="2EB49200" wp14:editId="2EB49201">
            <wp:extent cx="423097" cy="236275"/>
            <wp:effectExtent l="0" t="0" r="0" b="0"/>
            <wp:docPr id="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3097" cy="236275"/>
                    </a:xfrm>
                    <a:prstGeom prst="rect">
                      <a:avLst/>
                    </a:prstGeom>
                    <a:ln/>
                  </pic:spPr>
                </pic:pic>
              </a:graphicData>
            </a:graphic>
          </wp:inline>
        </w:drawing>
      </w:r>
      <w:r>
        <w:rPr>
          <w:rFonts w:ascii="Google Sans Text" w:eastAsia="Google Sans Text" w:hAnsi="Google Sans Text" w:cs="Google Sans Text"/>
          <w:color w:val="1F1F1F"/>
        </w:rPr>
        <w:t xml:space="preserve">' vector. This synthesized vector must satisfy three potentially conflicting criteria: it must maximize the predicted output </w:t>
      </w:r>
      <w:r>
        <w:rPr>
          <w:rFonts w:ascii="Google Sans Text" w:eastAsia="Google Sans Text" w:hAnsi="Google Sans Text" w:cs="Google Sans Text"/>
          <w:noProof/>
          <w:color w:val="1F1F1F"/>
        </w:rPr>
        <w:drawing>
          <wp:inline distT="19050" distB="19050" distL="19050" distR="19050" wp14:anchorId="2EB49202" wp14:editId="2EB49203">
            <wp:extent cx="82153" cy="197168"/>
            <wp:effectExtent l="0" t="0" r="0" b="0"/>
            <wp:docPr id="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it must demonstrate high temporal stability by avoiding volatile "one-hit wonder" spikes, and it must remain strictly within the observed geometric boundaries of the existing dataset.</w:t>
      </w:r>
      <w:r>
        <w:rPr>
          <w:rFonts w:ascii="Google Sans Text" w:eastAsia="Google Sans Text" w:hAnsi="Google Sans Text" w:cs="Google Sans Text"/>
          <w:color w:val="444746"/>
          <w:sz w:val="24"/>
          <w:szCs w:val="24"/>
          <w:vertAlign w:val="superscript"/>
        </w:rPr>
        <w:t>1</w:t>
      </w:r>
    </w:p>
    <w:p w14:paraId="2EB490DE"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Morphological Landscape of Static-Dynamic Mapping</w:t>
      </w:r>
    </w:p>
    <w:p w14:paraId="2EB490DF"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In the architectural framework of sequential panel data, entities are defined by an invariant structural identity—the static vector </w:t>
      </w:r>
      <w:r>
        <w:rPr>
          <w:rFonts w:ascii="Google Sans Text" w:eastAsia="Google Sans Text" w:hAnsi="Google Sans Text" w:cs="Google Sans Text"/>
          <w:noProof/>
          <w:color w:val="1F1F1F"/>
        </w:rPr>
        <w:drawing>
          <wp:inline distT="19050" distB="19050" distL="19050" distR="19050" wp14:anchorId="2EB49204" wp14:editId="2EB49205">
            <wp:extent cx="583491" cy="236699"/>
            <wp:effectExtent l="0" t="0" r="0" b="0"/>
            <wp:docPr id="9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
                    <a:srcRect/>
                    <a:stretch>
                      <a:fillRect/>
                    </a:stretch>
                  </pic:blipFill>
                  <pic:spPr>
                    <a:xfrm>
                      <a:off x="0" y="0"/>
                      <a:ext cx="583491" cy="236699"/>
                    </a:xfrm>
                    <a:prstGeom prst="rect">
                      <a:avLst/>
                    </a:prstGeom>
                    <a:ln/>
                  </pic:spPr>
                </pic:pic>
              </a:graphicData>
            </a:graphic>
          </wp:inline>
        </w:drawing>
      </w:r>
      <w:r>
        <w:rPr>
          <w:rFonts w:ascii="Google Sans Text" w:eastAsia="Google Sans Text" w:hAnsi="Google Sans Text" w:cs="Google Sans Text"/>
          <w:color w:val="1F1F1F"/>
        </w:rPr>
        <w:t xml:space="preserve">. For a dataset where </w:t>
      </w:r>
      <w:r>
        <w:rPr>
          <w:rFonts w:ascii="Google Sans Text" w:eastAsia="Google Sans Text" w:hAnsi="Google Sans Text" w:cs="Google Sans Text"/>
          <w:noProof/>
          <w:color w:val="1F1F1F"/>
        </w:rPr>
        <w:drawing>
          <wp:inline distT="19050" distB="19050" distL="19050" distR="19050" wp14:anchorId="2EB49206" wp14:editId="2EB49207">
            <wp:extent cx="434068" cy="233311"/>
            <wp:effectExtent l="0" t="0" r="0" b="0"/>
            <wp:docPr id="9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4068" cy="233311"/>
                    </a:xfrm>
                    <a:prstGeom prst="rect">
                      <a:avLst/>
                    </a:prstGeom>
                    <a:ln/>
                  </pic:spPr>
                </pic:pic>
              </a:graphicData>
            </a:graphic>
          </wp:inline>
        </w:drawing>
      </w:r>
      <w:r>
        <w:rPr>
          <w:rFonts w:ascii="Google Sans Text" w:eastAsia="Google Sans Text" w:hAnsi="Google Sans Text" w:cs="Google Sans Text"/>
          <w:color w:val="1F1F1F"/>
        </w:rPr>
        <w:t xml:space="preserve">, this vector occupies a </w:t>
      </w:r>
      <w:proofErr w:type="spellStart"/>
      <w:r>
        <w:rPr>
          <w:rFonts w:ascii="Google Sans Text" w:eastAsia="Google Sans Text" w:hAnsi="Google Sans Text" w:cs="Google Sans Text"/>
          <w:color w:val="1F1F1F"/>
        </w:rPr>
        <w:t>hexadimensional</w:t>
      </w:r>
      <w:proofErr w:type="spellEnd"/>
      <w:r>
        <w:rPr>
          <w:rFonts w:ascii="Google Sans Text" w:eastAsia="Google Sans Text" w:hAnsi="Google Sans Text" w:cs="Google Sans Text"/>
          <w:color w:val="1F1F1F"/>
        </w:rPr>
        <w:t xml:space="preserve"> space, representing the fundamental "specifications" or "environmental settings" of the entity. While the coordinates of </w:t>
      </w:r>
      <w:r>
        <w:rPr>
          <w:rFonts w:ascii="Google Sans Text" w:eastAsia="Google Sans Text" w:hAnsi="Google Sans Text" w:cs="Google Sans Text"/>
          <w:noProof/>
          <w:color w:val="1F1F1F"/>
        </w:rPr>
        <w:drawing>
          <wp:inline distT="19050" distB="19050" distL="19050" distR="19050" wp14:anchorId="2EB49208" wp14:editId="2EB49209">
            <wp:extent cx="129863" cy="194794"/>
            <wp:effectExtent l="0" t="0" r="0" b="0"/>
            <wp:docPr id="1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do not change over the observed 30 discrete time steps, the associated result </w:t>
      </w:r>
      <w:r>
        <w:rPr>
          <w:rFonts w:ascii="Google Sans Text" w:eastAsia="Google Sans Text" w:hAnsi="Google Sans Text" w:cs="Google Sans Text"/>
          <w:noProof/>
          <w:color w:val="1F1F1F"/>
        </w:rPr>
        <w:drawing>
          <wp:inline distT="19050" distB="19050" distL="19050" distR="19050" wp14:anchorId="2EB4920A" wp14:editId="2EB4920B">
            <wp:extent cx="82153" cy="197168"/>
            <wp:effectExtent l="0" t="0" r="0" b="0"/>
            <wp:docPr id="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fluctuates. This fluctuation is the dynamic response of the static entity to an evolving environment or an internal state transition. Understanding this relationship requires a shift from static classification toward mechanistic perception and structure-function </w:t>
      </w:r>
      <w:proofErr w:type="spellStart"/>
      <w:r>
        <w:rPr>
          <w:rFonts w:ascii="Google Sans Text" w:eastAsia="Google Sans Text" w:hAnsi="Google Sans Text" w:cs="Google Sans Text"/>
          <w:color w:val="1F1F1F"/>
        </w:rPr>
        <w:t>modeling</w:t>
      </w:r>
      <w:proofErr w:type="spell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similar to</w:t>
      </w:r>
      <w:proofErr w:type="gramEnd"/>
      <w:r>
        <w:rPr>
          <w:rFonts w:ascii="Google Sans Text" w:eastAsia="Google Sans Text" w:hAnsi="Google Sans Text" w:cs="Google Sans Text"/>
          <w:color w:val="1F1F1F"/>
        </w:rPr>
        <w:t xml:space="preserve"> the transition observed in blood-brain barrier permeability prediction where physicochemical properties (static) are mapped to dynamic biological transport mechanisms.</w:t>
      </w:r>
      <w:r>
        <w:rPr>
          <w:rFonts w:ascii="Google Sans Text" w:eastAsia="Google Sans Text" w:hAnsi="Google Sans Text" w:cs="Google Sans Text"/>
          <w:color w:val="444746"/>
          <w:sz w:val="24"/>
          <w:szCs w:val="24"/>
          <w:vertAlign w:val="superscript"/>
        </w:rPr>
        <w:t>4</w:t>
      </w:r>
    </w:p>
    <w:p w14:paraId="2EB490E0"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heterogeneity of multivariate time series data suggests that the mapping from </w:t>
      </w:r>
      <w:r>
        <w:rPr>
          <w:rFonts w:ascii="Google Sans Text" w:eastAsia="Google Sans Text" w:hAnsi="Google Sans Text" w:cs="Google Sans Text"/>
          <w:noProof/>
          <w:color w:val="1F1F1F"/>
        </w:rPr>
        <w:drawing>
          <wp:inline distT="19050" distB="19050" distL="19050" distR="19050" wp14:anchorId="2EB4920C" wp14:editId="2EB4920D">
            <wp:extent cx="129863" cy="194794"/>
            <wp:effectExtent l="0" t="0" r="0" b="0"/>
            <wp:docPr id="10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to </w:t>
      </w:r>
      <w:r>
        <w:rPr>
          <w:rFonts w:ascii="Google Sans Text" w:eastAsia="Google Sans Text" w:hAnsi="Google Sans Text" w:cs="Google Sans Text"/>
          <w:noProof/>
          <w:color w:val="1F1F1F"/>
        </w:rPr>
        <w:drawing>
          <wp:inline distT="19050" distB="19050" distL="19050" distR="19050" wp14:anchorId="2EB4920E" wp14:editId="2EB4920F">
            <wp:extent cx="82153" cy="197168"/>
            <wp:effectExtent l="0" t="0" r="0" b="0"/>
            <wp:docPr id="1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is not merely a direct function but a temporal process influenced by external factors and </w:t>
      </w:r>
      <w:r>
        <w:rPr>
          <w:rFonts w:ascii="Google Sans Text" w:eastAsia="Google Sans Text" w:hAnsi="Google Sans Text" w:cs="Google Sans Text"/>
          <w:color w:val="1F1F1F"/>
        </w:rPr>
        <w:lastRenderedPageBreak/>
        <w:t>historical persistence. Existing approaches often neglect this heterogeneity, which limits their effectiveness in real-world scenarios such as industrial key performance indicator (KPI) forecasting. To address this, one must consider a hybrid forecasting model that disentangles the trend and periodic components of the results before integrating them with the static representations.</w:t>
      </w:r>
      <w:r>
        <w:rPr>
          <w:rFonts w:ascii="Google Sans Text" w:eastAsia="Google Sans Text" w:hAnsi="Google Sans Text" w:cs="Google Sans Text"/>
          <w:color w:val="444746"/>
          <w:sz w:val="24"/>
          <w:szCs w:val="24"/>
          <w:vertAlign w:val="superscript"/>
        </w:rPr>
        <w:t>1</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167178" w14:paraId="2EB490E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Component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2"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Type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3"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Dimensionality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Temporal Nature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5"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 in Synthesis</w:t>
            </w:r>
          </w:p>
        </w:tc>
      </w:tr>
      <w:tr w:rsidR="00167178" w14:paraId="2EB490E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7"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Entity Identity (</w:t>
            </w:r>
            <w:r>
              <w:rPr>
                <w:rFonts w:ascii="Google Sans Text" w:eastAsia="Google Sans Text" w:hAnsi="Google Sans Text" w:cs="Google Sans Text"/>
                <w:noProof/>
                <w:color w:val="1F1F1F"/>
              </w:rPr>
              <w:drawing>
                <wp:inline distT="19050" distB="19050" distL="19050" distR="19050" wp14:anchorId="2EB49210" wp14:editId="2EB49211">
                  <wp:extent cx="129863" cy="194794"/>
                  <wp:effectExtent l="0" t="0" r="0" b="0"/>
                  <wp:docPr id="1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8"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Static Vector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9"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12" wp14:editId="2EB49213">
                  <wp:extent cx="434068" cy="233311"/>
                  <wp:effectExtent l="0" t="0" r="0" b="0"/>
                  <wp:docPr id="1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4068" cy="23331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Time-invariant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Design parameters</w:t>
            </w:r>
          </w:p>
        </w:tc>
      </w:tr>
      <w:tr w:rsidR="00167178" w14:paraId="2EB490F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D"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Outcome (</w:t>
            </w:r>
            <w:r>
              <w:rPr>
                <w:rFonts w:ascii="Google Sans Text" w:eastAsia="Google Sans Text" w:hAnsi="Google Sans Text" w:cs="Google Sans Text"/>
                <w:noProof/>
                <w:color w:val="1F1F1F"/>
              </w:rPr>
              <w:drawing>
                <wp:inline distT="19050" distB="19050" distL="19050" distR="19050" wp14:anchorId="2EB49214" wp14:editId="2EB49215">
                  <wp:extent cx="82153" cy="197168"/>
                  <wp:effectExtent l="0" t="0" r="0" b="0"/>
                  <wp:docPr id="1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E"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Scalar Result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EF"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16" wp14:editId="2EB49217">
                  <wp:extent cx="395968" cy="195272"/>
                  <wp:effectExtent l="0" t="0" r="0" b="0"/>
                  <wp:docPr id="1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
                          <a:srcRect/>
                          <a:stretch>
                            <a:fillRect/>
                          </a:stretch>
                        </pic:blipFill>
                        <pic:spPr>
                          <a:xfrm>
                            <a:off x="0" y="0"/>
                            <a:ext cx="395968" cy="195272"/>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Time-variant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Performance metric</w:t>
            </w:r>
          </w:p>
        </w:tc>
      </w:tr>
      <w:tr w:rsidR="00167178" w14:paraId="2EB490F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3"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Temporal Context (</w:t>
            </w:r>
            <w:r>
              <w:rPr>
                <w:rFonts w:ascii="Google Sans Text" w:eastAsia="Google Sans Text" w:hAnsi="Google Sans Text" w:cs="Google Sans Text"/>
                <w:noProof/>
                <w:color w:val="1F1F1F"/>
              </w:rPr>
              <w:drawing>
                <wp:inline distT="19050" distB="19050" distL="19050" distR="19050" wp14:anchorId="2EB49218" wp14:editId="2EB49219">
                  <wp:extent cx="105541" cy="238856"/>
                  <wp:effectExtent l="0" t="0" r="0" b="0"/>
                  <wp:docPr id="1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105541" cy="238856"/>
                          </a:xfrm>
                          <a:prstGeom prst="rect">
                            <a:avLst/>
                          </a:prstGeom>
                          <a:ln/>
                        </pic:spPr>
                      </pic:pic>
                    </a:graphicData>
                  </a:graphic>
                </wp:inline>
              </w:drawing>
            </w:r>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Sequential 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5"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1A" wp14:editId="2EB4921B">
                  <wp:extent cx="1018584" cy="196091"/>
                  <wp:effectExtent l="0" t="0" r="0" b="0"/>
                  <wp:docPr id="11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1018584" cy="196091"/>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6"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Discrete Step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7"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Historical trajectory</w:t>
            </w:r>
          </w:p>
        </w:tc>
      </w:tr>
      <w:tr w:rsidR="00167178" w14:paraId="2EB490F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9"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Stability Horizon (</w:t>
            </w:r>
            <w:r>
              <w:rPr>
                <w:rFonts w:ascii="Google Sans Text" w:eastAsia="Google Sans Text" w:hAnsi="Google Sans Text" w:cs="Google Sans Text"/>
                <w:noProof/>
                <w:color w:val="1F1F1F"/>
              </w:rPr>
              <w:drawing>
                <wp:inline distT="19050" distB="19050" distL="19050" distR="19050" wp14:anchorId="2EB4921C" wp14:editId="2EB4921D">
                  <wp:extent cx="101883" cy="230578"/>
                  <wp:effectExtent l="0" t="0" r="0" b="0"/>
                  <wp:docPr id="1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101883" cy="230578"/>
                          </a:xfrm>
                          <a:prstGeom prst="rect">
                            <a:avLst/>
                          </a:prstGeom>
                          <a:ln/>
                        </pic:spPr>
                      </pic:pic>
                    </a:graphicData>
                  </a:graphic>
                </wp:inline>
              </w:drawing>
            </w:r>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Moving Window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B"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1E" wp14:editId="2EB4921F">
                  <wp:extent cx="490027" cy="198213"/>
                  <wp:effectExtent l="0" t="0" r="0" b="0"/>
                  <wp:docPr id="7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490027" cy="198213"/>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Local History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0FD"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Variance constraint</w:t>
            </w:r>
          </w:p>
        </w:tc>
      </w:tr>
    </w:tbl>
    <w:p w14:paraId="2EB490FF" w14:textId="77777777" w:rsidR="00167178"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first question in choosing a model for such data is whether there are theoretical arguments for a dynamic panel model. Given that results evolve over time, there is a clear persistence in the dependent variable that causes it to react only partially to changes in its predictors. It takes time for the system to reach a new equilibrium. If the underlying data-generating process is dynamic, a static model will yield biased estimates of the short-run effects. A dynamic model, by contrast, allows for the computation of both long-run and short-run effects, which is essential for identifying which static vectors </w:t>
      </w:r>
      <w:r>
        <w:rPr>
          <w:rFonts w:ascii="Google Sans Text" w:eastAsia="Google Sans Text" w:hAnsi="Google Sans Text" w:cs="Google Sans Text"/>
          <w:noProof/>
          <w:color w:val="1F1F1F"/>
        </w:rPr>
        <w:drawing>
          <wp:inline distT="19050" distB="19050" distL="19050" distR="19050" wp14:anchorId="2EB49220" wp14:editId="2EB49221">
            <wp:extent cx="129863" cy="194794"/>
            <wp:effectExtent l="0" t="0" r="0" b="0"/>
            <wp:docPr id="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yield sustained high performance over the long term.</w:t>
      </w:r>
      <w:r>
        <w:rPr>
          <w:rFonts w:ascii="Google Sans Text" w:eastAsia="Google Sans Text" w:hAnsi="Google Sans Text" w:cs="Google Sans Text"/>
          <w:color w:val="444746"/>
          <w:sz w:val="24"/>
          <w:szCs w:val="24"/>
          <w:vertAlign w:val="superscript"/>
        </w:rPr>
        <w:t>5</w:t>
      </w:r>
    </w:p>
    <w:p w14:paraId="2EB49100"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Overcoming Dynamic Bias in Sequential Analysis</w:t>
      </w:r>
    </w:p>
    <w:p w14:paraId="2EB49101"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A critical obstacle in </w:t>
      </w:r>
      <w:proofErr w:type="spellStart"/>
      <w:r>
        <w:rPr>
          <w:rFonts w:ascii="Google Sans Text" w:eastAsia="Google Sans Text" w:hAnsi="Google Sans Text" w:cs="Google Sans Text"/>
          <w:color w:val="1F1F1F"/>
        </w:rPr>
        <w:t>analyzing</w:t>
      </w:r>
      <w:proofErr w:type="spellEnd"/>
      <w:r>
        <w:rPr>
          <w:rFonts w:ascii="Google Sans Text" w:eastAsia="Google Sans Text" w:hAnsi="Google Sans Text" w:cs="Google Sans Text"/>
          <w:color w:val="1F1F1F"/>
        </w:rPr>
        <w:t xml:space="preserve"> </w:t>
      </w:r>
      <w:r>
        <w:rPr>
          <w:rFonts w:ascii="Google Sans Text" w:eastAsia="Google Sans Text" w:hAnsi="Google Sans Text" w:cs="Google Sans Text"/>
          <w:noProof/>
          <w:color w:val="1F1F1F"/>
        </w:rPr>
        <w:drawing>
          <wp:inline distT="19050" distB="19050" distL="19050" distR="19050" wp14:anchorId="2EB49222" wp14:editId="2EB49223">
            <wp:extent cx="105541" cy="238856"/>
            <wp:effectExtent l="0" t="0" r="0" b="0"/>
            <wp:docPr id="7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105541" cy="238856"/>
                    </a:xfrm>
                    <a:prstGeom prst="rect">
                      <a:avLst/>
                    </a:prstGeom>
                    <a:ln/>
                  </pic:spPr>
                </pic:pic>
              </a:graphicData>
            </a:graphic>
          </wp:inline>
        </w:drawing>
      </w:r>
      <w:r>
        <w:rPr>
          <w:rFonts w:ascii="Google Sans Text" w:eastAsia="Google Sans Text" w:hAnsi="Google Sans Text" w:cs="Google Sans Text"/>
          <w:color w:val="1F1F1F"/>
        </w:rPr>
        <w:t xml:space="preserve"> sequential sets is the emergence of dynamic bias. This bias arises in fixed-effects panel estimators when dynamic feedback—where past outcomes </w:t>
      </w:r>
      <w:r>
        <w:rPr>
          <w:rFonts w:ascii="Google Sans Text" w:eastAsia="Google Sans Text" w:hAnsi="Google Sans Text" w:cs="Google Sans Text"/>
          <w:color w:val="1F1F1F"/>
        </w:rPr>
        <w:lastRenderedPageBreak/>
        <w:t xml:space="preserve">impact current outcomes—is ignored in the estimating equation. Such feedback is a common feature of complex systems ranging from economic growth to agricultural yields. When models omit past outcomes, the de-meaning or differencing processes used to account for fixed effects generate confounding in the data. This generated confounding leads to inaccurate estimates of the relationship between </w:t>
      </w:r>
      <w:r>
        <w:rPr>
          <w:rFonts w:ascii="Google Sans Text" w:eastAsia="Google Sans Text" w:hAnsi="Google Sans Text" w:cs="Google Sans Text"/>
          <w:noProof/>
          <w:color w:val="1F1F1F"/>
        </w:rPr>
        <w:drawing>
          <wp:inline distT="19050" distB="19050" distL="19050" distR="19050" wp14:anchorId="2EB49224" wp14:editId="2EB49225">
            <wp:extent cx="129863" cy="194794"/>
            <wp:effectExtent l="0" t="0" r="0" b="0"/>
            <wp:docPr id="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and </w:t>
      </w:r>
      <w:r>
        <w:rPr>
          <w:rFonts w:ascii="Google Sans Text" w:eastAsia="Google Sans Text" w:hAnsi="Google Sans Text" w:cs="Google Sans Text"/>
          <w:noProof/>
          <w:color w:val="1F1F1F"/>
        </w:rPr>
        <w:drawing>
          <wp:inline distT="19050" distB="19050" distL="19050" distR="19050" wp14:anchorId="2EB49226" wp14:editId="2EB49227">
            <wp:extent cx="82153" cy="197168"/>
            <wp:effectExtent l="0" t="0" r="0" b="0"/>
            <wp:docPr id="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even if the variables were randomly assigned.</w:t>
      </w:r>
      <w:r>
        <w:rPr>
          <w:rFonts w:ascii="Google Sans Text" w:eastAsia="Google Sans Text" w:hAnsi="Google Sans Text" w:cs="Google Sans Text"/>
          <w:color w:val="444746"/>
          <w:sz w:val="24"/>
          <w:szCs w:val="24"/>
          <w:vertAlign w:val="superscript"/>
        </w:rPr>
        <w:t>6</w:t>
      </w:r>
    </w:p>
    <w:p w14:paraId="2EB49102"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To recover consistent results, the optimization algorithm must incorporate a bias-correction mechanism that accounts for both dynamic bias and the potential Nickell bias associated with including lagged dependent variables in short- </w:t>
      </w:r>
      <w:r>
        <w:rPr>
          <w:rFonts w:ascii="Google Sans Text" w:eastAsia="Google Sans Text" w:hAnsi="Google Sans Text" w:cs="Google Sans Text"/>
          <w:noProof/>
          <w:color w:val="1F1F1F"/>
        </w:rPr>
        <w:drawing>
          <wp:inline distT="19050" distB="19050" distL="19050" distR="19050" wp14:anchorId="2EB49228" wp14:editId="2EB49229">
            <wp:extent cx="133350" cy="238919"/>
            <wp:effectExtent l="0" t="0" r="0" b="0"/>
            <wp:docPr id="8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7"/>
                    <a:srcRect/>
                    <a:stretch>
                      <a:fillRect/>
                    </a:stretch>
                  </pic:blipFill>
                  <pic:spPr>
                    <a:xfrm>
                      <a:off x="0" y="0"/>
                      <a:ext cx="133350" cy="238919"/>
                    </a:xfrm>
                    <a:prstGeom prst="rect">
                      <a:avLst/>
                    </a:prstGeom>
                    <a:ln/>
                  </pic:spPr>
                </pic:pic>
              </a:graphicData>
            </a:graphic>
          </wp:inline>
        </w:drawing>
      </w:r>
      <w:r>
        <w:rPr>
          <w:rFonts w:ascii="Google Sans Text" w:eastAsia="Google Sans Text" w:hAnsi="Google Sans Text" w:cs="Google Sans Text"/>
          <w:color w:val="1F1F1F"/>
        </w:rPr>
        <w:t xml:space="preserve"> panels. In settings where </w:t>
      </w:r>
      <w:r>
        <w:rPr>
          <w:rFonts w:ascii="Google Sans Text" w:eastAsia="Google Sans Text" w:hAnsi="Google Sans Text" w:cs="Google Sans Text"/>
          <w:noProof/>
          <w:color w:val="1F1F1F"/>
        </w:rPr>
        <w:drawing>
          <wp:inline distT="19050" distB="19050" distL="19050" distR="19050" wp14:anchorId="2EB4922A" wp14:editId="2EB4922B">
            <wp:extent cx="563676" cy="235321"/>
            <wp:effectExtent l="0" t="0" r="0" b="0"/>
            <wp:docPr id="8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63676" cy="235321"/>
                    </a:xfrm>
                    <a:prstGeom prst="rect">
                      <a:avLst/>
                    </a:prstGeom>
                    <a:ln/>
                  </pic:spPr>
                </pic:pic>
              </a:graphicData>
            </a:graphic>
          </wp:inline>
        </w:drawing>
      </w:r>
      <w:r>
        <w:rPr>
          <w:rFonts w:ascii="Google Sans Text" w:eastAsia="Google Sans Text" w:hAnsi="Google Sans Text" w:cs="Google Sans Text"/>
          <w:color w:val="1F1F1F"/>
        </w:rPr>
        <w:t xml:space="preserve">, the bias might be less severe than in </w:t>
      </w:r>
      <w:r>
        <w:rPr>
          <w:rFonts w:ascii="Google Sans Text" w:eastAsia="Google Sans Text" w:hAnsi="Google Sans Text" w:cs="Google Sans Text"/>
          <w:noProof/>
          <w:color w:val="1F1F1F"/>
        </w:rPr>
        <w:drawing>
          <wp:inline distT="19050" distB="19050" distL="19050" distR="19050" wp14:anchorId="2EB4922C" wp14:editId="2EB4922D">
            <wp:extent cx="471488" cy="233034"/>
            <wp:effectExtent l="0" t="0" r="0" b="0"/>
            <wp:docPr id="8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471488" cy="233034"/>
                    </a:xfrm>
                    <a:prstGeom prst="rect">
                      <a:avLst/>
                    </a:prstGeom>
                    <a:ln/>
                  </pic:spPr>
                </pic:pic>
              </a:graphicData>
            </a:graphic>
          </wp:inline>
        </w:drawing>
      </w:r>
      <w:r>
        <w:rPr>
          <w:rFonts w:ascii="Google Sans Text" w:eastAsia="Google Sans Text" w:hAnsi="Google Sans Text" w:cs="Google Sans Text"/>
          <w:color w:val="1F1F1F"/>
        </w:rPr>
        <w:t xml:space="preserve"> panels, but it remains a significant factor in high-stakes optimization. The recovery of consistent performance effects involves subtracting an estimate of the bias from the estimated coefficients, an approach that has been shown to outperform traditional instrumental variable methods like Arellano-Bond in certain simulations.</w:t>
      </w:r>
      <w:r>
        <w:rPr>
          <w:rFonts w:ascii="Google Sans Text" w:eastAsia="Google Sans Text" w:hAnsi="Google Sans Text" w:cs="Google Sans Text"/>
          <w:color w:val="444746"/>
          <w:sz w:val="24"/>
          <w:szCs w:val="24"/>
          <w:vertAlign w:val="superscript"/>
        </w:rPr>
        <w:t>6</w:t>
      </w:r>
    </w:p>
    <w:p w14:paraId="2EB49103"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relationship between the static vector and the dynamic result can be formulated as a partially linear panel regression model, where the effect of the static features is integrated with a non-parametric temporal component. This allows the algorithm to learn the shape of the performance landscape while simultaneously accounting for the time-varying shocks that affect all entities. By understanding the "dynamic feedback" mechanism, the synthesizer can predict not just which vector will perform well in Set 31, but which vector has the inherent "momentum" or "equilibrium" to maintain that performance.</w:t>
      </w:r>
      <w:r>
        <w:rPr>
          <w:rFonts w:ascii="Google Sans Text" w:eastAsia="Google Sans Text" w:hAnsi="Google Sans Text" w:cs="Google Sans Text"/>
          <w:color w:val="444746"/>
          <w:sz w:val="24"/>
          <w:szCs w:val="24"/>
          <w:vertAlign w:val="superscript"/>
        </w:rPr>
        <w:t>5</w:t>
      </w:r>
    </w:p>
    <w:p w14:paraId="2EB49104"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Mathematical Foundations of Temporal Stability</w:t>
      </w:r>
    </w:p>
    <w:p w14:paraId="2EB49105"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user's request explicitly defines stability as the maintenance of a high </w:t>
      </w:r>
      <w:r>
        <w:rPr>
          <w:rFonts w:ascii="Google Sans Text" w:eastAsia="Google Sans Text" w:hAnsi="Google Sans Text" w:cs="Google Sans Text"/>
          <w:noProof/>
          <w:color w:val="1F1F1F"/>
        </w:rPr>
        <w:drawing>
          <wp:inline distT="19050" distB="19050" distL="19050" distR="19050" wp14:anchorId="2EB4922E" wp14:editId="2EB4922F">
            <wp:extent cx="82153" cy="197168"/>
            <wp:effectExtent l="0" t="0" r="0" b="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value with minimal variance across the most recent </w:t>
      </w:r>
      <w:r>
        <w:rPr>
          <w:rFonts w:ascii="Google Sans Text" w:eastAsia="Google Sans Text" w:hAnsi="Google Sans Text" w:cs="Google Sans Text"/>
          <w:noProof/>
          <w:color w:val="1F1F1F"/>
        </w:rPr>
        <w:drawing>
          <wp:inline distT="19050" distB="19050" distL="19050" distR="19050" wp14:anchorId="2EB49230" wp14:editId="2EB49231">
            <wp:extent cx="101883" cy="230578"/>
            <wp:effectExtent l="0" t="0" r="0" b="0"/>
            <wp:docPr id="8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101883" cy="230578"/>
                    </a:xfrm>
                    <a:prstGeom prst="rect">
                      <a:avLst/>
                    </a:prstGeom>
                    <a:ln/>
                  </pic:spPr>
                </pic:pic>
              </a:graphicData>
            </a:graphic>
          </wp:inline>
        </w:drawing>
      </w:r>
      <w:r>
        <w:rPr>
          <w:rFonts w:ascii="Google Sans Text" w:eastAsia="Google Sans Text" w:hAnsi="Google Sans Text" w:cs="Google Sans Text"/>
          <w:color w:val="1F1F1F"/>
        </w:rPr>
        <w:t xml:space="preserve"> sets. This requirement necessitates the integration of mean-variance analysis into the core optimization objective. Originally pioneered by Harry Markowitz for portfolio optimization, this framework seeks to balance the trade-off between reward (expected return) and risk (variance).</w:t>
      </w:r>
      <w:r>
        <w:rPr>
          <w:rFonts w:ascii="Google Sans Text" w:eastAsia="Google Sans Text" w:hAnsi="Google Sans Text" w:cs="Google Sans Text"/>
          <w:color w:val="444746"/>
          <w:sz w:val="24"/>
          <w:szCs w:val="24"/>
          <w:vertAlign w:val="superscript"/>
        </w:rPr>
        <w:t>9</w:t>
      </w:r>
    </w:p>
    <w:p w14:paraId="2EB49106" w14:textId="77777777" w:rsidR="0016717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In the context of vector synthesis, we define the performance objectives for a candidate vector </w:t>
      </w:r>
      <w:r>
        <w:rPr>
          <w:rFonts w:ascii="Google Sans Text" w:eastAsia="Google Sans Text" w:hAnsi="Google Sans Text" w:cs="Google Sans Text"/>
          <w:noProof/>
          <w:color w:val="1F1F1F"/>
        </w:rPr>
        <w:drawing>
          <wp:inline distT="19050" distB="19050" distL="19050" distR="19050" wp14:anchorId="2EB49232" wp14:editId="2EB49233">
            <wp:extent cx="222222" cy="238889"/>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as follows:</w:t>
      </w:r>
    </w:p>
    <w:p w14:paraId="2EB49107" w14:textId="77777777" w:rsidR="0016717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Predicted Reward:</w:t>
      </w:r>
      <w:r>
        <w:rPr>
          <w:rFonts w:ascii="Google Sans Text" w:eastAsia="Google Sans Text" w:hAnsi="Google Sans Text" w:cs="Google Sans Text"/>
          <w:color w:val="1F1F1F"/>
        </w:rPr>
        <w:t xml:space="preserve"> The expectation of the result in the next step, </w:t>
      </w:r>
      <w:r>
        <w:rPr>
          <w:rFonts w:ascii="Google Sans Text" w:eastAsia="Google Sans Text" w:hAnsi="Google Sans Text" w:cs="Google Sans Text"/>
          <w:noProof/>
          <w:color w:val="1F1F1F"/>
        </w:rPr>
        <w:drawing>
          <wp:inline distT="19050" distB="19050" distL="19050" distR="19050" wp14:anchorId="2EB49234" wp14:editId="2EB49235">
            <wp:extent cx="856570" cy="234602"/>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856570" cy="234602"/>
                    </a:xfrm>
                    <a:prstGeom prst="rect">
                      <a:avLst/>
                    </a:prstGeom>
                    <a:ln/>
                  </pic:spPr>
                </pic:pic>
              </a:graphicData>
            </a:graphic>
          </wp:inline>
        </w:drawing>
      </w:r>
      <w:r>
        <w:rPr>
          <w:rFonts w:ascii="Google Sans Text" w:eastAsia="Google Sans Text" w:hAnsi="Google Sans Text" w:cs="Google Sans Text"/>
          <w:color w:val="1F1F1F"/>
        </w:rPr>
        <w:t>.</w:t>
      </w:r>
    </w:p>
    <w:p w14:paraId="2EB49108" w14:textId="77777777" w:rsidR="00167178"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Temporal Stability:</w:t>
      </w:r>
      <w:r>
        <w:rPr>
          <w:rFonts w:ascii="Google Sans Text" w:eastAsia="Google Sans Text" w:hAnsi="Google Sans Text" w:cs="Google Sans Text"/>
          <w:color w:val="1F1F1F"/>
        </w:rPr>
        <w:t xml:space="preserve"> The inverse of the variance over the window </w:t>
      </w:r>
      <w:r>
        <w:rPr>
          <w:rFonts w:ascii="Google Sans Text" w:eastAsia="Google Sans Text" w:hAnsi="Google Sans Text" w:cs="Google Sans Text"/>
          <w:noProof/>
          <w:color w:val="1F1F1F"/>
        </w:rPr>
        <w:drawing>
          <wp:inline distT="19050" distB="19050" distL="19050" distR="19050" wp14:anchorId="2EB49236" wp14:editId="2EB49237">
            <wp:extent cx="101883" cy="230578"/>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101883" cy="230578"/>
                    </a:xfrm>
                    <a:prstGeom prst="rect">
                      <a:avLst/>
                    </a:prstGeom>
                    <a:ln/>
                  </pic:spPr>
                </pic:pic>
              </a:graphicData>
            </a:graphic>
          </wp:inline>
        </w:drawing>
      </w:r>
      <w:r>
        <w:rPr>
          <w:rFonts w:ascii="Google Sans Text" w:eastAsia="Google Sans Text" w:hAnsi="Google Sans Text" w:cs="Google Sans Text"/>
          <w:color w:val="1F1F1F"/>
        </w:rPr>
        <w:t xml:space="preserve">, denoted as </w:t>
      </w:r>
      <w:r>
        <w:rPr>
          <w:rFonts w:ascii="Google Sans Text" w:eastAsia="Google Sans Text" w:hAnsi="Google Sans Text" w:cs="Google Sans Text"/>
          <w:noProof/>
          <w:color w:val="1F1F1F"/>
        </w:rPr>
        <w:drawing>
          <wp:inline distT="19050" distB="19050" distL="19050" distR="19050" wp14:anchorId="2EB49238" wp14:editId="2EB49239">
            <wp:extent cx="1519580" cy="233364"/>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1519580" cy="233364"/>
                    </a:xfrm>
                    <a:prstGeom prst="rect">
                      <a:avLst/>
                    </a:prstGeom>
                    <a:ln/>
                  </pic:spPr>
                </pic:pic>
              </a:graphicData>
            </a:graphic>
          </wp:inline>
        </w:drawing>
      </w:r>
      <w:r>
        <w:rPr>
          <w:rFonts w:ascii="Google Sans Text" w:eastAsia="Google Sans Text" w:hAnsi="Google Sans Text" w:cs="Google Sans Text"/>
          <w:color w:val="1F1F1F"/>
        </w:rPr>
        <w:t>.</w:t>
      </w:r>
    </w:p>
    <w:p w14:paraId="2EB49109" w14:textId="77777777" w:rsidR="00167178"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 xml:space="preserve">Stability acts as a filter against "one-hit wonders"—vectors that may spike in performance due to a specific temporal anomaly but lack the structural robustness to sustain that output. This is particularly relevant in fields like solar radiation forecasting, where a static station's location and equipment (static) yield dynamic energy readings that are highly volatile. To characterize the "difficulty" of predicting a specific station's output, researchers often use dynamic parameters like the Hurst exponent or a </w:t>
      </w:r>
      <w:proofErr w:type="spellStart"/>
      <w:r>
        <w:rPr>
          <w:rFonts w:ascii="Google Sans Text" w:eastAsia="Google Sans Text" w:hAnsi="Google Sans Text" w:cs="Google Sans Text"/>
          <w:color w:val="1F1F1F"/>
        </w:rPr>
        <w:t>forecastability</w:t>
      </w:r>
      <w:proofErr w:type="spellEnd"/>
      <w:r>
        <w:rPr>
          <w:rFonts w:ascii="Google Sans Text" w:eastAsia="Google Sans Text" w:hAnsi="Google Sans Text" w:cs="Google Sans Text"/>
          <w:color w:val="1F1F1F"/>
        </w:rPr>
        <w:t xml:space="preserve"> coefficient, alongside traditional static parameters like the mean and standard deviation of the radiation distribution.</w:t>
      </w:r>
      <w:r>
        <w:rPr>
          <w:rFonts w:ascii="Google Sans Text" w:eastAsia="Google Sans Text" w:hAnsi="Google Sans Text" w:cs="Google Sans Text"/>
          <w:color w:val="444746"/>
          <w:sz w:val="24"/>
          <w:szCs w:val="24"/>
          <w:vertAlign w:val="superscript"/>
        </w:rPr>
        <w:t>12</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67178" w14:paraId="2EB4910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0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Stability Metric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0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Mathematical Formulation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0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Optimization Intent</w:t>
            </w:r>
          </w:p>
        </w:tc>
      </w:tr>
      <w:tr w:rsidR="00167178" w14:paraId="2EB4911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0E"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Expected Mean (</w:t>
            </w:r>
            <w:r>
              <w:rPr>
                <w:rFonts w:ascii="Google Sans Text" w:eastAsia="Google Sans Text" w:hAnsi="Google Sans Text" w:cs="Google Sans Text"/>
                <w:noProof/>
                <w:color w:val="1F1F1F"/>
              </w:rPr>
              <w:drawing>
                <wp:inline distT="19050" distB="19050" distL="19050" distR="19050" wp14:anchorId="2EB4923A" wp14:editId="2EB4923B">
                  <wp:extent cx="97291" cy="206028"/>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97291" cy="206028"/>
                          </a:xfrm>
                          <a:prstGeom prst="rect">
                            <a:avLst/>
                          </a:prstGeom>
                          <a:ln/>
                        </pic:spPr>
                      </pic:pic>
                    </a:graphicData>
                  </a:graphic>
                </wp:inline>
              </w:drawing>
            </w:r>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0F"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3C" wp14:editId="2EB4923D">
                  <wp:extent cx="1089508" cy="218997"/>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1089508" cy="218997"/>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Maximize overall level</w:t>
            </w:r>
          </w:p>
        </w:tc>
      </w:tr>
      <w:tr w:rsidR="00167178" w14:paraId="2EB4911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2"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Variance (</w:t>
            </w:r>
            <w:r>
              <w:rPr>
                <w:rFonts w:ascii="Google Sans Text" w:eastAsia="Google Sans Text" w:hAnsi="Google Sans Text" w:cs="Google Sans Text"/>
                <w:noProof/>
                <w:color w:val="1F1F1F"/>
              </w:rPr>
              <w:drawing>
                <wp:inline distT="19050" distB="19050" distL="19050" distR="19050" wp14:anchorId="2EB4923E" wp14:editId="2EB4923F">
                  <wp:extent cx="162436" cy="201644"/>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162436" cy="201644"/>
                          </a:xfrm>
                          <a:prstGeom prst="rect">
                            <a:avLst/>
                          </a:prstGeom>
                          <a:ln/>
                        </pic:spPr>
                      </pic:pic>
                    </a:graphicData>
                  </a:graphic>
                </wp:inline>
              </w:drawing>
            </w:r>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3"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40" wp14:editId="2EB49241">
                  <wp:extent cx="1402642" cy="207395"/>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1402642" cy="207395"/>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Minimize volatility</w:t>
            </w:r>
          </w:p>
        </w:tc>
      </w:tr>
      <w:tr w:rsidR="00167178" w14:paraId="2EB4911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6"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Sharpe-like Ratio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7" w14:textId="77777777" w:rsidR="00167178" w:rsidRDefault="00000000">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42" wp14:editId="2EB49243">
                  <wp:extent cx="275970" cy="198698"/>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275970" cy="198698"/>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8"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Maximize risk-adjusted performance</w:t>
            </w:r>
          </w:p>
        </w:tc>
      </w:tr>
      <w:tr w:rsidR="00167178" w14:paraId="2EB4911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CVaR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E[</w:t>
            </w:r>
            <w:proofErr w:type="gramEnd"/>
            <w:r>
              <w:rPr>
                <w:rFonts w:ascii="Google Sans Text" w:eastAsia="Google Sans Text" w:hAnsi="Google Sans Text" w:cs="Google Sans Text"/>
                <w:color w:val="1F1F1F"/>
              </w:rPr>
              <w:t>z</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1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z \</w:t>
            </w:r>
            <w:proofErr w:type="spellStart"/>
            <w:r>
              <w:rPr>
                <w:rFonts w:ascii="Google Sans Text" w:eastAsia="Google Sans Text" w:hAnsi="Google Sans Text" w:cs="Google Sans Text"/>
                <w:color w:val="1F1F1F"/>
              </w:rPr>
              <w:t>leq</w:t>
            </w:r>
            <w:proofErr w:type="spellEnd"/>
            <w:r>
              <w:rPr>
                <w:rFonts w:ascii="Google Sans Text" w:eastAsia="Google Sans Text" w:hAnsi="Google Sans Text" w:cs="Google Sans Text"/>
                <w:color w:val="1F1F1F"/>
              </w:rPr>
              <w:t xml:space="preserve"> z_\</w:t>
            </w:r>
            <w:proofErr w:type="gramStart"/>
            <w:r>
              <w:rPr>
                <w:rFonts w:ascii="Google Sans Text" w:eastAsia="Google Sans Text" w:hAnsi="Google Sans Text" w:cs="Google Sans Text"/>
                <w:color w:val="1F1F1F"/>
              </w:rPr>
              <w:t>alpha]$</w:t>
            </w:r>
            <w:proofErr w:type="gramEnd"/>
          </w:p>
        </w:tc>
      </w:tr>
    </w:tbl>
    <w:p w14:paraId="2EB4911E" w14:textId="77777777" w:rsidR="00167178"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While variance is a standard measure of risk, it is not always a "coherent" risk measure. Some researchers prefer </w:t>
      </w:r>
      <w:r w:rsidRPr="00E60A3E">
        <w:rPr>
          <w:rFonts w:ascii="Google Sans Text" w:eastAsia="Google Sans Text" w:hAnsi="Google Sans Text" w:cs="Google Sans Text"/>
          <w:b/>
          <w:bCs/>
          <w:color w:val="1F1F1F"/>
        </w:rPr>
        <w:t>Conditional Value-at-Risk (CVaR),</w:t>
      </w:r>
      <w:r>
        <w:rPr>
          <w:rFonts w:ascii="Google Sans Text" w:eastAsia="Google Sans Text" w:hAnsi="Google Sans Text" w:cs="Google Sans Text"/>
          <w:color w:val="1F1F1F"/>
        </w:rPr>
        <w:t xml:space="preserve"> which focuses on the "tail" of the performance distribution—limiting the potential for extreme negative results. In the synthesis of the Set </w:t>
      </w:r>
      <w:r>
        <w:rPr>
          <w:rFonts w:ascii="Google Sans Text" w:eastAsia="Google Sans Text" w:hAnsi="Google Sans Text" w:cs="Google Sans Text"/>
          <w:noProof/>
          <w:color w:val="1F1F1F"/>
        </w:rPr>
        <w:drawing>
          <wp:inline distT="19050" distB="19050" distL="19050" distR="19050" wp14:anchorId="2EB49244" wp14:editId="2EB49245">
            <wp:extent cx="423097" cy="236275"/>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3097" cy="236275"/>
                    </a:xfrm>
                    <a:prstGeom prst="rect">
                      <a:avLst/>
                    </a:prstGeom>
                    <a:ln/>
                  </pic:spPr>
                </pic:pic>
              </a:graphicData>
            </a:graphic>
          </wp:inline>
        </w:drawing>
      </w:r>
      <w:r>
        <w:rPr>
          <w:rFonts w:ascii="Google Sans Text" w:eastAsia="Google Sans Text" w:hAnsi="Google Sans Text" w:cs="Google Sans Text"/>
          <w:color w:val="1F1F1F"/>
        </w:rPr>
        <w:t xml:space="preserve"> vector, the objective function should ideally be multi-objective, allowing the user to select from a Pareto front of solutions ranging from high-risk/high-reward to low-risk/low-reward.</w:t>
      </w:r>
      <w:r>
        <w:rPr>
          <w:rFonts w:ascii="Google Sans Text" w:eastAsia="Google Sans Text" w:hAnsi="Google Sans Text" w:cs="Google Sans Text"/>
          <w:color w:val="444746"/>
          <w:sz w:val="24"/>
          <w:szCs w:val="24"/>
          <w:vertAlign w:val="superscript"/>
        </w:rPr>
        <w:t>10</w:t>
      </w:r>
    </w:p>
    <w:p w14:paraId="2EB4911F"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persistence of the result </w:t>
      </w:r>
      <w:r>
        <w:rPr>
          <w:rFonts w:ascii="Google Sans Text" w:eastAsia="Google Sans Text" w:hAnsi="Google Sans Text" w:cs="Google Sans Text"/>
          <w:noProof/>
          <w:color w:val="1F1F1F"/>
        </w:rPr>
        <w:drawing>
          <wp:inline distT="19050" distB="19050" distL="19050" distR="19050" wp14:anchorId="2EB49246" wp14:editId="2EB49247">
            <wp:extent cx="82153" cy="19716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across the </w:t>
      </w:r>
      <w:r>
        <w:rPr>
          <w:rFonts w:ascii="Google Sans Text" w:eastAsia="Google Sans Text" w:hAnsi="Google Sans Text" w:cs="Google Sans Text"/>
          <w:noProof/>
          <w:color w:val="1F1F1F"/>
        </w:rPr>
        <w:drawing>
          <wp:inline distT="19050" distB="19050" distL="19050" distR="19050" wp14:anchorId="2EB49248" wp14:editId="2EB49249">
            <wp:extent cx="105541" cy="238856"/>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105541" cy="238856"/>
                    </a:xfrm>
                    <a:prstGeom prst="rect">
                      <a:avLst/>
                    </a:prstGeom>
                    <a:ln/>
                  </pic:spPr>
                </pic:pic>
              </a:graphicData>
            </a:graphic>
          </wp:inline>
        </w:drawing>
      </w:r>
      <w:r>
        <w:rPr>
          <w:rFonts w:ascii="Google Sans Text" w:eastAsia="Google Sans Text" w:hAnsi="Google Sans Text" w:cs="Google Sans Text"/>
          <w:color w:val="1F1F1F"/>
        </w:rPr>
        <w:t xml:space="preserve"> sets can be </w:t>
      </w:r>
      <w:proofErr w:type="spellStart"/>
      <w:r>
        <w:rPr>
          <w:rFonts w:ascii="Google Sans Text" w:eastAsia="Google Sans Text" w:hAnsi="Google Sans Text" w:cs="Google Sans Text"/>
          <w:color w:val="1F1F1F"/>
        </w:rPr>
        <w:t>modeled</w:t>
      </w:r>
      <w:proofErr w:type="spellEnd"/>
      <w:r>
        <w:rPr>
          <w:rFonts w:ascii="Google Sans Text" w:eastAsia="Google Sans Text" w:hAnsi="Google Sans Text" w:cs="Google Sans Text"/>
          <w:color w:val="1F1F1F"/>
        </w:rPr>
        <w:t xml:space="preserve"> as a partial-adjustment process. A vector </w:t>
      </w:r>
      <w:r>
        <w:rPr>
          <w:rFonts w:ascii="Google Sans Text" w:eastAsia="Google Sans Text" w:hAnsi="Google Sans Text" w:cs="Google Sans Text"/>
          <w:noProof/>
          <w:color w:val="1F1F1F"/>
        </w:rPr>
        <w:drawing>
          <wp:inline distT="19050" distB="19050" distL="19050" distR="19050" wp14:anchorId="2EB4924A" wp14:editId="2EB4924B">
            <wp:extent cx="129863" cy="194794"/>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that maintains high </w:t>
      </w:r>
      <w:r>
        <w:rPr>
          <w:rFonts w:ascii="Google Sans Text" w:eastAsia="Google Sans Text" w:hAnsi="Google Sans Text" w:cs="Google Sans Text"/>
          <w:noProof/>
          <w:color w:val="1F1F1F"/>
        </w:rPr>
        <w:drawing>
          <wp:inline distT="19050" distB="19050" distL="19050" distR="19050" wp14:anchorId="2EB4924C" wp14:editId="2EB4924D">
            <wp:extent cx="82153" cy="19716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values across multiple sets demonstrates that its static configuration is well-aligned with the long-term equilibrium of the system. The "stability" constraint effectively forces the generative algorithm to seek these equilibrium-aligned regions of the 6-dimensional space, rather than chasing transient peaks.</w:t>
      </w:r>
      <w:r>
        <w:rPr>
          <w:rFonts w:ascii="Google Sans Text" w:eastAsia="Google Sans Text" w:hAnsi="Google Sans Text" w:cs="Google Sans Text"/>
          <w:color w:val="444746"/>
          <w:sz w:val="24"/>
          <w:szCs w:val="24"/>
          <w:vertAlign w:val="superscript"/>
        </w:rPr>
        <w:t>5</w:t>
      </w:r>
    </w:p>
    <w:p w14:paraId="2EB49120"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Generative Architectures for Synthetic Vector Creation</w:t>
      </w:r>
    </w:p>
    <w:p w14:paraId="2EB49121"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To synthesize a new vector </w:t>
      </w:r>
      <w:r>
        <w:rPr>
          <w:rFonts w:ascii="Google Sans Text" w:eastAsia="Google Sans Text" w:hAnsi="Google Sans Text" w:cs="Google Sans Text"/>
          <w:noProof/>
          <w:color w:val="1F1F1F"/>
        </w:rPr>
        <w:drawing>
          <wp:inline distT="19050" distB="19050" distL="19050" distR="19050" wp14:anchorId="2EB4924E" wp14:editId="2EB4924F">
            <wp:extent cx="222222" cy="23888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rather than simply retrieving one from the existing set, the algorithm must employ a generative paradigm. Generative Artificial Intelligence (GenAI) focuses on learning the underlying global probability distribution of the data, enabling the generation of new samples through distribution-based sampling. Unlike discriminative models that predict a label given an input, generative models capture the full data distribution, which inherently gives them stronger cross-domain generalization capabilities.</w:t>
      </w:r>
      <w:r>
        <w:rPr>
          <w:rFonts w:ascii="Google Sans Text" w:eastAsia="Google Sans Text" w:hAnsi="Google Sans Text" w:cs="Google Sans Text"/>
          <w:color w:val="444746"/>
          <w:sz w:val="24"/>
          <w:szCs w:val="24"/>
          <w:vertAlign w:val="superscript"/>
        </w:rPr>
        <w:t>15</w:t>
      </w:r>
    </w:p>
    <w:p w14:paraId="2EB49122"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Variational and Adversarial Strategies</w:t>
      </w:r>
    </w:p>
    <w:p w14:paraId="2EB49123"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Generative Adversarial Networks (GANs) and Variational Autoencoders (VAEs) are two dominant paradigms for this task. A VAE can map the 6-dimensional vectors of the </w:t>
      </w:r>
      <w:r>
        <w:rPr>
          <w:rFonts w:ascii="Google Sans Text" w:eastAsia="Google Sans Text" w:hAnsi="Google Sans Text" w:cs="Google Sans Text"/>
          <w:noProof/>
          <w:color w:val="1F1F1F"/>
        </w:rPr>
        <w:drawing>
          <wp:inline distT="19050" distB="19050" distL="19050" distR="19050" wp14:anchorId="2EB49250" wp14:editId="2EB49251">
            <wp:extent cx="96951" cy="24522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96951" cy="245229"/>
                    </a:xfrm>
                    <a:prstGeom prst="rect">
                      <a:avLst/>
                    </a:prstGeom>
                    <a:ln/>
                  </pic:spPr>
                </pic:pic>
              </a:graphicData>
            </a:graphic>
          </wp:inline>
        </w:drawing>
      </w:r>
      <w:r>
        <w:rPr>
          <w:rFonts w:ascii="Google Sans Text" w:eastAsia="Google Sans Text" w:hAnsi="Google Sans Text" w:cs="Google Sans Text"/>
          <w:color w:val="1F1F1F"/>
        </w:rPr>
        <w:t xml:space="preserve"> unique entities into a latent space. By conditioning the VAE on the performance results </w:t>
      </w:r>
      <w:r>
        <w:rPr>
          <w:rFonts w:ascii="Google Sans Text" w:eastAsia="Google Sans Text" w:hAnsi="Google Sans Text" w:cs="Google Sans Text"/>
          <w:noProof/>
          <w:color w:val="1F1F1F"/>
        </w:rPr>
        <w:drawing>
          <wp:inline distT="19050" distB="19050" distL="19050" distR="19050" wp14:anchorId="2EB49252" wp14:editId="2EB49253">
            <wp:extent cx="82153" cy="19716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the decoder can be "queried" to produce a vector </w:t>
      </w:r>
      <w:r>
        <w:rPr>
          <w:rFonts w:ascii="Google Sans Text" w:eastAsia="Google Sans Text" w:hAnsi="Google Sans Text" w:cs="Google Sans Text"/>
          <w:noProof/>
          <w:color w:val="1F1F1F"/>
        </w:rPr>
        <w:drawing>
          <wp:inline distT="19050" distB="19050" distL="19050" distR="19050" wp14:anchorId="2EB49254" wp14:editId="2EB49255">
            <wp:extent cx="222222" cy="238889"/>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that corresponds to a target </w:t>
      </w:r>
      <w:r>
        <w:rPr>
          <w:rFonts w:ascii="Google Sans Text" w:eastAsia="Google Sans Text" w:hAnsi="Google Sans Text" w:cs="Google Sans Text"/>
          <w:noProof/>
          <w:color w:val="1F1F1F"/>
        </w:rPr>
        <w:drawing>
          <wp:inline distT="19050" distB="19050" distL="19050" distR="19050" wp14:anchorId="2EB49256" wp14:editId="2EB49257">
            <wp:extent cx="333800" cy="23530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33800" cy="235302"/>
                    </a:xfrm>
                    <a:prstGeom prst="rect">
                      <a:avLst/>
                    </a:prstGeom>
                    <a:ln/>
                  </pic:spPr>
                </pic:pic>
              </a:graphicData>
            </a:graphic>
          </wp:inline>
        </w:drawing>
      </w:r>
      <w:r>
        <w:rPr>
          <w:rFonts w:ascii="Google Sans Text" w:eastAsia="Google Sans Text" w:hAnsi="Google Sans Text" w:cs="Google Sans Text"/>
          <w:color w:val="1F1F1F"/>
        </w:rPr>
        <w:t xml:space="preserve"> and a target stability profile. In engineering design, these "data distributions" are often comprised of existing designs that lie on a multi-dimensional design manifold; a VAE learns this manifold, ensuring that synthesized designs are physically "plausible".</w:t>
      </w:r>
      <w:r>
        <w:rPr>
          <w:rFonts w:ascii="Google Sans Text" w:eastAsia="Google Sans Text" w:hAnsi="Google Sans Text" w:cs="Google Sans Text"/>
          <w:color w:val="444746"/>
          <w:sz w:val="24"/>
          <w:szCs w:val="24"/>
          <w:vertAlign w:val="superscript"/>
        </w:rPr>
        <w:t>16</w:t>
      </w:r>
    </w:p>
    <w:p w14:paraId="2EB49124"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GANs, specifically bidirectional GANs with dual encoders, can be trained to recognize the features of "normal" or "stable" entities. Any synthesized vector that deviates too significantly from the characteristics of successful historical entities can be flagged or adjusted. This mechanism is crucial for anomaly detection and ensuring that the synthesized vector remains grounded in the "mechanism-relevant" variables of the system.</w:t>
      </w:r>
      <w:r>
        <w:rPr>
          <w:rFonts w:ascii="Google Sans Text" w:eastAsia="Google Sans Text" w:hAnsi="Google Sans Text" w:cs="Google Sans Text"/>
          <w:color w:val="444746"/>
          <w:sz w:val="24"/>
          <w:szCs w:val="24"/>
          <w:vertAlign w:val="superscript"/>
        </w:rPr>
        <w:t>4</w:t>
      </w:r>
    </w:p>
    <w:p w14:paraId="2EB49125"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Diffusion Models and Logic-Guided Vector Fields</w:t>
      </w:r>
    </w:p>
    <w:p w14:paraId="2EB49126"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More recently, Denoising Diffusion Probabilistic Models (DDPMs) have set new baselines in generative </w:t>
      </w:r>
      <w:proofErr w:type="spellStart"/>
      <w:r>
        <w:rPr>
          <w:rFonts w:ascii="Google Sans Text" w:eastAsia="Google Sans Text" w:hAnsi="Google Sans Text" w:cs="Google Sans Text"/>
          <w:color w:val="1F1F1F"/>
        </w:rPr>
        <w:t>modeling</w:t>
      </w:r>
      <w:proofErr w:type="spellEnd"/>
      <w:r>
        <w:rPr>
          <w:rFonts w:ascii="Google Sans Text" w:eastAsia="Google Sans Text" w:hAnsi="Google Sans Text" w:cs="Google Sans Text"/>
          <w:color w:val="1F1F1F"/>
        </w:rPr>
        <w:t xml:space="preserve">. DDPMs work by gradually adding noise to data and then learning to reverse the process. In the context of vector synthesis, a diffusion model can be conditioned on the desired outcome (high </w:t>
      </w:r>
      <w:r>
        <w:rPr>
          <w:rFonts w:ascii="Google Sans Text" w:eastAsia="Google Sans Text" w:hAnsi="Google Sans Text" w:cs="Google Sans Text"/>
          <w:noProof/>
          <w:color w:val="1F1F1F"/>
        </w:rPr>
        <w:drawing>
          <wp:inline distT="19050" distB="19050" distL="19050" distR="19050" wp14:anchorId="2EB49258" wp14:editId="2EB49259">
            <wp:extent cx="333800" cy="235302"/>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33800" cy="235302"/>
                    </a:xfrm>
                    <a:prstGeom prst="rect">
                      <a:avLst/>
                    </a:prstGeom>
                    <a:ln/>
                  </pic:spPr>
                </pic:pic>
              </a:graphicData>
            </a:graphic>
          </wp:inline>
        </w:drawing>
      </w:r>
      <w:r>
        <w:rPr>
          <w:rFonts w:ascii="Google Sans Text" w:eastAsia="Google Sans Text" w:hAnsi="Google Sans Text" w:cs="Google Sans Text"/>
          <w:color w:val="1F1F1F"/>
        </w:rPr>
        <w:t>, low variance). This allows for "conditional sampling" from the original distribution, preserving the validity of the output while guiding the structure toward specific performance motifs.</w:t>
      </w:r>
      <w:r>
        <w:rPr>
          <w:rFonts w:ascii="Google Sans Text" w:eastAsia="Google Sans Text" w:hAnsi="Google Sans Text" w:cs="Google Sans Text"/>
          <w:color w:val="444746"/>
          <w:sz w:val="24"/>
          <w:szCs w:val="24"/>
          <w:vertAlign w:val="superscript"/>
        </w:rPr>
        <w:t>16</w:t>
      </w:r>
    </w:p>
    <w:p w14:paraId="2EB49127"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A significant challenge for deep generative models is the difficulty of incorporating high-level structural constraints. To address the requirement that the synthesized vector must stay within observed bounds, one can use Logic-Guided Vector Fields (LGVF). This neuro-symbolic framework injects symbolic knowledge—specified as differentiable relaxations of </w:t>
      </w:r>
      <w:r>
        <w:rPr>
          <w:rFonts w:ascii="Google Sans Text" w:eastAsia="Google Sans Text" w:hAnsi="Google Sans Text" w:cs="Google Sans Text"/>
          <w:color w:val="1F1F1F"/>
        </w:rPr>
        <w:lastRenderedPageBreak/>
        <w:t>logical constraints—into the generative process. LGVF uses a training-time logic loss to penalize constraint violations and an inference-time adjustment that steers the sampling using constraint gradients. This approach has been shown to reduce constraint violations by up to 82% while maintaining distributional fidelity.</w:t>
      </w:r>
      <w:r>
        <w:rPr>
          <w:rFonts w:ascii="Google Sans Text" w:eastAsia="Google Sans Text" w:hAnsi="Google Sans Text" w:cs="Google Sans Text"/>
          <w:color w:val="444746"/>
          <w:sz w:val="24"/>
          <w:szCs w:val="24"/>
          <w:vertAlign w:val="superscript"/>
        </w:rPr>
        <w:t>20</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67178" w14:paraId="2EB4912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28"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Generative Model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29"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Mechanism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2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Best Use Case</w:t>
            </w:r>
          </w:p>
        </w:tc>
      </w:tr>
      <w:tr w:rsidR="00167178" w14:paraId="2EB4912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2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2D"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Latent space mapping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2E"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Fast sampling of design variations</w:t>
            </w:r>
          </w:p>
        </w:tc>
      </w:tr>
      <w:tr w:rsidR="00167178" w14:paraId="2EB4913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Adversarial training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2"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Capturing high-frequency performance patterns</w:t>
            </w:r>
          </w:p>
        </w:tc>
      </w:tr>
      <w:tr w:rsidR="00167178" w14:paraId="2EB4913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Diffusion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5"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Iterative denoising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6"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High-fidelity, conditional synthesis</w:t>
            </w:r>
          </w:p>
        </w:tc>
      </w:tr>
      <w:tr w:rsidR="00167178" w14:paraId="2EB4913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8"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LGVF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9"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Logic-guided vector fields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3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Enforcing strict geometric/logical bounds</w:t>
            </w:r>
          </w:p>
        </w:tc>
      </w:tr>
    </w:tbl>
    <w:p w14:paraId="2EB4913C" w14:textId="77777777" w:rsidR="00167178"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Geometry of the Search Space: The High-Dimensional Convex Hull</w:t>
      </w:r>
    </w:p>
    <w:p w14:paraId="2EB4913D"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requirement that the synthesized vector </w:t>
      </w:r>
      <w:r>
        <w:rPr>
          <w:rFonts w:ascii="Google Sans Text" w:eastAsia="Google Sans Text" w:hAnsi="Google Sans Text" w:cs="Google Sans Text"/>
          <w:noProof/>
          <w:color w:val="1F1F1F"/>
        </w:rPr>
        <w:drawing>
          <wp:inline distT="19050" distB="19050" distL="19050" distR="19050" wp14:anchorId="2EB4925A" wp14:editId="2EB4925B">
            <wp:extent cx="222222" cy="238889"/>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must stay within the observed bounds of the dataset </w:t>
      </w:r>
      <w:r>
        <w:rPr>
          <w:rFonts w:ascii="Google Sans Text" w:eastAsia="Google Sans Text" w:hAnsi="Google Sans Text" w:cs="Google Sans Text"/>
          <w:noProof/>
          <w:color w:val="1F1F1F"/>
        </w:rPr>
        <w:drawing>
          <wp:inline distT="19050" distB="19050" distL="19050" distR="19050" wp14:anchorId="2EB4925C" wp14:editId="2EB4925D">
            <wp:extent cx="961349" cy="234875"/>
            <wp:effectExtent l="0" t="0" r="0" b="0"/>
            <wp:docPr id="4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961349" cy="234875"/>
                    </a:xfrm>
                    <a:prstGeom prst="rect">
                      <a:avLst/>
                    </a:prstGeom>
                    <a:ln/>
                  </pic:spPr>
                </pic:pic>
              </a:graphicData>
            </a:graphic>
          </wp:inline>
        </w:drawing>
      </w:r>
      <w:r>
        <w:rPr>
          <w:rFonts w:ascii="Google Sans Text" w:eastAsia="Google Sans Text" w:hAnsi="Google Sans Text" w:cs="Google Sans Text"/>
          <w:color w:val="1F1F1F"/>
        </w:rPr>
        <w:t xml:space="preserve"> is a geometric constraint that can be defined by the convex hull. The convex hull of a finite set of points in </w:t>
      </w:r>
      <w:r>
        <w:rPr>
          <w:rFonts w:ascii="Google Sans Text" w:eastAsia="Google Sans Text" w:hAnsi="Google Sans Text" w:cs="Google Sans Text"/>
          <w:noProof/>
          <w:color w:val="1F1F1F"/>
        </w:rPr>
        <w:drawing>
          <wp:inline distT="19050" distB="19050" distL="19050" distR="19050" wp14:anchorId="2EB4925E" wp14:editId="2EB4925F">
            <wp:extent cx="209550" cy="231608"/>
            <wp:effectExtent l="0" t="0" r="0" b="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209550" cy="231608"/>
                    </a:xfrm>
                    <a:prstGeom prst="rect">
                      <a:avLst/>
                    </a:prstGeom>
                    <a:ln/>
                  </pic:spPr>
                </pic:pic>
              </a:graphicData>
            </a:graphic>
          </wp:inline>
        </w:drawing>
      </w:r>
      <w:r>
        <w:rPr>
          <w:rFonts w:ascii="Google Sans Text" w:eastAsia="Google Sans Text" w:hAnsi="Google Sans Text" w:cs="Google Sans Text"/>
          <w:color w:val="1F1F1F"/>
        </w:rPr>
        <w:t xml:space="preserve"> is the smallest convex set that contains all the points. In </w:t>
      </w:r>
      <w:r>
        <w:rPr>
          <w:rFonts w:ascii="Google Sans Text" w:eastAsia="Google Sans Text" w:hAnsi="Google Sans Text" w:cs="Google Sans Text"/>
          <w:noProof/>
          <w:color w:val="1F1F1F"/>
        </w:rPr>
        <w:drawing>
          <wp:inline distT="19050" distB="19050" distL="19050" distR="19050" wp14:anchorId="2EB49260" wp14:editId="2EB49261">
            <wp:extent cx="434068" cy="233311"/>
            <wp:effectExtent l="0" t="0" r="0" b="0"/>
            <wp:docPr id="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4068" cy="233311"/>
                    </a:xfrm>
                    <a:prstGeom prst="rect">
                      <a:avLst/>
                    </a:prstGeom>
                    <a:ln/>
                  </pic:spPr>
                </pic:pic>
              </a:graphicData>
            </a:graphic>
          </wp:inline>
        </w:drawing>
      </w:r>
      <w:r>
        <w:rPr>
          <w:rFonts w:ascii="Google Sans Text" w:eastAsia="Google Sans Text" w:hAnsi="Google Sans Text" w:cs="Google Sans Text"/>
          <w:color w:val="1F1F1F"/>
        </w:rPr>
        <w:t>, the convex hull is a polytope—a high-dimensional generalization of a polygon.</w:t>
      </w:r>
      <w:r>
        <w:rPr>
          <w:rFonts w:ascii="Google Sans Text" w:eastAsia="Google Sans Text" w:hAnsi="Google Sans Text" w:cs="Google Sans Text"/>
          <w:color w:val="444746"/>
          <w:sz w:val="24"/>
          <w:szCs w:val="24"/>
          <w:vertAlign w:val="superscript"/>
        </w:rPr>
        <w:t>21</w:t>
      </w:r>
    </w:p>
    <w:p w14:paraId="2EB4913E"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Computational Complexity of the 6D Hull</w:t>
      </w:r>
    </w:p>
    <w:p w14:paraId="2EB4913F"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Finding the convex hull in higher dimensions is a fundamental problem of computational geometry. For a set of </w:t>
      </w:r>
      <w:r>
        <w:rPr>
          <w:rFonts w:ascii="Google Sans Text" w:eastAsia="Google Sans Text" w:hAnsi="Google Sans Text" w:cs="Google Sans Text"/>
          <w:noProof/>
          <w:color w:val="1F1F1F"/>
        </w:rPr>
        <w:drawing>
          <wp:inline distT="19050" distB="19050" distL="19050" distR="19050" wp14:anchorId="2EB49262" wp14:editId="2EB49263">
            <wp:extent cx="110643" cy="226555"/>
            <wp:effectExtent l="0" t="0" r="0" b="0"/>
            <wp:docPr id="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110643" cy="226555"/>
                    </a:xfrm>
                    <a:prstGeom prst="rect">
                      <a:avLst/>
                    </a:prstGeom>
                    <a:ln/>
                  </pic:spPr>
                </pic:pic>
              </a:graphicData>
            </a:graphic>
          </wp:inline>
        </w:drawing>
      </w:r>
      <w:r>
        <w:rPr>
          <w:rFonts w:ascii="Google Sans Text" w:eastAsia="Google Sans Text" w:hAnsi="Google Sans Text" w:cs="Google Sans Text"/>
          <w:color w:val="1F1F1F"/>
        </w:rPr>
        <w:t xml:space="preserve"> points in </w:t>
      </w:r>
      <w:r>
        <w:rPr>
          <w:rFonts w:ascii="Google Sans Text" w:eastAsia="Google Sans Text" w:hAnsi="Google Sans Text" w:cs="Google Sans Text"/>
          <w:noProof/>
          <w:color w:val="1F1F1F"/>
        </w:rPr>
        <w:drawing>
          <wp:inline distT="19050" distB="19050" distL="19050" distR="19050" wp14:anchorId="2EB49264" wp14:editId="2EB49265">
            <wp:extent cx="95930" cy="242647"/>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95930" cy="242647"/>
                    </a:xfrm>
                    <a:prstGeom prst="rect">
                      <a:avLst/>
                    </a:prstGeom>
                    <a:ln/>
                  </pic:spPr>
                </pic:pic>
              </a:graphicData>
            </a:graphic>
          </wp:inline>
        </w:drawing>
      </w:r>
      <w:r>
        <w:rPr>
          <w:rFonts w:ascii="Google Sans Text" w:eastAsia="Google Sans Text" w:hAnsi="Google Sans Text" w:cs="Google Sans Text"/>
          <w:color w:val="1F1F1F"/>
        </w:rPr>
        <w:t xml:space="preserve"> dimensions, the convex hull can be constructed in </w:t>
      </w:r>
      <w:r>
        <w:rPr>
          <w:rFonts w:ascii="Google Sans Text" w:eastAsia="Google Sans Text" w:hAnsi="Google Sans Text" w:cs="Google Sans Text"/>
          <w:noProof/>
          <w:color w:val="1F1F1F"/>
        </w:rPr>
        <w:drawing>
          <wp:inline distT="19050" distB="19050" distL="19050" distR="19050" wp14:anchorId="2EB49266" wp14:editId="2EB49267">
            <wp:extent cx="1466421" cy="234409"/>
            <wp:effectExtent l="0" t="0" r="0" b="0"/>
            <wp:docPr id="4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1466421" cy="234409"/>
                    </a:xfrm>
                    <a:prstGeom prst="rect">
                      <a:avLst/>
                    </a:prstGeom>
                    <a:ln/>
                  </pic:spPr>
                </pic:pic>
              </a:graphicData>
            </a:graphic>
          </wp:inline>
        </w:drawing>
      </w:r>
      <w:r>
        <w:rPr>
          <w:rFonts w:ascii="Google Sans Text" w:eastAsia="Google Sans Text" w:hAnsi="Google Sans Text" w:cs="Google Sans Text"/>
          <w:color w:val="1F1F1F"/>
        </w:rPr>
        <w:t xml:space="preserve"> work. In our case, with </w:t>
      </w:r>
      <w:r>
        <w:rPr>
          <w:rFonts w:ascii="Google Sans Text" w:eastAsia="Google Sans Text" w:hAnsi="Google Sans Text" w:cs="Google Sans Text"/>
          <w:noProof/>
          <w:color w:val="1F1F1F"/>
        </w:rPr>
        <w:drawing>
          <wp:inline distT="19050" distB="19050" distL="19050" distR="19050" wp14:anchorId="2EB49268" wp14:editId="2EB49269">
            <wp:extent cx="434068" cy="233311"/>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4068" cy="233311"/>
                    </a:xfrm>
                    <a:prstGeom prst="rect">
                      <a:avLst/>
                    </a:prstGeom>
                    <a:ln/>
                  </pic:spPr>
                </pic:pic>
              </a:graphicData>
            </a:graphic>
          </wp:inline>
        </w:drawing>
      </w:r>
      <w:r>
        <w:rPr>
          <w:rFonts w:ascii="Google Sans Text" w:eastAsia="Google Sans Text" w:hAnsi="Google Sans Text" w:cs="Google Sans Text"/>
          <w:color w:val="1F1F1F"/>
        </w:rPr>
        <w:t xml:space="preserve"> and </w:t>
      </w:r>
      <w:r>
        <w:rPr>
          <w:rFonts w:ascii="Google Sans Text" w:eastAsia="Google Sans Text" w:hAnsi="Google Sans Text" w:cs="Google Sans Text"/>
          <w:noProof/>
          <w:color w:val="1F1F1F"/>
        </w:rPr>
        <w:drawing>
          <wp:inline distT="19050" distB="19050" distL="19050" distR="19050" wp14:anchorId="2EB4926A" wp14:editId="2EB4926B">
            <wp:extent cx="899602" cy="235871"/>
            <wp:effectExtent l="0" t="0" r="0" b="0"/>
            <wp:docPr id="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899602" cy="235871"/>
                    </a:xfrm>
                    <a:prstGeom prst="rect">
                      <a:avLst/>
                    </a:prstGeom>
                    <a:ln/>
                  </pic:spPr>
                </pic:pic>
              </a:graphicData>
            </a:graphic>
          </wp:inline>
        </w:drawing>
      </w:r>
      <w:r>
        <w:rPr>
          <w:rFonts w:ascii="Google Sans Text" w:eastAsia="Google Sans Text" w:hAnsi="Google Sans Text" w:cs="Google Sans Text"/>
          <w:color w:val="1F1F1F"/>
        </w:rPr>
        <w:t xml:space="preserve">, the complexity is </w:t>
      </w:r>
      <w:r>
        <w:rPr>
          <w:rFonts w:ascii="Google Sans Text" w:eastAsia="Google Sans Text" w:hAnsi="Google Sans Text" w:cs="Google Sans Text"/>
          <w:color w:val="1F1F1F"/>
        </w:rPr>
        <w:lastRenderedPageBreak/>
        <w:t xml:space="preserve">roughly </w:t>
      </w:r>
      <w:r>
        <w:rPr>
          <w:rFonts w:ascii="Google Sans Text" w:eastAsia="Google Sans Text" w:hAnsi="Google Sans Text" w:cs="Google Sans Text"/>
          <w:noProof/>
          <w:color w:val="1F1F1F"/>
        </w:rPr>
        <w:drawing>
          <wp:inline distT="19050" distB="19050" distL="19050" distR="19050" wp14:anchorId="2EB4926C" wp14:editId="2EB4926D">
            <wp:extent cx="473784" cy="234169"/>
            <wp:effectExtent l="0" t="0" r="0" b="0"/>
            <wp:docPr id="5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4"/>
                    <a:srcRect/>
                    <a:stretch>
                      <a:fillRect/>
                    </a:stretch>
                  </pic:blipFill>
                  <pic:spPr>
                    <a:xfrm>
                      <a:off x="0" y="0"/>
                      <a:ext cx="473784" cy="234169"/>
                    </a:xfrm>
                    <a:prstGeom prst="rect">
                      <a:avLst/>
                    </a:prstGeom>
                    <a:ln/>
                  </pic:spPr>
                </pic:pic>
              </a:graphicData>
            </a:graphic>
          </wp:inline>
        </w:drawing>
      </w:r>
      <w:r>
        <w:rPr>
          <w:rFonts w:ascii="Google Sans Text" w:eastAsia="Google Sans Text" w:hAnsi="Google Sans Text" w:cs="Google Sans Text"/>
          <w:color w:val="1F1F1F"/>
        </w:rPr>
        <w:t>, which is computationally intensive but manageable on modern hardware. The algorithm "</w:t>
      </w:r>
      <w:proofErr w:type="spellStart"/>
      <w:r>
        <w:rPr>
          <w:rFonts w:ascii="Google Sans Text" w:eastAsia="Google Sans Text" w:hAnsi="Google Sans Text" w:cs="Google Sans Text"/>
          <w:color w:val="1F1F1F"/>
        </w:rPr>
        <w:t>QuickHull</w:t>
      </w:r>
      <w:proofErr w:type="spellEnd"/>
      <w:r>
        <w:rPr>
          <w:rFonts w:ascii="Google Sans Text" w:eastAsia="Google Sans Text" w:hAnsi="Google Sans Text" w:cs="Google Sans Text"/>
          <w:color w:val="1F1F1F"/>
        </w:rPr>
        <w:t>" is the standard for this task, though it can be sensitive to precision errors and degenerate cases where points are nearly coplanar.</w:t>
      </w:r>
      <w:r>
        <w:rPr>
          <w:rFonts w:ascii="Google Sans Text" w:eastAsia="Google Sans Text" w:hAnsi="Google Sans Text" w:cs="Google Sans Text"/>
          <w:color w:val="444746"/>
          <w:sz w:val="24"/>
          <w:szCs w:val="24"/>
          <w:vertAlign w:val="superscript"/>
        </w:rPr>
        <w:t>23</w:t>
      </w:r>
    </w:p>
    <w:p w14:paraId="2EB49140"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If the 6D data points lie on a lower-dimensional manifold (e.g., a 4D hyperplane), standard hull algorithms may fail. A robust preprocessing step involves using Principal Component Analysis (PCA) to reduce the dimensionality to the "true" rank of the data before computing the hull. The vertices found in the projected space can then be mapped back to the original 6D coordinates.</w:t>
      </w:r>
      <w:r>
        <w:rPr>
          <w:rFonts w:ascii="Google Sans Text" w:eastAsia="Google Sans Text" w:hAnsi="Google Sans Text" w:cs="Google Sans Text"/>
          <w:color w:val="444746"/>
          <w:sz w:val="24"/>
          <w:szCs w:val="24"/>
          <w:vertAlign w:val="superscript"/>
        </w:rPr>
        <w:t>22</w:t>
      </w:r>
    </w:p>
    <w:p w14:paraId="2EB49141"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Optimization on the Manifold</w:t>
      </w:r>
    </w:p>
    <w:p w14:paraId="2EB49142"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Rather than relying purely on geometric algorithms, the synthesis task can be framed as an optimization problem over the polytope's faces. A face </w:t>
      </w:r>
      <w:r>
        <w:rPr>
          <w:rFonts w:ascii="Google Sans Text" w:eastAsia="Google Sans Text" w:hAnsi="Google Sans Text" w:cs="Google Sans Text"/>
          <w:noProof/>
          <w:color w:val="1F1F1F"/>
        </w:rPr>
        <w:drawing>
          <wp:inline distT="19050" distB="19050" distL="19050" distR="19050" wp14:anchorId="2EB4926E" wp14:editId="2EB4926F">
            <wp:extent cx="144236" cy="238544"/>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5"/>
                    <a:srcRect/>
                    <a:stretch>
                      <a:fillRect/>
                    </a:stretch>
                  </pic:blipFill>
                  <pic:spPr>
                    <a:xfrm>
                      <a:off x="0" y="0"/>
                      <a:ext cx="144236" cy="238544"/>
                    </a:xfrm>
                    <a:prstGeom prst="rect">
                      <a:avLst/>
                    </a:prstGeom>
                    <a:ln/>
                  </pic:spPr>
                </pic:pic>
              </a:graphicData>
            </a:graphic>
          </wp:inline>
        </w:drawing>
      </w:r>
      <w:r>
        <w:rPr>
          <w:rFonts w:ascii="Google Sans Text" w:eastAsia="Google Sans Text" w:hAnsi="Google Sans Text" w:cs="Google Sans Text"/>
          <w:color w:val="1F1F1F"/>
        </w:rPr>
        <w:t xml:space="preserve"> of the polytope can be defined by a normal vector </w:t>
      </w:r>
      <w:r>
        <w:rPr>
          <w:rFonts w:ascii="Google Sans Text" w:eastAsia="Google Sans Text" w:hAnsi="Google Sans Text" w:cs="Google Sans Text"/>
          <w:noProof/>
          <w:color w:val="1F1F1F"/>
        </w:rPr>
        <w:drawing>
          <wp:inline distT="19050" distB="19050" distL="19050" distR="19050" wp14:anchorId="2EB49270" wp14:editId="2EB49271">
            <wp:extent cx="532634" cy="233707"/>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32634" cy="233707"/>
                    </a:xfrm>
                    <a:prstGeom prst="rect">
                      <a:avLst/>
                    </a:prstGeom>
                    <a:ln/>
                  </pic:spPr>
                </pic:pic>
              </a:graphicData>
            </a:graphic>
          </wp:inline>
        </w:drawing>
      </w:r>
      <w:r>
        <w:rPr>
          <w:rFonts w:ascii="Google Sans Text" w:eastAsia="Google Sans Text" w:hAnsi="Google Sans Text" w:cs="Google Sans Text"/>
          <w:color w:val="1F1F1F"/>
        </w:rPr>
        <w:t xml:space="preserve"> and an offset </w:t>
      </w:r>
      <w:r>
        <w:rPr>
          <w:rFonts w:ascii="Google Sans Text" w:eastAsia="Google Sans Text" w:hAnsi="Google Sans Text" w:cs="Google Sans Text"/>
          <w:noProof/>
          <w:color w:val="1F1F1F"/>
        </w:rPr>
        <w:drawing>
          <wp:inline distT="19050" distB="19050" distL="19050" distR="19050" wp14:anchorId="2EB49272" wp14:editId="2EB49273">
            <wp:extent cx="79177" cy="243185"/>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79177" cy="243185"/>
                    </a:xfrm>
                    <a:prstGeom prst="rect">
                      <a:avLst/>
                    </a:prstGeom>
                    <a:ln/>
                  </pic:spPr>
                </pic:pic>
              </a:graphicData>
            </a:graphic>
          </wp:inline>
        </w:drawing>
      </w:r>
      <w:r>
        <w:rPr>
          <w:rFonts w:ascii="Google Sans Text" w:eastAsia="Google Sans Text" w:hAnsi="Google Sans Text" w:cs="Google Sans Text"/>
          <w:color w:val="1F1F1F"/>
        </w:rPr>
        <w:t xml:space="preserve">. We can use a loss function that penalizes any synthesized point </w:t>
      </w:r>
      <w:r>
        <w:rPr>
          <w:rFonts w:ascii="Google Sans Text" w:eastAsia="Google Sans Text" w:hAnsi="Google Sans Text" w:cs="Google Sans Text"/>
          <w:noProof/>
          <w:color w:val="1F1F1F"/>
        </w:rPr>
        <w:drawing>
          <wp:inline distT="19050" distB="19050" distL="19050" distR="19050" wp14:anchorId="2EB49274" wp14:editId="2EB49275">
            <wp:extent cx="222222" cy="238889"/>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that falls "outside" the faces of the hull. By performing gradient descent on this loss function, the generative model can be constrained to the interior of the observed design space.</w:t>
      </w:r>
      <w:r>
        <w:rPr>
          <w:rFonts w:ascii="Google Sans Text" w:eastAsia="Google Sans Text" w:hAnsi="Google Sans Text" w:cs="Google Sans Text"/>
          <w:color w:val="444746"/>
          <w:sz w:val="24"/>
          <w:szCs w:val="24"/>
          <w:vertAlign w:val="superscript"/>
        </w:rPr>
        <w:t>22</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67178" w14:paraId="2EB4914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3"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Geometry Concept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Definition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5"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Relevance to Vector Synthesis</w:t>
            </w:r>
          </w:p>
        </w:tc>
      </w:tr>
      <w:tr w:rsidR="00167178" w14:paraId="2EB4914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7"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Convex Combination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8"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76" wp14:editId="2EB49277">
                  <wp:extent cx="479482" cy="198406"/>
                  <wp:effectExtent l="0" t="0" r="0" b="0"/>
                  <wp:docPr id="3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479482" cy="198406"/>
                          </a:xfrm>
                          <a:prstGeom prst="rect">
                            <a:avLst/>
                          </a:prstGeom>
                          <a:ln/>
                        </pic:spPr>
                      </pic:pic>
                    </a:graphicData>
                  </a:graphic>
                </wp:inline>
              </w:drawing>
            </w:r>
            <w:r>
              <w:rPr>
                <w:rFonts w:ascii="Google Sans Text" w:eastAsia="Google Sans Text" w:hAnsi="Google Sans Text" w:cs="Google Sans Text"/>
                <w:color w:val="1F1F1F"/>
              </w:rPr>
              <w:t xml:space="preserve"> where </w:t>
            </w:r>
            <w:r>
              <w:rPr>
                <w:rFonts w:ascii="Google Sans Text" w:eastAsia="Google Sans Text" w:hAnsi="Google Sans Text" w:cs="Google Sans Text"/>
                <w:noProof/>
                <w:color w:val="1F1F1F"/>
              </w:rPr>
              <w:drawing>
                <wp:inline distT="19050" distB="19050" distL="19050" distR="19050" wp14:anchorId="2EB49278" wp14:editId="2EB49279">
                  <wp:extent cx="1143000" cy="195943"/>
                  <wp:effectExtent l="0" t="0" r="0" b="0"/>
                  <wp:docPr id="3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1143000" cy="19594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9"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Any point inside the hull is a valid combination</w:t>
            </w:r>
          </w:p>
        </w:tc>
      </w:tr>
      <w:tr w:rsidR="00167178" w14:paraId="2EB4914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Extreme Point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point not on a line segment of others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D"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"corners" of the feasible design space</w:t>
            </w:r>
          </w:p>
        </w:tc>
      </w:tr>
      <w:tr w:rsidR="00167178" w14:paraId="2EB4915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4F"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Facet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5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w:t>
            </w:r>
            <w:r>
              <w:rPr>
                <w:rFonts w:ascii="Google Sans Text" w:eastAsia="Google Sans Text" w:hAnsi="Google Sans Text" w:cs="Google Sans Text"/>
                <w:noProof/>
                <w:color w:val="1F1F1F"/>
              </w:rPr>
              <w:drawing>
                <wp:inline distT="19050" distB="19050" distL="19050" distR="19050" wp14:anchorId="2EB4927A" wp14:editId="2EB4927B">
                  <wp:extent cx="487306" cy="197112"/>
                  <wp:effectExtent l="0" t="0" r="0" b="0"/>
                  <wp:docPr id="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487306" cy="197112"/>
                          </a:xfrm>
                          <a:prstGeom prst="rect">
                            <a:avLst/>
                          </a:prstGeom>
                          <a:ln/>
                        </pic:spPr>
                      </pic:pic>
                    </a:graphicData>
                  </a:graphic>
                </wp:inline>
              </w:drawing>
            </w:r>
            <w:r>
              <w:rPr>
                <w:rFonts w:ascii="Google Sans Text" w:eastAsia="Google Sans Text" w:hAnsi="Google Sans Text" w:cs="Google Sans Text"/>
                <w:color w:val="1F1F1F"/>
              </w:rPr>
              <w:t>-dimensional face of the hull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5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Defines the boundary constraints for </w:t>
            </w:r>
            <w:r>
              <w:rPr>
                <w:rFonts w:ascii="Google Sans Text" w:eastAsia="Google Sans Text" w:hAnsi="Google Sans Text" w:cs="Google Sans Text"/>
                <w:noProof/>
                <w:color w:val="1F1F1F"/>
              </w:rPr>
              <w:drawing>
                <wp:inline distT="19050" distB="19050" distL="19050" distR="19050" wp14:anchorId="2EB4927C" wp14:editId="2EB4927D">
                  <wp:extent cx="222222" cy="238889"/>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p>
        </w:tc>
      </w:tr>
      <w:tr w:rsidR="00167178" w14:paraId="2EB4915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53"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Simplex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5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simplest possible hull (triangle in 2D)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55"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Used in Minimal Volume Simplex (MVS) approaches</w:t>
            </w:r>
          </w:p>
        </w:tc>
      </w:tr>
    </w:tbl>
    <w:p w14:paraId="2EB49157" w14:textId="77777777" w:rsidR="00167178"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For systems governed by quasi-Linear Parameter Varying (LPV) models, the alignment and volume of the tight convex hull are vital. A "Minimal Volume Simplex" (MVS) approach can be used to determine the tightest possible hull around the data points, providing a fast and numerically reliable method for preparing the input for subsequent optimization.</w:t>
      </w:r>
      <w:r>
        <w:rPr>
          <w:rFonts w:ascii="Google Sans Text" w:eastAsia="Google Sans Text" w:hAnsi="Google Sans Text" w:cs="Google Sans Text"/>
          <w:color w:val="444746"/>
          <w:sz w:val="24"/>
          <w:szCs w:val="24"/>
          <w:vertAlign w:val="superscript"/>
        </w:rPr>
        <w:t>26</w:t>
      </w:r>
      <w:r>
        <w:rPr>
          <w:rFonts w:ascii="Google Sans Text" w:eastAsia="Google Sans Text" w:hAnsi="Google Sans Text" w:cs="Google Sans Text"/>
          <w:color w:val="1F1F1F"/>
        </w:rPr>
        <w:t xml:space="preserve"> This is particularly relevant when the "true" performance landscape is assumed to be simpler than the high-precision estimate produced by a raw point cloud.</w:t>
      </w:r>
      <w:r>
        <w:rPr>
          <w:rFonts w:ascii="Google Sans Text" w:eastAsia="Google Sans Text" w:hAnsi="Google Sans Text" w:cs="Google Sans Text"/>
          <w:color w:val="444746"/>
          <w:sz w:val="24"/>
          <w:szCs w:val="24"/>
          <w:vertAlign w:val="superscript"/>
        </w:rPr>
        <w:t>22</w:t>
      </w:r>
    </w:p>
    <w:p w14:paraId="2EB49158"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Multi-Objective Optimization and Pareto Search</w:t>
      </w:r>
    </w:p>
    <w:p w14:paraId="2EB49159"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The synthesis of a vector that simultaneously maximizes predicted reward and temporal stability is a multi-objective optimization problem (MOP). Because these objectives are often conflicting, there is rarely a single solution that minimizes all objective functions simultaneously. Instead, we seek the Pareto front—a set of non-dominated solutions where any improvement in reward requires a sacrifice in stability.</w:t>
      </w:r>
      <w:r>
        <w:rPr>
          <w:rFonts w:ascii="Google Sans Text" w:eastAsia="Google Sans Text" w:hAnsi="Google Sans Text" w:cs="Google Sans Text"/>
          <w:color w:val="444746"/>
          <w:sz w:val="24"/>
          <w:szCs w:val="24"/>
          <w:vertAlign w:val="superscript"/>
        </w:rPr>
        <w:t>27</w:t>
      </w:r>
    </w:p>
    <w:p w14:paraId="2EB4915A"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NSGA-II Framework</w:t>
      </w:r>
    </w:p>
    <w:p w14:paraId="2EB4915B" w14:textId="77777777" w:rsidR="0016717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Non-Dominated Sorting Genetic Algorithm II (NSGA-II) is the most widely adopted multi-objective evolutionary algorithm (MOEA) for this purpose. NSGA-II iteratively maintains a population of candidate vectors. At each generation, it uses fast non-dominated sorting and crowding distance to ensure that the population remains diverse and well-distributed along the Pareto front.</w:t>
      </w:r>
    </w:p>
    <w:p w14:paraId="2EB4915C" w14:textId="77777777" w:rsidR="0016717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Non-Dominated Sorting:</w:t>
      </w:r>
      <w:r>
        <w:rPr>
          <w:rFonts w:ascii="Google Sans Text" w:eastAsia="Google Sans Text" w:hAnsi="Google Sans Text" w:cs="Google Sans Text"/>
          <w:color w:val="1F1F1F"/>
        </w:rPr>
        <w:t xml:space="preserve"> Solutions are ranked into "fronts." Front 1 contains all solutions that are not dominated by any other. Front 2 contains solutions dominated only by those in Front 1, and so on.</w:t>
      </w:r>
    </w:p>
    <w:p w14:paraId="2EB4915D" w14:textId="77777777" w:rsidR="0016717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Crowding Distance:</w:t>
      </w:r>
      <w:r>
        <w:rPr>
          <w:rFonts w:ascii="Google Sans Text" w:eastAsia="Google Sans Text" w:hAnsi="Google Sans Text" w:cs="Google Sans Text"/>
          <w:color w:val="1F1F1F"/>
        </w:rPr>
        <w:t xml:space="preserve"> Within a front, the algorithm calculates the distance between a solution and its nearest </w:t>
      </w:r>
      <w:proofErr w:type="spellStart"/>
      <w:r>
        <w:rPr>
          <w:rFonts w:ascii="Google Sans Text" w:eastAsia="Google Sans Text" w:hAnsi="Google Sans Text" w:cs="Google Sans Text"/>
          <w:color w:val="1F1F1F"/>
        </w:rPr>
        <w:t>neighbors</w:t>
      </w:r>
      <w:proofErr w:type="spellEnd"/>
      <w:r>
        <w:rPr>
          <w:rFonts w:ascii="Google Sans Text" w:eastAsia="Google Sans Text" w:hAnsi="Google Sans Text" w:cs="Google Sans Text"/>
          <w:color w:val="1F1F1F"/>
        </w:rPr>
        <w:t xml:space="preserve"> in the objective space. Solutions in sparsely populated areas are </w:t>
      </w:r>
      <w:proofErr w:type="spellStart"/>
      <w:r>
        <w:rPr>
          <w:rFonts w:ascii="Google Sans Text" w:eastAsia="Google Sans Text" w:hAnsi="Google Sans Text" w:cs="Google Sans Text"/>
          <w:color w:val="1F1F1F"/>
        </w:rPr>
        <w:t>favored</w:t>
      </w:r>
      <w:proofErr w:type="spellEnd"/>
      <w:r>
        <w:rPr>
          <w:rFonts w:ascii="Google Sans Text" w:eastAsia="Google Sans Text" w:hAnsi="Google Sans Text" w:cs="Google Sans Text"/>
          <w:color w:val="1F1F1F"/>
        </w:rPr>
        <w:t xml:space="preserve"> to maintain diversity.</w:t>
      </w:r>
    </w:p>
    <w:p w14:paraId="2EB4915E" w14:textId="77777777" w:rsidR="00167178"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Selection:</w:t>
      </w:r>
      <w:r>
        <w:rPr>
          <w:rFonts w:ascii="Google Sans Text" w:eastAsia="Google Sans Text" w:hAnsi="Google Sans Text" w:cs="Google Sans Text"/>
          <w:color w:val="1F1F1F"/>
        </w:rPr>
        <w:t xml:space="preserve"> Parents are chosen through binary tournament selection based on rank and crowding distance.</w:t>
      </w:r>
    </w:p>
    <w:p w14:paraId="2EB4915F" w14:textId="77777777" w:rsidR="00167178"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Reproduction:</w:t>
      </w:r>
      <w:r>
        <w:rPr>
          <w:rFonts w:ascii="Google Sans Text" w:eastAsia="Google Sans Text" w:hAnsi="Google Sans Text" w:cs="Google Sans Text"/>
          <w:color w:val="1F1F1F"/>
        </w:rPr>
        <w:t xml:space="preserve"> Crossover and mutation operators (such as simulated binary crossover and polynomial mutation) create new candidate vectors.</w:t>
      </w:r>
      <w:r>
        <w:rPr>
          <w:rFonts w:ascii="Google Sans Text" w:eastAsia="Google Sans Text" w:hAnsi="Google Sans Text" w:cs="Google Sans Text"/>
          <w:color w:val="444746"/>
          <w:sz w:val="24"/>
          <w:szCs w:val="24"/>
          <w:vertAlign w:val="superscript"/>
        </w:rPr>
        <w:t>29</w:t>
      </w:r>
    </w:p>
    <w:p w14:paraId="2EB49160" w14:textId="77777777" w:rsidR="00167178"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In a study on portfolio optimization, NSGA-II was used to simultaneously maximize returns, minimize risk, and minimize the number of assets. It produced a smooth and densely populated efficient frontier, allowing decision-makers to identify portfolios that matched their specific risk tolerance.</w:t>
      </w:r>
      <w:r>
        <w:rPr>
          <w:rFonts w:ascii="Google Sans Text" w:eastAsia="Google Sans Text" w:hAnsi="Google Sans Text" w:cs="Google Sans Text"/>
          <w:color w:val="444746"/>
          <w:sz w:val="24"/>
          <w:szCs w:val="24"/>
          <w:vertAlign w:val="superscript"/>
        </w:rPr>
        <w:t>29</w:t>
      </w:r>
      <w:r>
        <w:rPr>
          <w:rFonts w:ascii="Google Sans Text" w:eastAsia="Google Sans Text" w:hAnsi="Google Sans Text" w:cs="Google Sans Text"/>
          <w:color w:val="1F1F1F"/>
        </w:rPr>
        <w:t xml:space="preserve"> For vector synthesis, the "decision variable" is the asset weight vector—in our case, the 6-dimensional vector </w:t>
      </w:r>
      <w:r>
        <w:rPr>
          <w:rFonts w:ascii="Google Sans Text" w:eastAsia="Google Sans Text" w:hAnsi="Google Sans Text" w:cs="Google Sans Text"/>
          <w:noProof/>
          <w:color w:val="1F1F1F"/>
        </w:rPr>
        <w:drawing>
          <wp:inline distT="19050" distB="19050" distL="19050" distR="19050" wp14:anchorId="2EB4927E" wp14:editId="2EB4927F">
            <wp:extent cx="129863" cy="194794"/>
            <wp:effectExtent l="0" t="0" r="0" b="0"/>
            <wp:docPr id="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9</w:t>
      </w:r>
    </w:p>
    <w:p w14:paraId="2EB49161"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Integrating Predicted Stability</w:t>
      </w:r>
    </w:p>
    <w:p w14:paraId="2EB49162"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 xml:space="preserve">A key innovation required for this specific dataset is the definition of the objective functions for NSGA-II. While the reward </w:t>
      </w:r>
      <w:r>
        <w:rPr>
          <w:rFonts w:ascii="Google Sans Text" w:eastAsia="Google Sans Text" w:hAnsi="Google Sans Text" w:cs="Google Sans Text"/>
          <w:noProof/>
          <w:color w:val="1F1F1F"/>
        </w:rPr>
        <w:drawing>
          <wp:inline distT="19050" distB="19050" distL="19050" distR="19050" wp14:anchorId="2EB49280" wp14:editId="2EB49281">
            <wp:extent cx="333800" cy="235302"/>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33800" cy="235302"/>
                    </a:xfrm>
                    <a:prstGeom prst="rect">
                      <a:avLst/>
                    </a:prstGeom>
                    <a:ln/>
                  </pic:spPr>
                </pic:pic>
              </a:graphicData>
            </a:graphic>
          </wp:inline>
        </w:drawing>
      </w:r>
      <w:r>
        <w:rPr>
          <w:rFonts w:ascii="Google Sans Text" w:eastAsia="Google Sans Text" w:hAnsi="Google Sans Text" w:cs="Google Sans Text"/>
          <w:color w:val="1F1F1F"/>
        </w:rPr>
        <w:t xml:space="preserve"> is a predicted value from a forecasting model, the stability metric must be computed based on the </w:t>
      </w:r>
      <w:r>
        <w:rPr>
          <w:rFonts w:ascii="Google Sans Text" w:eastAsia="Google Sans Text" w:hAnsi="Google Sans Text" w:cs="Google Sans Text"/>
          <w:i/>
          <w:iCs/>
          <w:color w:val="1F1F1F"/>
        </w:rPr>
        <w:t>historical simulation</w:t>
      </w:r>
      <w:r>
        <w:rPr>
          <w:rFonts w:ascii="Google Sans Text" w:eastAsia="Google Sans Text" w:hAnsi="Google Sans Text" w:cs="Google Sans Text"/>
          <w:color w:val="1F1F1F"/>
        </w:rPr>
        <w:t xml:space="preserve"> of the candidate vector. Since </w:t>
      </w:r>
      <w:r>
        <w:rPr>
          <w:rFonts w:ascii="Google Sans Text" w:eastAsia="Google Sans Text" w:hAnsi="Google Sans Text" w:cs="Google Sans Text"/>
          <w:noProof/>
          <w:color w:val="1F1F1F"/>
        </w:rPr>
        <w:drawing>
          <wp:inline distT="19050" distB="19050" distL="19050" distR="19050" wp14:anchorId="2EB49282" wp14:editId="2EB49283">
            <wp:extent cx="222222" cy="238889"/>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is a synthesized (new) vector, it does not have a real history in Sets 1-30. Therefore, the stability objective must use the forecasting model to generate a "retrospective" prediction for </w:t>
      </w:r>
      <w:r>
        <w:rPr>
          <w:rFonts w:ascii="Google Sans Text" w:eastAsia="Google Sans Text" w:hAnsi="Google Sans Text" w:cs="Google Sans Text"/>
          <w:noProof/>
          <w:color w:val="1F1F1F"/>
        </w:rPr>
        <w:drawing>
          <wp:inline distT="19050" distB="19050" distL="19050" distR="19050" wp14:anchorId="2EB49284" wp14:editId="2EB49285">
            <wp:extent cx="222222" cy="238889"/>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across the last </w:t>
      </w:r>
      <w:r>
        <w:rPr>
          <w:rFonts w:ascii="Google Sans Text" w:eastAsia="Google Sans Text" w:hAnsi="Google Sans Text" w:cs="Google Sans Text"/>
          <w:noProof/>
          <w:color w:val="1F1F1F"/>
        </w:rPr>
        <w:drawing>
          <wp:inline distT="19050" distB="19050" distL="19050" distR="19050" wp14:anchorId="2EB49286" wp14:editId="2EB49287">
            <wp:extent cx="101883" cy="230578"/>
            <wp:effectExtent l="0" t="0" r="0" b="0"/>
            <wp:docPr id="6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101883" cy="230578"/>
                    </a:xfrm>
                    <a:prstGeom prst="rect">
                      <a:avLst/>
                    </a:prstGeom>
                    <a:ln/>
                  </pic:spPr>
                </pic:pic>
              </a:graphicData>
            </a:graphic>
          </wp:inline>
        </w:drawing>
      </w:r>
      <w:r>
        <w:rPr>
          <w:rFonts w:ascii="Google Sans Text" w:eastAsia="Google Sans Text" w:hAnsi="Google Sans Text" w:cs="Google Sans Text"/>
          <w:color w:val="1F1F1F"/>
        </w:rPr>
        <w:t xml:space="preserve"> sets, then calculate the variance of those predictions.</w:t>
      </w:r>
      <w:r>
        <w:rPr>
          <w:rFonts w:ascii="Google Sans Text" w:eastAsia="Google Sans Text" w:hAnsi="Google Sans Text" w:cs="Google Sans Text"/>
          <w:color w:val="444746"/>
          <w:sz w:val="24"/>
          <w:szCs w:val="24"/>
          <w:vertAlign w:val="superscript"/>
        </w:rPr>
        <w:t>1</w:t>
      </w:r>
    </w:p>
    <w:p w14:paraId="2EB49163" w14:textId="77777777" w:rsidR="00167178"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noProof/>
          <w:color w:val="444746"/>
          <w:sz w:val="24"/>
          <w:szCs w:val="24"/>
          <w:vertAlign w:val="superscript"/>
        </w:rPr>
        <w:drawing>
          <wp:inline distT="19050" distB="19050" distL="19050" distR="19050" wp14:anchorId="2EB49288" wp14:editId="2EB49289">
            <wp:extent cx="5905500" cy="398259"/>
            <wp:effectExtent l="0" t="0" r="0" b="0"/>
            <wp:docPr id="6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1"/>
                    <a:srcRect/>
                    <a:stretch>
                      <a:fillRect/>
                    </a:stretch>
                  </pic:blipFill>
                  <pic:spPr>
                    <a:xfrm>
                      <a:off x="0" y="0"/>
                      <a:ext cx="5905500" cy="398259"/>
                    </a:xfrm>
                    <a:prstGeom prst="rect">
                      <a:avLst/>
                    </a:prstGeom>
                    <a:ln/>
                  </pic:spPr>
                </pic:pic>
              </a:graphicData>
            </a:graphic>
          </wp:inline>
        </w:drawing>
      </w:r>
    </w:p>
    <w:p w14:paraId="2EB49164" w14:textId="77777777" w:rsidR="00167178" w:rsidRDefault="00000000">
      <w:pPr>
        <w:pBdr>
          <w:top w:val="nil"/>
          <w:left w:val="nil"/>
          <w:bottom w:val="nil"/>
          <w:right w:val="nil"/>
          <w:between w:val="nil"/>
        </w:pBdr>
        <w:spacing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noProof/>
          <w:color w:val="444746"/>
          <w:sz w:val="24"/>
          <w:szCs w:val="24"/>
          <w:vertAlign w:val="superscript"/>
        </w:rPr>
        <w:drawing>
          <wp:inline distT="19050" distB="19050" distL="19050" distR="19050" wp14:anchorId="2EB4928A" wp14:editId="2EB4928B">
            <wp:extent cx="5905500" cy="631583"/>
            <wp:effectExtent l="0" t="0" r="0" b="0"/>
            <wp:docPr id="6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5905500" cy="631583"/>
                    </a:xfrm>
                    <a:prstGeom prst="rect">
                      <a:avLst/>
                    </a:prstGeom>
                    <a:ln/>
                  </pic:spPr>
                </pic:pic>
              </a:graphicData>
            </a:graphic>
          </wp:inline>
        </w:drawing>
      </w:r>
    </w:p>
    <w:p w14:paraId="2EB49165"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This approach ensures that synthesized vectors are not just "one-hit wonders" in the predicted </w:t>
      </w:r>
      <w:proofErr w:type="gramStart"/>
      <w:r>
        <w:rPr>
          <w:rFonts w:ascii="Google Sans Text" w:eastAsia="Google Sans Text" w:hAnsi="Google Sans Text" w:cs="Google Sans Text"/>
          <w:color w:val="1F1F1F"/>
        </w:rPr>
        <w:t>future, but</w:t>
      </w:r>
      <w:proofErr w:type="gramEnd"/>
      <w:r>
        <w:rPr>
          <w:rFonts w:ascii="Google Sans Text" w:eastAsia="Google Sans Text" w:hAnsi="Google Sans Text" w:cs="Google Sans Text"/>
          <w:color w:val="1F1F1F"/>
        </w:rPr>
        <w:t xml:space="preserve"> are structural configurations that the model believes would have performed consistently in the recent past.</w:t>
      </w:r>
      <w:r>
        <w:rPr>
          <w:rFonts w:ascii="Google Sans Text" w:eastAsia="Google Sans Text" w:hAnsi="Google Sans Text" w:cs="Google Sans Text"/>
          <w:color w:val="444746"/>
          <w:sz w:val="24"/>
          <w:szCs w:val="24"/>
          <w:vertAlign w:val="superscript"/>
        </w:rPr>
        <w:t>2</w:t>
      </w:r>
    </w:p>
    <w:p w14:paraId="2EB49166"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Approximate Nearest </w:t>
      </w:r>
      <w:proofErr w:type="spellStart"/>
      <w:r>
        <w:rPr>
          <w:rFonts w:ascii="Google Sans" w:eastAsia="Google Sans" w:hAnsi="Google Sans" w:cs="Google Sans"/>
          <w:color w:val="1F1F1F"/>
        </w:rPr>
        <w:t>Neighbor</w:t>
      </w:r>
      <w:proofErr w:type="spellEnd"/>
      <w:r>
        <w:rPr>
          <w:rFonts w:ascii="Google Sans" w:eastAsia="Google Sans" w:hAnsi="Google Sans" w:cs="Google Sans"/>
          <w:color w:val="1F1F1F"/>
        </w:rPr>
        <w:t xml:space="preserve"> Mapping and Manifold Integrity</w:t>
      </w:r>
    </w:p>
    <w:p w14:paraId="2EB49167"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final stage of the algorithm involves mapping the synthesized (and optimized) vector </w:t>
      </w:r>
      <w:r>
        <w:rPr>
          <w:rFonts w:ascii="Google Sans Text" w:eastAsia="Google Sans Text" w:hAnsi="Google Sans Text" w:cs="Google Sans Text"/>
          <w:noProof/>
          <w:color w:val="1F1F1F"/>
        </w:rPr>
        <w:drawing>
          <wp:inline distT="19050" distB="19050" distL="19050" distR="19050" wp14:anchorId="2EB4928C" wp14:editId="2EB4928D">
            <wp:extent cx="222222" cy="238889"/>
            <wp:effectExtent l="0" t="0" r="0" b="0"/>
            <wp:docPr id="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to the nearest real vector available in the dataset. This step is necessary to ground the hypothetical optimization in reality—to move from an "ideal" 6-dimensional coordinate to a deployable entity. This process is a Filtered Approximate Nearest </w:t>
      </w:r>
      <w:proofErr w:type="spellStart"/>
      <w:r>
        <w:rPr>
          <w:rFonts w:ascii="Google Sans Text" w:eastAsia="Google Sans Text" w:hAnsi="Google Sans Text" w:cs="Google Sans Text"/>
          <w:color w:val="1F1F1F"/>
        </w:rPr>
        <w:t>Neighbor</w:t>
      </w:r>
      <w:proofErr w:type="spellEnd"/>
      <w:r>
        <w:rPr>
          <w:rFonts w:ascii="Google Sans Text" w:eastAsia="Google Sans Text" w:hAnsi="Google Sans Text" w:cs="Google Sans Text"/>
          <w:color w:val="1F1F1F"/>
        </w:rPr>
        <w:t xml:space="preserve"> (FANNS) search.</w:t>
      </w:r>
      <w:r>
        <w:rPr>
          <w:rFonts w:ascii="Google Sans Text" w:eastAsia="Google Sans Text" w:hAnsi="Google Sans Text" w:cs="Google Sans Text"/>
          <w:color w:val="444746"/>
          <w:sz w:val="24"/>
          <w:szCs w:val="24"/>
          <w:vertAlign w:val="superscript"/>
        </w:rPr>
        <w:t>32</w:t>
      </w:r>
    </w:p>
    <w:p w14:paraId="2EB49168"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Graph-Based Retrieval with HNSW</w:t>
      </w:r>
    </w:p>
    <w:p w14:paraId="2EB49169"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Given the scale of the dataset (</w:t>
      </w:r>
      <w:r>
        <w:rPr>
          <w:rFonts w:ascii="Google Sans Text" w:eastAsia="Google Sans Text" w:hAnsi="Google Sans Text" w:cs="Google Sans Text"/>
          <w:noProof/>
          <w:color w:val="1F1F1F"/>
        </w:rPr>
        <w:drawing>
          <wp:inline distT="19050" distB="19050" distL="19050" distR="19050" wp14:anchorId="2EB4928E" wp14:editId="2EB4928F">
            <wp:extent cx="885910" cy="235149"/>
            <wp:effectExtent l="0" t="0" r="0" b="0"/>
            <wp:docPr id="7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885910" cy="235149"/>
                    </a:xfrm>
                    <a:prstGeom prst="rect">
                      <a:avLst/>
                    </a:prstGeom>
                    <a:ln/>
                  </pic:spPr>
                </pic:pic>
              </a:graphicData>
            </a:graphic>
          </wp:inline>
        </w:drawing>
      </w:r>
      <w:r>
        <w:rPr>
          <w:rFonts w:ascii="Google Sans Text" w:eastAsia="Google Sans Text" w:hAnsi="Google Sans Text" w:cs="Google Sans Text"/>
          <w:color w:val="1F1F1F"/>
        </w:rPr>
        <w:t xml:space="preserve">), an exact nearest </w:t>
      </w:r>
      <w:proofErr w:type="spellStart"/>
      <w:r>
        <w:rPr>
          <w:rFonts w:ascii="Google Sans Text" w:eastAsia="Google Sans Text" w:hAnsi="Google Sans Text" w:cs="Google Sans Text"/>
          <w:color w:val="1F1F1F"/>
        </w:rPr>
        <w:t>neighbor</w:t>
      </w:r>
      <w:proofErr w:type="spellEnd"/>
      <w:r>
        <w:rPr>
          <w:rFonts w:ascii="Google Sans Text" w:eastAsia="Google Sans Text" w:hAnsi="Google Sans Text" w:cs="Google Sans Text"/>
          <w:color w:val="1F1F1F"/>
        </w:rPr>
        <w:t xml:space="preserve"> search is less efficient than approximate methods. The Hierarchical Navigable Small World (HNSW) graph is currently the de-facto state-of-the-art for high-dimensional retrieval. HNSW builds a multi-layer graph where each layer represents a different level of connectivity. A query begins at the top, low-connectivity layer to find the general </w:t>
      </w:r>
      <w:proofErr w:type="spellStart"/>
      <w:r>
        <w:rPr>
          <w:rFonts w:ascii="Google Sans Text" w:eastAsia="Google Sans Text" w:hAnsi="Google Sans Text" w:cs="Google Sans Text"/>
          <w:color w:val="1F1F1F"/>
        </w:rPr>
        <w:t>neighborhood</w:t>
      </w:r>
      <w:proofErr w:type="spellEnd"/>
      <w:r>
        <w:rPr>
          <w:rFonts w:ascii="Google Sans Text" w:eastAsia="Google Sans Text" w:hAnsi="Google Sans Text" w:cs="Google Sans Text"/>
          <w:color w:val="1F1F1F"/>
        </w:rPr>
        <w:t xml:space="preserve"> and descends to high-connectivity layers for local refinement.</w:t>
      </w:r>
      <w:r>
        <w:rPr>
          <w:rFonts w:ascii="Google Sans Text" w:eastAsia="Google Sans Text" w:hAnsi="Google Sans Text" w:cs="Google Sans Text"/>
          <w:color w:val="444746"/>
          <w:sz w:val="24"/>
          <w:szCs w:val="24"/>
          <w:vertAlign w:val="superscript"/>
        </w:rPr>
        <w:t>35</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67178" w14:paraId="2EB4916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6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ANN Algorithm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6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Mechanism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6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6D"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Con</w:t>
            </w:r>
          </w:p>
        </w:tc>
      </w:tr>
      <w:tr w:rsidR="00167178" w14:paraId="2EB4917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6F"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HNSW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Neighborhood</w:t>
            </w:r>
            <w:proofErr w:type="spellEnd"/>
            <w:r>
              <w:rPr>
                <w:rFonts w:ascii="Google Sans Text" w:eastAsia="Google Sans Text" w:hAnsi="Google Sans Text" w:cs="Google Sans Text"/>
                <w:color w:val="1F1F1F"/>
              </w:rPr>
              <w:t xml:space="preserve"> Graphs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recall; sub-linear 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2"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memory usage</w:t>
            </w:r>
          </w:p>
        </w:tc>
      </w:tr>
      <w:tr w:rsidR="00167178" w14:paraId="2EB4917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Annoy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5"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Forest of Trees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6"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Fast disk-mapping; static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7"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 incremental updates</w:t>
            </w:r>
          </w:p>
        </w:tc>
      </w:tr>
      <w:tr w:rsidR="00167178" w14:paraId="2EB4917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9"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Hash Table Buckets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Theoretically guaranteed speed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Accuracy depends on hash functions</w:t>
            </w:r>
          </w:p>
        </w:tc>
      </w:tr>
      <w:tr w:rsidR="00167178" w14:paraId="2EB4918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E"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IVF-PQ</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7F"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Vector Quantization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8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Extreme compression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8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Lower precision due to quantization</w:t>
            </w:r>
          </w:p>
        </w:tc>
      </w:tr>
    </w:tbl>
    <w:p w14:paraId="2EB49183" w14:textId="77777777" w:rsidR="00167178"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HNSW is particularly effective for static datasets where the vectors do not change, though dynamic updates are possible through edge-</w:t>
      </w:r>
      <w:proofErr w:type="spellStart"/>
      <w:r>
        <w:rPr>
          <w:rFonts w:ascii="Google Sans Text" w:eastAsia="Google Sans Text" w:hAnsi="Google Sans Text" w:cs="Google Sans Text"/>
          <w:color w:val="1F1F1F"/>
        </w:rPr>
        <w:t>labeling</w:t>
      </w:r>
      <w:proofErr w:type="spellEnd"/>
      <w:r>
        <w:rPr>
          <w:rFonts w:ascii="Google Sans Text" w:eastAsia="Google Sans Text" w:hAnsi="Google Sans Text" w:cs="Google Sans Text"/>
          <w:color w:val="1F1F1F"/>
        </w:rPr>
        <w:t xml:space="preserve"> and compression techniques.</w:t>
      </w:r>
      <w:r>
        <w:rPr>
          <w:rFonts w:ascii="Google Sans Text" w:eastAsia="Google Sans Text" w:hAnsi="Google Sans Text" w:cs="Google Sans Text"/>
          <w:color w:val="444746"/>
          <w:sz w:val="24"/>
          <w:szCs w:val="24"/>
          <w:vertAlign w:val="superscript"/>
        </w:rPr>
        <w:t>35</w:t>
      </w:r>
      <w:r>
        <w:rPr>
          <w:rFonts w:ascii="Google Sans Text" w:eastAsia="Google Sans Text" w:hAnsi="Google Sans Text" w:cs="Google Sans Text"/>
          <w:color w:val="1F1F1F"/>
        </w:rPr>
        <w:t xml:space="preserve"> For the synthesis task, the "Filter" in FANNS can ensure that the real vector </w:t>
      </w:r>
      <w:r>
        <w:rPr>
          <w:rFonts w:ascii="Google Sans Text" w:eastAsia="Google Sans Text" w:hAnsi="Google Sans Text" w:cs="Google Sans Text"/>
          <w:noProof/>
          <w:color w:val="1F1F1F"/>
        </w:rPr>
        <w:drawing>
          <wp:inline distT="19050" distB="19050" distL="19050" distR="19050" wp14:anchorId="2EB49290" wp14:editId="2EB49291">
            <wp:extent cx="344431" cy="235088"/>
            <wp:effectExtent l="0" t="0" r="0" b="0"/>
            <wp:docPr id="7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344431" cy="235088"/>
                    </a:xfrm>
                    <a:prstGeom prst="rect">
                      <a:avLst/>
                    </a:prstGeom>
                    <a:ln/>
                  </pic:spPr>
                </pic:pic>
              </a:graphicData>
            </a:graphic>
          </wp:inline>
        </w:drawing>
      </w:r>
      <w:r>
        <w:rPr>
          <w:rFonts w:ascii="Google Sans Text" w:eastAsia="Google Sans Text" w:hAnsi="Google Sans Text" w:cs="Google Sans Text"/>
          <w:color w:val="1F1F1F"/>
        </w:rPr>
        <w:t xml:space="preserve"> retrieved not only is close to </w:t>
      </w:r>
      <w:r>
        <w:rPr>
          <w:rFonts w:ascii="Google Sans Text" w:eastAsia="Google Sans Text" w:hAnsi="Google Sans Text" w:cs="Google Sans Text"/>
          <w:noProof/>
          <w:color w:val="1F1F1F"/>
        </w:rPr>
        <w:drawing>
          <wp:inline distT="19050" distB="19050" distL="19050" distR="19050" wp14:anchorId="2EB49292" wp14:editId="2EB49293">
            <wp:extent cx="222222" cy="238889"/>
            <wp:effectExtent l="0" t="0" r="0" b="0"/>
            <wp:docPr id="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in terms of Euclidean distance but also satisfies any secondary attribute constraints (e.g., categorical labels).</w:t>
      </w:r>
      <w:r>
        <w:rPr>
          <w:rFonts w:ascii="Google Sans Text" w:eastAsia="Google Sans Text" w:hAnsi="Google Sans Text" w:cs="Google Sans Text"/>
          <w:color w:val="444746"/>
          <w:sz w:val="24"/>
          <w:szCs w:val="24"/>
          <w:vertAlign w:val="superscript"/>
        </w:rPr>
        <w:t>32</w:t>
      </w:r>
    </w:p>
    <w:p w14:paraId="2EB49184"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Differentiable Mapping for Gradient-Based Optimization</w:t>
      </w:r>
    </w:p>
    <w:p w14:paraId="2EB49185"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In a "wide and far" solution, one might consider making the ANN retrieval step differentiable. Traditional ANN search is a discrete operation, which breaks the gradient flow in end-to-end learning pipelines. However, one can approximate the distance to the point set </w:t>
      </w:r>
      <w:r>
        <w:rPr>
          <w:rFonts w:ascii="Google Sans Text" w:eastAsia="Google Sans Text" w:hAnsi="Google Sans Text" w:cs="Google Sans Text"/>
          <w:noProof/>
          <w:color w:val="1F1F1F"/>
        </w:rPr>
        <w:drawing>
          <wp:inline distT="19050" distB="19050" distL="19050" distR="19050" wp14:anchorId="2EB49294" wp14:editId="2EB49295">
            <wp:extent cx="144066" cy="238262"/>
            <wp:effectExtent l="0" t="0" r="0" b="0"/>
            <wp:docPr id="7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5"/>
                    <a:srcRect/>
                    <a:stretch>
                      <a:fillRect/>
                    </a:stretch>
                  </pic:blipFill>
                  <pic:spPr>
                    <a:xfrm>
                      <a:off x="0" y="0"/>
                      <a:ext cx="144066" cy="238262"/>
                    </a:xfrm>
                    <a:prstGeom prst="rect">
                      <a:avLst/>
                    </a:prstGeom>
                    <a:ln/>
                  </pic:spPr>
                </pic:pic>
              </a:graphicData>
            </a:graphic>
          </wp:inline>
        </w:drawing>
      </w:r>
      <w:r>
        <w:rPr>
          <w:rFonts w:ascii="Google Sans Text" w:eastAsia="Google Sans Text" w:hAnsi="Google Sans Text" w:cs="Google Sans Text"/>
          <w:color w:val="1F1F1F"/>
        </w:rPr>
        <w:t xml:space="preserve"> using a differentiable multiplicative </w:t>
      </w:r>
      <w:r>
        <w:rPr>
          <w:rFonts w:ascii="Google Sans Text" w:eastAsia="Google Sans Text" w:hAnsi="Google Sans Text" w:cs="Google Sans Text"/>
          <w:noProof/>
          <w:color w:val="1F1F1F"/>
        </w:rPr>
        <w:drawing>
          <wp:inline distT="19050" distB="19050" distL="19050" distR="19050" wp14:anchorId="2EB49296" wp14:editId="2EB49297">
            <wp:extent cx="536037" cy="235200"/>
            <wp:effectExtent l="0" t="0" r="0" b="0"/>
            <wp:docPr id="6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srcRect/>
                    <a:stretch>
                      <a:fillRect/>
                    </a:stretch>
                  </pic:blipFill>
                  <pic:spPr>
                    <a:xfrm>
                      <a:off x="0" y="0"/>
                      <a:ext cx="536037" cy="235200"/>
                    </a:xfrm>
                    <a:prstGeom prst="rect">
                      <a:avLst/>
                    </a:prstGeom>
                    <a:ln/>
                  </pic:spPr>
                </pic:pic>
              </a:graphicData>
            </a:graphic>
          </wp:inline>
        </w:drawing>
      </w:r>
      <w:r>
        <w:rPr>
          <w:rFonts w:ascii="Google Sans Text" w:eastAsia="Google Sans Text" w:hAnsi="Google Sans Text" w:cs="Google Sans Text"/>
          <w:color w:val="1F1F1F"/>
        </w:rPr>
        <w:t xml:space="preserve">-approximation. This regularized distance is realized through a partition-of-unity framework, blending multiple local approximations into a smooth global function. By integrating this differentiable solver, the optimizer can simultaneously refine the synthesized vector </w:t>
      </w:r>
      <w:r>
        <w:rPr>
          <w:rFonts w:ascii="Google Sans Text" w:eastAsia="Google Sans Text" w:hAnsi="Google Sans Text" w:cs="Google Sans Text"/>
          <w:noProof/>
          <w:color w:val="1F1F1F"/>
        </w:rPr>
        <w:drawing>
          <wp:inline distT="19050" distB="19050" distL="19050" distR="19050" wp14:anchorId="2EB49298" wp14:editId="2EB49299">
            <wp:extent cx="222222" cy="238889"/>
            <wp:effectExtent l="0" t="0" r="0" b="0"/>
            <wp:docPr id="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and its relationship to the real vectors in the dataset, effectively "pulling" the optimization toward the most promising real-world candidates.</w:t>
      </w:r>
      <w:r>
        <w:rPr>
          <w:rFonts w:ascii="Google Sans Text" w:eastAsia="Google Sans Text" w:hAnsi="Google Sans Text" w:cs="Google Sans Text"/>
          <w:color w:val="444746"/>
          <w:sz w:val="24"/>
          <w:szCs w:val="24"/>
          <w:vertAlign w:val="superscript"/>
        </w:rPr>
        <w:t>37</w:t>
      </w:r>
    </w:p>
    <w:p w14:paraId="2EB49186"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A simpler alternative is "Differentiable Nearest </w:t>
      </w:r>
      <w:proofErr w:type="spellStart"/>
      <w:r>
        <w:rPr>
          <w:rFonts w:ascii="Google Sans Text" w:eastAsia="Google Sans Text" w:hAnsi="Google Sans Text" w:cs="Google Sans Text"/>
          <w:color w:val="1F1F1F"/>
        </w:rPr>
        <w:t>Neighbor</w:t>
      </w:r>
      <w:proofErr w:type="spellEnd"/>
      <w:r>
        <w:rPr>
          <w:rFonts w:ascii="Google Sans Text" w:eastAsia="Google Sans Text" w:hAnsi="Google Sans Text" w:cs="Google Sans Text"/>
          <w:color w:val="1F1F1F"/>
        </w:rPr>
        <w:t xml:space="preserve"> Regression" (DNNR), which estimates the local gradient from nearby points and uses a first-order Taylor expansion to interpolate values. DNNR allows the optimization to backpropagate through the distance metric, allowing the algorithm to learn which dimensions of the 6D space are most important for maintaining stability.</w:t>
      </w:r>
      <w:r>
        <w:rPr>
          <w:rFonts w:ascii="Google Sans Text" w:eastAsia="Google Sans Text" w:hAnsi="Google Sans Text" w:cs="Google Sans Text"/>
          <w:color w:val="444746"/>
          <w:sz w:val="24"/>
          <w:szCs w:val="24"/>
          <w:vertAlign w:val="superscript"/>
        </w:rPr>
        <w:t>39</w:t>
      </w:r>
    </w:p>
    <w:p w14:paraId="2EB49187"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Integrated Algorithm for Set </w:t>
      </w:r>
      <w:r>
        <w:rPr>
          <w:rFonts w:ascii="Google Sans" w:eastAsia="Google Sans" w:hAnsi="Google Sans" w:cs="Google Sans"/>
          <w:noProof/>
          <w:color w:val="1F1F1F"/>
        </w:rPr>
        <w:drawing>
          <wp:inline distT="19050" distB="19050" distL="19050" distR="19050" wp14:anchorId="2EB4929A" wp14:editId="2EB4929B">
            <wp:extent cx="423097" cy="236275"/>
            <wp:effectExtent l="0" t="0" r="0" b="0"/>
            <wp:docPr id="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3097" cy="236275"/>
                    </a:xfrm>
                    <a:prstGeom prst="rect">
                      <a:avLst/>
                    </a:prstGeom>
                    <a:ln/>
                  </pic:spPr>
                </pic:pic>
              </a:graphicData>
            </a:graphic>
          </wp:inline>
        </w:drawing>
      </w:r>
      <w:r>
        <w:rPr>
          <w:rFonts w:ascii="Google Sans" w:eastAsia="Google Sans" w:hAnsi="Google Sans" w:cs="Google Sans"/>
          <w:color w:val="1F1F1F"/>
        </w:rPr>
        <w:t xml:space="preserve"> Optimization</w:t>
      </w:r>
    </w:p>
    <w:p w14:paraId="2EB49188"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synthesis of a high-performance, stable vector requires the orchestration of forecasting, generative </w:t>
      </w:r>
      <w:proofErr w:type="spellStart"/>
      <w:r>
        <w:rPr>
          <w:rFonts w:ascii="Google Sans Text" w:eastAsia="Google Sans Text" w:hAnsi="Google Sans Text" w:cs="Google Sans Text"/>
          <w:color w:val="1F1F1F"/>
        </w:rPr>
        <w:t>modeling</w:t>
      </w:r>
      <w:proofErr w:type="spellEnd"/>
      <w:r>
        <w:rPr>
          <w:rFonts w:ascii="Google Sans Text" w:eastAsia="Google Sans Text" w:hAnsi="Google Sans Text" w:cs="Google Sans Text"/>
          <w:color w:val="1F1F1F"/>
        </w:rPr>
        <w:t>, and constrained optimization into a single pipeline.</w:t>
      </w:r>
    </w:p>
    <w:p w14:paraId="2EB49189"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1: Sequential Feature Extraction</w:t>
      </w:r>
    </w:p>
    <w:p w14:paraId="2EB4918A"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algorithm begins by processing the 30 sequential sets. A Consistency-aware Hybrid Static-Dynamic Multivariate forecasting Network (CHSDM-Net) is trained to understand the relationship between </w:t>
      </w:r>
      <w:r>
        <w:rPr>
          <w:rFonts w:ascii="Google Sans Text" w:eastAsia="Google Sans Text" w:hAnsi="Google Sans Text" w:cs="Google Sans Text"/>
          <w:noProof/>
          <w:color w:val="1F1F1F"/>
        </w:rPr>
        <w:drawing>
          <wp:inline distT="19050" distB="19050" distL="19050" distR="19050" wp14:anchorId="2EB4929C" wp14:editId="2EB4929D">
            <wp:extent cx="129863" cy="194794"/>
            <wp:effectExtent l="0" t="0" r="0" b="0"/>
            <wp:docPr id="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and </w:t>
      </w:r>
      <w:r>
        <w:rPr>
          <w:rFonts w:ascii="Google Sans Text" w:eastAsia="Google Sans Text" w:hAnsi="Google Sans Text" w:cs="Google Sans Text"/>
          <w:noProof/>
          <w:color w:val="1F1F1F"/>
        </w:rPr>
        <w:drawing>
          <wp:inline distT="19050" distB="19050" distL="19050" distR="19050" wp14:anchorId="2EB4929E" wp14:editId="2EB4929F">
            <wp:extent cx="82153" cy="197168"/>
            <wp:effectExtent l="0" t="0" r="0" b="0"/>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This network consists of a Static Representation Module for the 6D vectors and a Dynamic Temporal Disentanglement Module for the evolving results. The dynamic module specifically disentangles the trend and periodic components, ensuring that the model can distinguish between long-term growth and seasonal fluctuations.</w:t>
      </w:r>
      <w:r>
        <w:rPr>
          <w:rFonts w:ascii="Google Sans Text" w:eastAsia="Google Sans Text" w:hAnsi="Google Sans Text" w:cs="Google Sans Text"/>
          <w:color w:val="444746"/>
          <w:sz w:val="24"/>
          <w:szCs w:val="24"/>
          <w:vertAlign w:val="superscript"/>
        </w:rPr>
        <w:t>1</w:t>
      </w:r>
    </w:p>
    <w:p w14:paraId="2EB4918B"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To ensure accuracy, the training must account for dynamic bias by including lagged dependent variables and using bias-correction estimators. This prevents the model from misattributing historical momentum to the static features.</w:t>
      </w:r>
      <w:r>
        <w:rPr>
          <w:rFonts w:ascii="Google Sans Text" w:eastAsia="Google Sans Text" w:hAnsi="Google Sans Text" w:cs="Google Sans Text"/>
          <w:color w:val="444746"/>
          <w:sz w:val="24"/>
          <w:szCs w:val="24"/>
          <w:vertAlign w:val="superscript"/>
        </w:rPr>
        <w:t>6</w:t>
      </w:r>
    </w:p>
    <w:p w14:paraId="2EB4918C"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2: Boundary Definition and Manifold Learning</w:t>
      </w:r>
    </w:p>
    <w:p w14:paraId="2EB4918D"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convex hull of the </w:t>
      </w:r>
      <w:r>
        <w:rPr>
          <w:rFonts w:ascii="Google Sans Text" w:eastAsia="Google Sans Text" w:hAnsi="Google Sans Text" w:cs="Google Sans Text"/>
          <w:noProof/>
          <w:color w:val="1F1F1F"/>
        </w:rPr>
        <w:drawing>
          <wp:inline distT="19050" distB="19050" distL="19050" distR="19050" wp14:anchorId="2EB492A0" wp14:editId="2EB492A1">
            <wp:extent cx="96951" cy="245229"/>
            <wp:effectExtent l="0" t="0" r="0" b="0"/>
            <wp:docPr id="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96951" cy="245229"/>
                    </a:xfrm>
                    <a:prstGeom prst="rect">
                      <a:avLst/>
                    </a:prstGeom>
                    <a:ln/>
                  </pic:spPr>
                </pic:pic>
              </a:graphicData>
            </a:graphic>
          </wp:inline>
        </w:drawing>
      </w:r>
      <w:r>
        <w:rPr>
          <w:rFonts w:ascii="Google Sans Text" w:eastAsia="Google Sans Text" w:hAnsi="Google Sans Text" w:cs="Google Sans Text"/>
          <w:color w:val="1F1F1F"/>
        </w:rPr>
        <w:t xml:space="preserve"> existing 6D vectors is computed to define the feasible region. If the data is nearly coplanar, PCA is used to project the data into a 4D or 5D space before the hull is estimated. The facets of this hull are converted into a set of linear inequality constraints:</w:t>
      </w:r>
    </w:p>
    <w:p w14:paraId="2EB4918E" w14:textId="77777777" w:rsidR="00167178"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A2" wp14:editId="2EB492A3">
            <wp:extent cx="5905500" cy="398259"/>
            <wp:effectExtent l="0" t="0" r="0" b="0"/>
            <wp:docPr id="6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5905500" cy="398259"/>
                    </a:xfrm>
                    <a:prstGeom prst="rect">
                      <a:avLst/>
                    </a:prstGeom>
                    <a:ln/>
                  </pic:spPr>
                </pic:pic>
              </a:graphicData>
            </a:graphic>
          </wp:inline>
        </w:drawing>
      </w:r>
    </w:p>
    <w:p w14:paraId="2EB4918F"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Simultaneously, a Variational Autoencoder (VAE) or a Latent Diffusion Model is trained on the distribution of </w:t>
      </w:r>
      <w:r>
        <w:rPr>
          <w:rFonts w:ascii="Google Sans Text" w:eastAsia="Google Sans Text" w:hAnsi="Google Sans Text" w:cs="Google Sans Text"/>
          <w:noProof/>
          <w:color w:val="1F1F1F"/>
        </w:rPr>
        <w:drawing>
          <wp:inline distT="19050" distB="19050" distL="19050" distR="19050" wp14:anchorId="2EB492A4" wp14:editId="2EB492A5">
            <wp:extent cx="129863" cy="194794"/>
            <wp:effectExtent l="0" t="0" r="0" b="0"/>
            <wp:docPr id="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This model learns the "manifold of validity," ensuring that even before the constraints are applied, the generative process is biased toward the kinds of vectors that </w:t>
      </w:r>
      <w:proofErr w:type="gramStart"/>
      <w:r>
        <w:rPr>
          <w:rFonts w:ascii="Google Sans Text" w:eastAsia="Google Sans Text" w:hAnsi="Google Sans Text" w:cs="Google Sans Text"/>
          <w:color w:val="1F1F1F"/>
        </w:rPr>
        <w:t>actually exist</w:t>
      </w:r>
      <w:proofErr w:type="gramEnd"/>
      <w:r>
        <w:rPr>
          <w:rFonts w:ascii="Google Sans Text" w:eastAsia="Google Sans Text" w:hAnsi="Google Sans Text" w:cs="Google Sans Text"/>
          <w:color w:val="1F1F1F"/>
        </w:rPr>
        <w:t xml:space="preserve"> in the domain.</w:t>
      </w:r>
      <w:r>
        <w:rPr>
          <w:rFonts w:ascii="Google Sans Text" w:eastAsia="Google Sans Text" w:hAnsi="Google Sans Text" w:cs="Google Sans Text"/>
          <w:color w:val="444746"/>
          <w:sz w:val="24"/>
          <w:szCs w:val="24"/>
          <w:vertAlign w:val="superscript"/>
        </w:rPr>
        <w:t>16</w:t>
      </w:r>
    </w:p>
    <w:p w14:paraId="2EB49190"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3: Generative Multi-Objective Search</w:t>
      </w:r>
    </w:p>
    <w:p w14:paraId="2EB49191" w14:textId="77777777" w:rsidR="0016717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population of candidate vectors </w:t>
      </w:r>
      <w:r>
        <w:rPr>
          <w:rFonts w:ascii="Google Sans Text" w:eastAsia="Google Sans Text" w:hAnsi="Google Sans Text" w:cs="Google Sans Text"/>
          <w:noProof/>
          <w:color w:val="1F1F1F"/>
        </w:rPr>
        <w:drawing>
          <wp:inline distT="19050" distB="19050" distL="19050" distR="19050" wp14:anchorId="2EB492A6" wp14:editId="2EB492A7">
            <wp:extent cx="222222" cy="238889"/>
            <wp:effectExtent l="0" t="0" r="0" b="0"/>
            <wp:docPr id="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is generated by the VAE. These candidates </w:t>
      </w:r>
      <w:proofErr w:type="gramStart"/>
      <w:r>
        <w:rPr>
          <w:rFonts w:ascii="Google Sans Text" w:eastAsia="Google Sans Text" w:hAnsi="Google Sans Text" w:cs="Google Sans Text"/>
          <w:color w:val="1F1F1F"/>
        </w:rPr>
        <w:t>are then evolved</w:t>
      </w:r>
      <w:proofErr w:type="gramEnd"/>
      <w:r>
        <w:rPr>
          <w:rFonts w:ascii="Google Sans Text" w:eastAsia="Google Sans Text" w:hAnsi="Google Sans Text" w:cs="Google Sans Text"/>
          <w:color w:val="1F1F1F"/>
        </w:rPr>
        <w:t xml:space="preserve"> using NSGA-II. The fitness of each candidate is evaluated using the CHSDM-Net from Step 1:</w:t>
      </w:r>
    </w:p>
    <w:p w14:paraId="2EB49192" w14:textId="77777777" w:rsidR="0016717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Objective 1 (Reward):</w:t>
      </w:r>
      <w:r>
        <w:rPr>
          <w:rFonts w:ascii="Google Sans Text" w:eastAsia="Google Sans Text" w:hAnsi="Google Sans Text" w:cs="Google Sans Text"/>
          <w:color w:val="1F1F1F"/>
        </w:rPr>
        <w:t xml:space="preserve"> Maximize predicted </w:t>
      </w:r>
      <w:r>
        <w:rPr>
          <w:rFonts w:ascii="Google Sans Text" w:eastAsia="Google Sans Text" w:hAnsi="Google Sans Text" w:cs="Google Sans Text"/>
          <w:noProof/>
          <w:color w:val="1F1F1F"/>
        </w:rPr>
        <w:drawing>
          <wp:inline distT="19050" distB="19050" distL="19050" distR="19050" wp14:anchorId="2EB492A8" wp14:editId="2EB492A9">
            <wp:extent cx="333800" cy="235302"/>
            <wp:effectExtent l="0" t="0" r="0" b="0"/>
            <wp:docPr id="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33800" cy="235302"/>
                    </a:xfrm>
                    <a:prstGeom prst="rect">
                      <a:avLst/>
                    </a:prstGeom>
                    <a:ln/>
                  </pic:spPr>
                </pic:pic>
              </a:graphicData>
            </a:graphic>
          </wp:inline>
        </w:drawing>
      </w:r>
      <w:r>
        <w:rPr>
          <w:rFonts w:ascii="Google Sans Text" w:eastAsia="Google Sans Text" w:hAnsi="Google Sans Text" w:cs="Google Sans Text"/>
          <w:color w:val="1F1F1F"/>
        </w:rPr>
        <w:t>.</w:t>
      </w:r>
    </w:p>
    <w:p w14:paraId="2EB49193" w14:textId="77777777" w:rsidR="00167178"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Objective 2 (Stability):</w:t>
      </w:r>
      <w:r>
        <w:rPr>
          <w:rFonts w:ascii="Google Sans Text" w:eastAsia="Google Sans Text" w:hAnsi="Google Sans Text" w:cs="Google Sans Text"/>
          <w:color w:val="1F1F1F"/>
        </w:rPr>
        <w:t xml:space="preserve"> Minimize the variance of predicted </w:t>
      </w:r>
      <w:r>
        <w:rPr>
          <w:rFonts w:ascii="Google Sans Text" w:eastAsia="Google Sans Text" w:hAnsi="Google Sans Text" w:cs="Google Sans Text"/>
          <w:noProof/>
          <w:color w:val="1F1F1F"/>
        </w:rPr>
        <w:drawing>
          <wp:inline distT="19050" distB="19050" distL="19050" distR="19050" wp14:anchorId="2EB492AA" wp14:editId="2EB492AB">
            <wp:extent cx="82153" cy="197168"/>
            <wp:effectExtent l="0" t="0" r="0" b="0"/>
            <wp:docPr id="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over the window </w:t>
      </w:r>
      <w:r>
        <w:rPr>
          <w:rFonts w:ascii="Google Sans Text" w:eastAsia="Google Sans Text" w:hAnsi="Google Sans Text" w:cs="Google Sans Text"/>
          <w:noProof/>
          <w:color w:val="1F1F1F"/>
        </w:rPr>
        <w:drawing>
          <wp:inline distT="19050" distB="19050" distL="19050" distR="19050" wp14:anchorId="2EB492AC" wp14:editId="2EB492AD">
            <wp:extent cx="432707" cy="238544"/>
            <wp:effectExtent l="0" t="0" r="0" b="0"/>
            <wp:docPr id="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a:stretch>
                      <a:fillRect/>
                    </a:stretch>
                  </pic:blipFill>
                  <pic:spPr>
                    <a:xfrm>
                      <a:off x="0" y="0"/>
                      <a:ext cx="432707" cy="238544"/>
                    </a:xfrm>
                    <a:prstGeom prst="rect">
                      <a:avLst/>
                    </a:prstGeom>
                    <a:ln/>
                  </pic:spPr>
                </pic:pic>
              </a:graphicData>
            </a:graphic>
          </wp:inline>
        </w:drawing>
      </w:r>
      <w:r>
        <w:rPr>
          <w:rFonts w:ascii="Google Sans Text" w:eastAsia="Google Sans Text" w:hAnsi="Google Sans Text" w:cs="Google Sans Text"/>
          <w:color w:val="1F1F1F"/>
        </w:rPr>
        <w:t xml:space="preserve"> to </w:t>
      </w:r>
      <w:r>
        <w:rPr>
          <w:rFonts w:ascii="Google Sans Text" w:eastAsia="Google Sans Text" w:hAnsi="Google Sans Text" w:cs="Google Sans Text"/>
          <w:noProof/>
          <w:color w:val="1F1F1F"/>
        </w:rPr>
        <w:drawing>
          <wp:inline distT="19050" distB="19050" distL="19050" distR="19050" wp14:anchorId="2EB492AE" wp14:editId="2EB492AF">
            <wp:extent cx="105541" cy="238856"/>
            <wp:effectExtent l="0" t="0" r="0" b="0"/>
            <wp:docPr id="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105541" cy="238856"/>
                    </a:xfrm>
                    <a:prstGeom prst="rect">
                      <a:avLst/>
                    </a:prstGeom>
                    <a:ln/>
                  </pic:spPr>
                </pic:pic>
              </a:graphicData>
            </a:graphic>
          </wp:inline>
        </w:drawing>
      </w:r>
      <w:r>
        <w:rPr>
          <w:rFonts w:ascii="Google Sans Text" w:eastAsia="Google Sans Text" w:hAnsi="Google Sans Text" w:cs="Google Sans Text"/>
          <w:color w:val="1F1F1F"/>
        </w:rPr>
        <w:t>.</w:t>
      </w:r>
    </w:p>
    <w:p w14:paraId="2EB49194" w14:textId="77777777" w:rsidR="00167178"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 xml:space="preserve">During each evolutionary generation, candidate vectors that fall outside the </w:t>
      </w:r>
      <w:r>
        <w:rPr>
          <w:rFonts w:ascii="Google Sans Text" w:eastAsia="Google Sans Text" w:hAnsi="Google Sans Text" w:cs="Google Sans Text"/>
          <w:noProof/>
          <w:color w:val="1F1F1F"/>
        </w:rPr>
        <w:drawing>
          <wp:inline distT="19050" distB="19050" distL="19050" distR="19050" wp14:anchorId="2EB492B0" wp14:editId="2EB492B1">
            <wp:extent cx="611896" cy="234925"/>
            <wp:effectExtent l="0" t="0" r="0" b="0"/>
            <wp:docPr id="5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9"/>
                    <a:srcRect/>
                    <a:stretch>
                      <a:fillRect/>
                    </a:stretch>
                  </pic:blipFill>
                  <pic:spPr>
                    <a:xfrm>
                      <a:off x="0" y="0"/>
                      <a:ext cx="611896" cy="234925"/>
                    </a:xfrm>
                    <a:prstGeom prst="rect">
                      <a:avLst/>
                    </a:prstGeom>
                    <a:ln/>
                  </pic:spPr>
                </pic:pic>
              </a:graphicData>
            </a:graphic>
          </wp:inline>
        </w:drawing>
      </w:r>
      <w:r>
        <w:rPr>
          <w:rFonts w:ascii="Google Sans Text" w:eastAsia="Google Sans Text" w:hAnsi="Google Sans Text" w:cs="Google Sans Text"/>
          <w:color w:val="1F1F1F"/>
        </w:rPr>
        <w:t xml:space="preserve"> boundary are projected back onto the nearest facet of the convex hull. This ensures that the population never wanders into "impossible" regions of the 6D space.</w:t>
      </w:r>
      <w:r>
        <w:rPr>
          <w:rFonts w:ascii="Google Sans Text" w:eastAsia="Google Sans Text" w:hAnsi="Google Sans Text" w:cs="Google Sans Text"/>
          <w:color w:val="444746"/>
          <w:sz w:val="24"/>
          <w:szCs w:val="24"/>
          <w:vertAlign w:val="superscript"/>
        </w:rPr>
        <w:t>20</w:t>
      </w:r>
    </w:p>
    <w:p w14:paraId="2EB49195"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4: Bayesian Refinement and Safety</w:t>
      </w:r>
    </w:p>
    <w:p w14:paraId="2EB49196"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For the top-performing candidates on the NSGA-II Pareto front, a Safe Bayesian Optimization (</w:t>
      </w:r>
      <w:proofErr w:type="spellStart"/>
      <w:r>
        <w:rPr>
          <w:rFonts w:ascii="Google Sans Text" w:eastAsia="Google Sans Text" w:hAnsi="Google Sans Text" w:cs="Google Sans Text"/>
          <w:color w:val="1F1F1F"/>
        </w:rPr>
        <w:t>SafeOpt</w:t>
      </w:r>
      <w:proofErr w:type="spellEnd"/>
      <w:r>
        <w:rPr>
          <w:rFonts w:ascii="Google Sans Text" w:eastAsia="Google Sans Text" w:hAnsi="Google Sans Text" w:cs="Google Sans Text"/>
          <w:color w:val="1F1F1F"/>
        </w:rPr>
        <w:t xml:space="preserve">) procedure is initiated. </w:t>
      </w:r>
      <w:proofErr w:type="spellStart"/>
      <w:r>
        <w:rPr>
          <w:rFonts w:ascii="Google Sans Text" w:eastAsia="Google Sans Text" w:hAnsi="Google Sans Text" w:cs="Google Sans Text"/>
          <w:color w:val="1F1F1F"/>
        </w:rPr>
        <w:t>SafeOpt</w:t>
      </w:r>
      <w:proofErr w:type="spellEnd"/>
      <w:r>
        <w:rPr>
          <w:rFonts w:ascii="Google Sans Text" w:eastAsia="Google Sans Text" w:hAnsi="Google Sans Text" w:cs="Google Sans Text"/>
          <w:color w:val="1F1F1F"/>
        </w:rPr>
        <w:t xml:space="preserve"> uses Gaussian Process (GP) surrogates to model the reward and stability landscapes. GPs provide a probabilistic mean </w:t>
      </w:r>
      <w:r>
        <w:rPr>
          <w:rFonts w:ascii="Google Sans Text" w:eastAsia="Google Sans Text" w:hAnsi="Google Sans Text" w:cs="Google Sans Text"/>
          <w:noProof/>
          <w:color w:val="1F1F1F"/>
        </w:rPr>
        <w:drawing>
          <wp:inline distT="19050" distB="19050" distL="19050" distR="19050" wp14:anchorId="2EB492B2" wp14:editId="2EB492B3">
            <wp:extent cx="403282" cy="237550"/>
            <wp:effectExtent l="0" t="0" r="0" b="0"/>
            <wp:docPr id="9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0"/>
                    <a:srcRect/>
                    <a:stretch>
                      <a:fillRect/>
                    </a:stretch>
                  </pic:blipFill>
                  <pic:spPr>
                    <a:xfrm>
                      <a:off x="0" y="0"/>
                      <a:ext cx="403282" cy="237550"/>
                    </a:xfrm>
                    <a:prstGeom prst="rect">
                      <a:avLst/>
                    </a:prstGeom>
                    <a:ln/>
                  </pic:spPr>
                </pic:pic>
              </a:graphicData>
            </a:graphic>
          </wp:inline>
        </w:drawing>
      </w:r>
      <w:r>
        <w:rPr>
          <w:rFonts w:ascii="Google Sans Text" w:eastAsia="Google Sans Text" w:hAnsi="Google Sans Text" w:cs="Google Sans Text"/>
          <w:color w:val="1F1F1F"/>
        </w:rPr>
        <w:t xml:space="preserve"> and variance </w:t>
      </w:r>
      <w:r>
        <w:rPr>
          <w:rFonts w:ascii="Google Sans Text" w:eastAsia="Google Sans Text" w:hAnsi="Google Sans Text" w:cs="Google Sans Text"/>
          <w:noProof/>
          <w:color w:val="1F1F1F"/>
        </w:rPr>
        <w:drawing>
          <wp:inline distT="19050" distB="19050" distL="19050" distR="19050" wp14:anchorId="2EB492B4" wp14:editId="2EB492B5">
            <wp:extent cx="477696" cy="236103"/>
            <wp:effectExtent l="0" t="0" r="0" b="0"/>
            <wp:docPr id="9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1"/>
                    <a:srcRect/>
                    <a:stretch>
                      <a:fillRect/>
                    </a:stretch>
                  </pic:blipFill>
                  <pic:spPr>
                    <a:xfrm>
                      <a:off x="0" y="0"/>
                      <a:ext cx="477696" cy="236103"/>
                    </a:xfrm>
                    <a:prstGeom prst="rect">
                      <a:avLst/>
                    </a:prstGeom>
                    <a:ln/>
                  </pic:spPr>
                </pic:pic>
              </a:graphicData>
            </a:graphic>
          </wp:inline>
        </w:drawing>
      </w:r>
      <w:r>
        <w:rPr>
          <w:rFonts w:ascii="Google Sans Text" w:eastAsia="Google Sans Text" w:hAnsi="Google Sans Text" w:cs="Google Sans Text"/>
          <w:color w:val="1F1F1F"/>
        </w:rPr>
        <w:t>, allowing for principled uncertainty quantification.</w:t>
      </w:r>
    </w:p>
    <w:p w14:paraId="2EB49197" w14:textId="77777777" w:rsidR="00167178"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19050" distB="19050" distL="19050" distR="19050" wp14:anchorId="2EB492B6" wp14:editId="2EB492B7">
            <wp:extent cx="5905500" cy="398259"/>
            <wp:effectExtent l="0" t="0" r="0" b="0"/>
            <wp:docPr id="9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5905500" cy="398259"/>
                    </a:xfrm>
                    <a:prstGeom prst="rect">
                      <a:avLst/>
                    </a:prstGeom>
                    <a:ln/>
                  </pic:spPr>
                </pic:pic>
              </a:graphicData>
            </a:graphic>
          </wp:inline>
        </w:drawing>
      </w:r>
    </w:p>
    <w:p w14:paraId="2EB49198"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roofErr w:type="spellStart"/>
      <w:r>
        <w:rPr>
          <w:rFonts w:ascii="Google Sans Text" w:eastAsia="Google Sans Text" w:hAnsi="Google Sans Text" w:cs="Google Sans Text"/>
          <w:color w:val="1F1F1F"/>
        </w:rPr>
        <w:t>SafeOpt</w:t>
      </w:r>
      <w:proofErr w:type="spellEnd"/>
      <w:r>
        <w:rPr>
          <w:rFonts w:ascii="Google Sans Text" w:eastAsia="Google Sans Text" w:hAnsi="Google Sans Text" w:cs="Google Sans Text"/>
          <w:color w:val="1F1F1F"/>
        </w:rPr>
        <w:t xml:space="preserve"> ensures that the performance of the synthesized vector never falls below a critical threshold (defined by the user) with high probability. This "safe exploration" refines the synthesized coordinates to the most stable possible configuration within the 6D space.</w:t>
      </w:r>
      <w:r>
        <w:rPr>
          <w:rFonts w:ascii="Google Sans Text" w:eastAsia="Google Sans Text" w:hAnsi="Google Sans Text" w:cs="Google Sans Text"/>
          <w:color w:val="444746"/>
          <w:sz w:val="24"/>
          <w:szCs w:val="24"/>
          <w:vertAlign w:val="superscript"/>
        </w:rPr>
        <w:t>2</w:t>
      </w:r>
    </w:p>
    <w:p w14:paraId="2EB49199"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5: Final ANN Mapping</w:t>
      </w:r>
    </w:p>
    <w:p w14:paraId="2EB4919A"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single optimal vector </w:t>
      </w:r>
      <w:r>
        <w:rPr>
          <w:rFonts w:ascii="Google Sans Text" w:eastAsia="Google Sans Text" w:hAnsi="Google Sans Text" w:cs="Google Sans Text"/>
          <w:noProof/>
          <w:color w:val="1F1F1F"/>
        </w:rPr>
        <w:drawing>
          <wp:inline distT="19050" distB="19050" distL="19050" distR="19050" wp14:anchorId="2EB492B8" wp14:editId="2EB492B9">
            <wp:extent cx="290937" cy="231672"/>
            <wp:effectExtent l="0" t="0" r="0" b="0"/>
            <wp:docPr id="9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3"/>
                    <a:srcRect/>
                    <a:stretch>
                      <a:fillRect/>
                    </a:stretch>
                  </pic:blipFill>
                  <pic:spPr>
                    <a:xfrm>
                      <a:off x="0" y="0"/>
                      <a:ext cx="290937" cy="231672"/>
                    </a:xfrm>
                    <a:prstGeom prst="rect">
                      <a:avLst/>
                    </a:prstGeom>
                    <a:ln/>
                  </pic:spPr>
                </pic:pic>
              </a:graphicData>
            </a:graphic>
          </wp:inline>
        </w:drawing>
      </w:r>
      <w:r>
        <w:rPr>
          <w:rFonts w:ascii="Google Sans Text" w:eastAsia="Google Sans Text" w:hAnsi="Google Sans Text" w:cs="Google Sans Text"/>
          <w:color w:val="1F1F1F"/>
        </w:rPr>
        <w:t xml:space="preserve"> (or a set of candidates from the Pareto front) is passed to an HNSW index. The index retrieves the </w:t>
      </w:r>
      <w:r>
        <w:rPr>
          <w:rFonts w:ascii="Google Sans Text" w:eastAsia="Google Sans Text" w:hAnsi="Google Sans Text" w:cs="Google Sans Text"/>
          <w:noProof/>
          <w:color w:val="1F1F1F"/>
        </w:rPr>
        <w:drawing>
          <wp:inline distT="19050" distB="19050" distL="19050" distR="19050" wp14:anchorId="2EB492BA" wp14:editId="2EB492BB">
            <wp:extent cx="101883" cy="230578"/>
            <wp:effectExtent l="0" t="0" r="0" b="0"/>
            <wp:docPr id="10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101883" cy="230578"/>
                    </a:xfrm>
                    <a:prstGeom prst="rect">
                      <a:avLst/>
                    </a:prstGeom>
                    <a:ln/>
                  </pic:spPr>
                </pic:pic>
              </a:graphicData>
            </a:graphic>
          </wp:inline>
        </w:drawing>
      </w:r>
      <w:r>
        <w:rPr>
          <w:rFonts w:ascii="Google Sans Text" w:eastAsia="Google Sans Text" w:hAnsi="Google Sans Text" w:cs="Google Sans Text"/>
          <w:color w:val="1F1F1F"/>
        </w:rPr>
        <w:t xml:space="preserve">-nearest real vectors </w:t>
      </w:r>
      <w:r>
        <w:rPr>
          <w:rFonts w:ascii="Google Sans Text" w:eastAsia="Google Sans Text" w:hAnsi="Google Sans Text" w:cs="Google Sans Text"/>
          <w:noProof/>
          <w:color w:val="1F1F1F"/>
        </w:rPr>
        <w:drawing>
          <wp:inline distT="19050" distB="19050" distL="19050" distR="19050" wp14:anchorId="2EB492BC" wp14:editId="2EB492BD">
            <wp:extent cx="344431" cy="235088"/>
            <wp:effectExtent l="0" t="0" r="0" b="0"/>
            <wp:docPr id="10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344431" cy="235088"/>
                    </a:xfrm>
                    <a:prstGeom prst="rect">
                      <a:avLst/>
                    </a:prstGeom>
                    <a:ln/>
                  </pic:spPr>
                </pic:pic>
              </a:graphicData>
            </a:graphic>
          </wp:inline>
        </w:drawing>
      </w:r>
      <w:r>
        <w:rPr>
          <w:rFonts w:ascii="Google Sans Text" w:eastAsia="Google Sans Text" w:hAnsi="Google Sans Text" w:cs="Google Sans Text"/>
          <w:color w:val="1F1F1F"/>
        </w:rPr>
        <w:t xml:space="preserve"> from the original 28,000 entities. By selecting the real vector that is closest to the synthesized ideal, the algorithm provides a solution that is both mathematically optimized for stability and reward, and physically present in the dataset.</w:t>
      </w:r>
      <w:r>
        <w:rPr>
          <w:rFonts w:ascii="Google Sans Text" w:eastAsia="Google Sans Text" w:hAnsi="Google Sans Text" w:cs="Google Sans Text"/>
          <w:color w:val="444746"/>
          <w:sz w:val="24"/>
          <w:szCs w:val="24"/>
          <w:vertAlign w:val="superscript"/>
        </w:rPr>
        <w:t>32</w:t>
      </w:r>
    </w:p>
    <w:p w14:paraId="2EB4919B"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Analytical Insights into High-Dimensional Performance</w:t>
      </w:r>
    </w:p>
    <w:p w14:paraId="2EB4919C"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synthesis task provides deeper insights into the relationship between structural identity and temporal performance.</w:t>
      </w:r>
    </w:p>
    <w:p w14:paraId="2EB4919D"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First-Order Insight: The Stability-Complexity Trade-off</w:t>
      </w:r>
    </w:p>
    <w:p w14:paraId="2EB4919E"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optimization landscape in </w:t>
      </w:r>
      <w:r>
        <w:rPr>
          <w:rFonts w:ascii="Google Sans Text" w:eastAsia="Google Sans Text" w:hAnsi="Google Sans Text" w:cs="Google Sans Text"/>
          <w:noProof/>
          <w:color w:val="1F1F1F"/>
        </w:rPr>
        <w:drawing>
          <wp:inline distT="19050" distB="19050" distL="19050" distR="19050" wp14:anchorId="2EB492BE" wp14:editId="2EB492BF">
            <wp:extent cx="434068" cy="233311"/>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4068" cy="233311"/>
                    </a:xfrm>
                    <a:prstGeom prst="rect">
                      <a:avLst/>
                    </a:prstGeom>
                    <a:ln/>
                  </pic:spPr>
                </pic:pic>
              </a:graphicData>
            </a:graphic>
          </wp:inline>
        </w:drawing>
      </w:r>
      <w:r>
        <w:rPr>
          <w:rFonts w:ascii="Google Sans Text" w:eastAsia="Google Sans Text" w:hAnsi="Google Sans Text" w:cs="Google Sans Text"/>
          <w:color w:val="1F1F1F"/>
        </w:rPr>
        <w:t xml:space="preserve"> often exhibits "islands" of stability. High-dimensional systems are prone to the "curse of dimensionality," where most of the volume of the space is near the boundary. This means that the most stable and high-performing vectors are likely located near the "edges" of the observed convex hull—where specific combinations of features reach a functional limit. The use of a "minimal volume" approach for the hull is critical because over-estimating the feasible volume allows the optimizer to select vectors </w:t>
      </w:r>
      <w:r>
        <w:rPr>
          <w:rFonts w:ascii="Google Sans Text" w:eastAsia="Google Sans Text" w:hAnsi="Google Sans Text" w:cs="Google Sans Text"/>
          <w:color w:val="1F1F1F"/>
        </w:rPr>
        <w:lastRenderedPageBreak/>
        <w:t>that are "theoretically" possible but "practically" unstable due to the lack of surrounding data support.</w:t>
      </w:r>
      <w:r>
        <w:rPr>
          <w:rFonts w:ascii="Google Sans Text" w:eastAsia="Google Sans Text" w:hAnsi="Google Sans Text" w:cs="Google Sans Text"/>
          <w:color w:val="444746"/>
          <w:sz w:val="24"/>
          <w:szCs w:val="24"/>
          <w:vertAlign w:val="superscript"/>
        </w:rPr>
        <w:t>22</w:t>
      </w:r>
    </w:p>
    <w:p w14:paraId="2EB4919F"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Second-Order Insight: Disentangling Static Influence</w:t>
      </w:r>
    </w:p>
    <w:p w14:paraId="2EB491A0"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ability to disentangle trend and periodic components in the results </w:t>
      </w:r>
      <w:r>
        <w:rPr>
          <w:rFonts w:ascii="Google Sans Text" w:eastAsia="Google Sans Text" w:hAnsi="Google Sans Text" w:cs="Google Sans Text"/>
          <w:noProof/>
          <w:color w:val="1F1F1F"/>
        </w:rPr>
        <w:drawing>
          <wp:inline distT="19050" distB="19050" distL="19050" distR="19050" wp14:anchorId="2EB492C0" wp14:editId="2EB492C1">
            <wp:extent cx="82153" cy="197168"/>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is what allows the algorithm to identify "true" stability. A vector </w:t>
      </w:r>
      <w:r>
        <w:rPr>
          <w:rFonts w:ascii="Google Sans Text" w:eastAsia="Google Sans Text" w:hAnsi="Google Sans Text" w:cs="Google Sans Text"/>
          <w:noProof/>
          <w:color w:val="1F1F1F"/>
        </w:rPr>
        <w:drawing>
          <wp:inline distT="19050" distB="19050" distL="19050" distR="19050" wp14:anchorId="2EB492C2" wp14:editId="2EB492C3">
            <wp:extent cx="129863" cy="194794"/>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might appear stable because it sits in a periodic trough, only to spike later. By using trend-wise attention and periodic-aware attention blocks, the algorithm can recognize that </w:t>
      </w:r>
      <w:r>
        <w:rPr>
          <w:rFonts w:ascii="Google Sans Text" w:eastAsia="Google Sans Text" w:hAnsi="Google Sans Text" w:cs="Google Sans Text"/>
          <w:noProof/>
          <w:color w:val="1F1F1F"/>
        </w:rPr>
        <w:drawing>
          <wp:inline distT="19050" distB="19050" distL="19050" distR="19050" wp14:anchorId="2EB492C4" wp14:editId="2EB492C5">
            <wp:extent cx="129863" cy="194794"/>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is </w:t>
      </w:r>
      <w:proofErr w:type="gramStart"/>
      <w:r>
        <w:rPr>
          <w:rFonts w:ascii="Google Sans Text" w:eastAsia="Google Sans Text" w:hAnsi="Google Sans Text" w:cs="Google Sans Text"/>
          <w:color w:val="1F1F1F"/>
        </w:rPr>
        <w:t>actually volatile</w:t>
      </w:r>
      <w:proofErr w:type="gramEnd"/>
      <w:r>
        <w:rPr>
          <w:rFonts w:ascii="Google Sans Text" w:eastAsia="Google Sans Text" w:hAnsi="Google Sans Text" w:cs="Google Sans Text"/>
          <w:color w:val="1F1F1F"/>
        </w:rPr>
        <w:t>, but its volatility is currently hidden by a seasonal pattern. This foresight is what allows the synthesizer to avoid "one-hit wonders".</w:t>
      </w:r>
      <w:r>
        <w:rPr>
          <w:rFonts w:ascii="Google Sans Text" w:eastAsia="Google Sans Text" w:hAnsi="Google Sans Text" w:cs="Google Sans Text"/>
          <w:color w:val="444746"/>
          <w:sz w:val="24"/>
          <w:szCs w:val="24"/>
          <w:vertAlign w:val="superscript"/>
        </w:rPr>
        <w:t>1</w:t>
      </w:r>
    </w:p>
    <w:p w14:paraId="2EB491A1"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Third-Order Insight: Generative Visibility and GEO</w:t>
      </w:r>
    </w:p>
    <w:p w14:paraId="2EB491A2"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In modern digital ecosystems, "visibility" is often managed through Generative Engine Optimization (GEO). While typically applied to search results, the principles of GEO—focusing on clarity, authority, and trust—can be applied metaphorically to vector synthesis. A synthesized vector must have high "visibility" in the model's reward space. This means the features in </w:t>
      </w:r>
      <w:r>
        <w:rPr>
          <w:rFonts w:ascii="Google Sans Text" w:eastAsia="Google Sans Text" w:hAnsi="Google Sans Text" w:cs="Google Sans Text"/>
          <w:noProof/>
          <w:color w:val="1F1F1F"/>
        </w:rPr>
        <w:drawing>
          <wp:inline distT="19050" distB="19050" distL="19050" distR="19050" wp14:anchorId="2EB492C6" wp14:editId="2EB492C7">
            <wp:extent cx="129863" cy="194794"/>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29863" cy="194794"/>
                    </a:xfrm>
                    <a:prstGeom prst="rect">
                      <a:avLst/>
                    </a:prstGeom>
                    <a:ln/>
                  </pic:spPr>
                </pic:pic>
              </a:graphicData>
            </a:graphic>
          </wp:inline>
        </w:drawing>
      </w:r>
      <w:r>
        <w:rPr>
          <w:rFonts w:ascii="Google Sans Text" w:eastAsia="Google Sans Text" w:hAnsi="Google Sans Text" w:cs="Google Sans Text"/>
          <w:color w:val="1F1F1F"/>
        </w:rPr>
        <w:t xml:space="preserve"> must create a "strong signal" that the model recognizes as authoritative for high performance. Just as AI models value E-E-A-T (Experience, Expertise, Authoritativeness, and Trustworthiness) in content, the generative synthesizer values vectors that show "Experience" (historical stability) and "Expertise" (consistent high </w:t>
      </w:r>
      <w:r>
        <w:rPr>
          <w:rFonts w:ascii="Google Sans Text" w:eastAsia="Google Sans Text" w:hAnsi="Google Sans Text" w:cs="Google Sans Text"/>
          <w:noProof/>
          <w:color w:val="1F1F1F"/>
        </w:rPr>
        <w:drawing>
          <wp:inline distT="19050" distB="19050" distL="19050" distR="19050" wp14:anchorId="2EB492C8" wp14:editId="2EB492C9">
            <wp:extent cx="82153" cy="197168"/>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values).</w:t>
      </w:r>
      <w:r>
        <w:rPr>
          <w:rFonts w:ascii="Google Sans Text" w:eastAsia="Google Sans Text" w:hAnsi="Google Sans Text" w:cs="Google Sans Text"/>
          <w:color w:val="444746"/>
          <w:sz w:val="24"/>
          <w:szCs w:val="24"/>
          <w:vertAlign w:val="superscript"/>
        </w:rPr>
        <w:t>44</w:t>
      </w:r>
    </w:p>
    <w:p w14:paraId="2EB491A3" w14:textId="77777777" w:rsidR="0016717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Broader Implications for Predictive Engineering</w:t>
      </w:r>
    </w:p>
    <w:p w14:paraId="2EB491A4"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methodology developed for the Set </w:t>
      </w:r>
      <w:r>
        <w:rPr>
          <w:rFonts w:ascii="Google Sans Text" w:eastAsia="Google Sans Text" w:hAnsi="Google Sans Text" w:cs="Google Sans Text"/>
          <w:noProof/>
          <w:color w:val="1F1F1F"/>
        </w:rPr>
        <w:drawing>
          <wp:inline distT="19050" distB="19050" distL="19050" distR="19050" wp14:anchorId="2EB492CA" wp14:editId="2EB492CB">
            <wp:extent cx="423097" cy="23627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3097" cy="236275"/>
                    </a:xfrm>
                    <a:prstGeom prst="rect">
                      <a:avLst/>
                    </a:prstGeom>
                    <a:ln/>
                  </pic:spPr>
                </pic:pic>
              </a:graphicData>
            </a:graphic>
          </wp:inline>
        </w:drawing>
      </w:r>
      <w:r>
        <w:rPr>
          <w:rFonts w:ascii="Google Sans Text" w:eastAsia="Google Sans Text" w:hAnsi="Google Sans Text" w:cs="Google Sans Text"/>
          <w:color w:val="1F1F1F"/>
        </w:rPr>
        <w:t xml:space="preserve"> synthesis problem has broad applications across various scientific and industrial domains.</w:t>
      </w:r>
    </w:p>
    <w:p w14:paraId="2EB491A5"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Personalized Medicine and Biological Circuits</w:t>
      </w:r>
    </w:p>
    <w:p w14:paraId="2EB491A6"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In personalized plasma medicine, Safe Bayesian Optimization (</w:t>
      </w:r>
      <w:proofErr w:type="spellStart"/>
      <w:r>
        <w:rPr>
          <w:rFonts w:ascii="Google Sans Text" w:eastAsia="Google Sans Text" w:hAnsi="Google Sans Text" w:cs="Google Sans Text"/>
          <w:color w:val="1F1F1F"/>
        </w:rPr>
        <w:t>SafeOpt</w:t>
      </w:r>
      <w:proofErr w:type="spellEnd"/>
      <w:r>
        <w:rPr>
          <w:rFonts w:ascii="Google Sans Text" w:eastAsia="Google Sans Text" w:hAnsi="Google Sans Text" w:cs="Google Sans Text"/>
          <w:color w:val="1F1F1F"/>
        </w:rPr>
        <w:t xml:space="preserve">) is used to control the temperature and intensity of plasma jets, ensuring they stay below a safe threshold (e.g., 45°C) while maximizing therapeutic effect. Similarly, computational optimization can aid in the design of synthetic biological circuits—jointly optimizing circuit architecture and parameters to ensure robustness to perturbations. The synthesis of a Set </w:t>
      </w:r>
      <w:r>
        <w:rPr>
          <w:rFonts w:ascii="Google Sans Text" w:eastAsia="Google Sans Text" w:hAnsi="Google Sans Text" w:cs="Google Sans Text"/>
          <w:noProof/>
          <w:color w:val="1F1F1F"/>
        </w:rPr>
        <w:drawing>
          <wp:inline distT="19050" distB="19050" distL="19050" distR="19050" wp14:anchorId="2EB492CC" wp14:editId="2EB492CD">
            <wp:extent cx="423097" cy="23627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3097" cy="236275"/>
                    </a:xfrm>
                    <a:prstGeom prst="rect">
                      <a:avLst/>
                    </a:prstGeom>
                    <a:ln/>
                  </pic:spPr>
                </pic:pic>
              </a:graphicData>
            </a:graphic>
          </wp:inline>
        </w:drawing>
      </w:r>
      <w:r>
        <w:rPr>
          <w:rFonts w:ascii="Google Sans Text" w:eastAsia="Google Sans Text" w:hAnsi="Google Sans Text" w:cs="Google Sans Text"/>
          <w:color w:val="1F1F1F"/>
        </w:rPr>
        <w:t xml:space="preserve"> vector is essentially the creation of an "optimized circuit" that is designed to thrive in the next temporal step of a biological or physical process.</w:t>
      </w:r>
      <w:r>
        <w:rPr>
          <w:rFonts w:ascii="Google Sans Text" w:eastAsia="Google Sans Text" w:hAnsi="Google Sans Text" w:cs="Google Sans Text"/>
          <w:color w:val="444746"/>
          <w:sz w:val="24"/>
          <w:szCs w:val="24"/>
          <w:vertAlign w:val="superscript"/>
        </w:rPr>
        <w:t>2</w:t>
      </w:r>
    </w:p>
    <w:p w14:paraId="2EB491A7" w14:textId="77777777" w:rsidR="0016717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Energy and Environmental Management</w:t>
      </w:r>
    </w:p>
    <w:p w14:paraId="2EB491A8"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 xml:space="preserve">In smart grids and solar energy, the ability to minimize both general forecast error and peak forecast error is essential for stability. Systems like </w:t>
      </w:r>
      <w:proofErr w:type="spellStart"/>
      <w:r>
        <w:rPr>
          <w:rFonts w:ascii="Google Sans Text" w:eastAsia="Google Sans Text" w:hAnsi="Google Sans Text" w:cs="Google Sans Text"/>
          <w:color w:val="1F1F1F"/>
        </w:rPr>
        <w:t>MHSys</w:t>
      </w:r>
      <w:proofErr w:type="spellEnd"/>
      <w:r>
        <w:rPr>
          <w:rFonts w:ascii="Google Sans Text" w:eastAsia="Google Sans Text" w:hAnsi="Google Sans Text" w:cs="Google Sans Text"/>
          <w:color w:val="1F1F1F"/>
        </w:rPr>
        <w:t xml:space="preserve"> use NSGA-II to find the best set of hyperparameters for time series forecasting, allowing energy providers to balance the need for accurate average forecasts with the need to predict "peak instants" where consumption might crash the system. The synthesized vector </w:t>
      </w:r>
      <w:r>
        <w:rPr>
          <w:rFonts w:ascii="Google Sans Text" w:eastAsia="Google Sans Text" w:hAnsi="Google Sans Text" w:cs="Google Sans Text"/>
          <w:noProof/>
          <w:color w:val="1F1F1F"/>
        </w:rPr>
        <w:drawing>
          <wp:inline distT="19050" distB="19050" distL="19050" distR="19050" wp14:anchorId="2EB492CE" wp14:editId="2EB492CF">
            <wp:extent cx="222222" cy="238889"/>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22222" cy="238889"/>
                    </a:xfrm>
                    <a:prstGeom prst="rect">
                      <a:avLst/>
                    </a:prstGeom>
                    <a:ln/>
                  </pic:spPr>
                </pic:pic>
              </a:graphicData>
            </a:graphic>
          </wp:inline>
        </w:drawing>
      </w:r>
      <w:r>
        <w:rPr>
          <w:rFonts w:ascii="Google Sans Text" w:eastAsia="Google Sans Text" w:hAnsi="Google Sans Text" w:cs="Google Sans Text"/>
          <w:color w:val="1F1F1F"/>
        </w:rPr>
        <w:t xml:space="preserve"> can be seen as the "ideal" load profile or generator configuration for the upcoming day.</w:t>
      </w:r>
      <w:r>
        <w:rPr>
          <w:rFonts w:ascii="Google Sans Text" w:eastAsia="Google Sans Text" w:hAnsi="Google Sans Text" w:cs="Google Sans Text"/>
          <w:color w:val="444746"/>
          <w:sz w:val="24"/>
          <w:szCs w:val="24"/>
          <w:vertAlign w:val="superscript"/>
        </w:rPr>
        <w:t>12</w:t>
      </w:r>
    </w:p>
    <w:p w14:paraId="2EB491A9" w14:textId="77777777" w:rsidR="0016717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Similarly, near-real-time reconstruction of soil moisture profiles relies on the lagged response relationship between shallow and deep soil moisture. The </w:t>
      </w:r>
      <w:r>
        <w:rPr>
          <w:rFonts w:ascii="Google Sans Text" w:eastAsia="Google Sans Text" w:hAnsi="Google Sans Text" w:cs="Google Sans Text"/>
          <w:noProof/>
          <w:color w:val="1F1F1F"/>
        </w:rPr>
        <w:drawing>
          <wp:inline distT="19050" distB="19050" distL="19050" distR="19050" wp14:anchorId="2EB492D0" wp14:editId="2EB492D1">
            <wp:extent cx="105541" cy="238856"/>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105541" cy="238856"/>
                    </a:xfrm>
                    <a:prstGeom prst="rect">
                      <a:avLst/>
                    </a:prstGeom>
                    <a:ln/>
                  </pic:spPr>
                </pic:pic>
              </a:graphicData>
            </a:graphic>
          </wp:inline>
        </w:drawing>
      </w:r>
      <w:r>
        <w:rPr>
          <w:rFonts w:ascii="Google Sans Text" w:eastAsia="Google Sans Text" w:hAnsi="Google Sans Text" w:cs="Google Sans Text"/>
          <w:color w:val="1F1F1F"/>
        </w:rPr>
        <w:t xml:space="preserve"> sequential sets in our problem represent these lagged responses. A synthesized vector that maximizes </w:t>
      </w:r>
      <w:r>
        <w:rPr>
          <w:rFonts w:ascii="Google Sans Text" w:eastAsia="Google Sans Text" w:hAnsi="Google Sans Text" w:cs="Google Sans Text"/>
          <w:noProof/>
          <w:color w:val="1F1F1F"/>
        </w:rPr>
        <w:drawing>
          <wp:inline distT="19050" distB="19050" distL="19050" distR="19050" wp14:anchorId="2EB492D2" wp14:editId="2EB492D3">
            <wp:extent cx="82153" cy="197168"/>
            <wp:effectExtent l="0" t="0" r="0" b="0"/>
            <wp:docPr id="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2153" cy="197168"/>
                    </a:xfrm>
                    <a:prstGeom prst="rect">
                      <a:avLst/>
                    </a:prstGeom>
                    <a:ln/>
                  </pic:spPr>
                </pic:pic>
              </a:graphicData>
            </a:graphic>
          </wp:inline>
        </w:drawing>
      </w:r>
      <w:r>
        <w:rPr>
          <w:rFonts w:ascii="Google Sans Text" w:eastAsia="Google Sans Text" w:hAnsi="Google Sans Text" w:cs="Google Sans Text"/>
          <w:color w:val="1F1F1F"/>
        </w:rPr>
        <w:t xml:space="preserve"> while maintaining stability is equivalent to a soil management strategy that maintains optimal moisture levels without risking the "spike" of saturation or the "crash" of drought.</w:t>
      </w:r>
      <w:r>
        <w:rPr>
          <w:rFonts w:ascii="Google Sans Text" w:eastAsia="Google Sans Text" w:hAnsi="Google Sans Text" w:cs="Google Sans Text"/>
          <w:color w:val="444746"/>
          <w:sz w:val="24"/>
          <w:szCs w:val="24"/>
          <w:vertAlign w:val="superscript"/>
        </w:rPr>
        <w:t>48</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67178" w14:paraId="2EB491A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A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Application Area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A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Static Identity (V)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A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Dynamic Result (z)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AD"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Stability Context</w:t>
            </w:r>
          </w:p>
        </w:tc>
      </w:tr>
      <w:tr w:rsidR="00167178" w14:paraId="2EB491B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AF"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Plasma Medicine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Device Settings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Tissue Temp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2"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Patient Safety</w:t>
            </w:r>
          </w:p>
        </w:tc>
      </w:tr>
      <w:tr w:rsidR="00167178" w14:paraId="2EB491B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4"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Smart Grids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5"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Generator Params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6"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Energy Load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7"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Grid Reliability</w:t>
            </w:r>
          </w:p>
        </w:tc>
      </w:tr>
      <w:tr w:rsidR="00167178" w14:paraId="2EB491B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9"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Soil Science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A"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Sensor Depths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B"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Moisture Level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C"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Irrigation Efficiency</w:t>
            </w:r>
          </w:p>
        </w:tc>
      </w:tr>
      <w:tr w:rsidR="00167178" w14:paraId="2EB491C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E"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Finance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BF"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Portfolio Weights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C0"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Asset Returns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491C1" w14:textId="77777777" w:rsidR="0016717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Market Risk</w:t>
            </w:r>
          </w:p>
        </w:tc>
      </w:tr>
    </w:tbl>
    <w:p w14:paraId="2EB491C3" w14:textId="77777777" w:rsidR="00167178"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Conclusion</w:t>
      </w:r>
    </w:p>
    <w:p w14:paraId="2EB491C4" w14:textId="77777777" w:rsidR="00167178" w:rsidRDefault="00000000">
      <w:pPr>
        <w:pBdr>
          <w:top w:val="nil"/>
          <w:left w:val="nil"/>
          <w:bottom w:val="nil"/>
          <w:right w:val="nil"/>
          <w:between w:val="nil"/>
        </w:pBdr>
        <w:spacing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generative optimization algorithm for synthesizing a Set </w:t>
      </w:r>
      <w:r>
        <w:rPr>
          <w:rFonts w:ascii="Google Sans Text" w:eastAsia="Google Sans Text" w:hAnsi="Google Sans Text" w:cs="Google Sans Text"/>
          <w:noProof/>
          <w:color w:val="1F1F1F"/>
        </w:rPr>
        <w:drawing>
          <wp:inline distT="19050" distB="19050" distL="19050" distR="19050" wp14:anchorId="2EB492D4" wp14:editId="2EB492D5">
            <wp:extent cx="423097" cy="236275"/>
            <wp:effectExtent l="0" t="0" r="0" b="0"/>
            <wp:docPr id="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3097" cy="236275"/>
                    </a:xfrm>
                    <a:prstGeom prst="rect">
                      <a:avLst/>
                    </a:prstGeom>
                    <a:ln/>
                  </pic:spPr>
                </pic:pic>
              </a:graphicData>
            </a:graphic>
          </wp:inline>
        </w:drawing>
      </w:r>
      <w:r>
        <w:rPr>
          <w:rFonts w:ascii="Google Sans Text" w:eastAsia="Google Sans Text" w:hAnsi="Google Sans Text" w:cs="Google Sans Text"/>
          <w:color w:val="1F1F1F"/>
        </w:rPr>
        <w:t xml:space="preserve"> vector represents a fusion of high-dimensional geometry, temporal forecasting, and multi-objective search. By acknowledging the "dynamic bias" inherent in sequential panel data and employing hybrid architectures like CHSDM-Net, the model achieves a more nuanced understanding of how static features drive evolving performance. The integration of NSGA-II for Pareto search and Safe Bayesian Optimization for refined stability ensures that the synthesized vector is not only a high-performer but a structurally robust one. Grounding this hypothetical ideal in the real-world dataset through HNSW-based Approximate Nearest </w:t>
      </w:r>
      <w:proofErr w:type="spellStart"/>
      <w:r>
        <w:rPr>
          <w:rFonts w:ascii="Google Sans Text" w:eastAsia="Google Sans Text" w:hAnsi="Google Sans Text" w:cs="Google Sans Text"/>
          <w:color w:val="1F1F1F"/>
        </w:rPr>
        <w:t>Neighbor</w:t>
      </w:r>
      <w:proofErr w:type="spellEnd"/>
      <w:r>
        <w:rPr>
          <w:rFonts w:ascii="Google Sans Text" w:eastAsia="Google Sans Text" w:hAnsi="Google Sans Text" w:cs="Google Sans Text"/>
          <w:color w:val="1F1F1F"/>
        </w:rPr>
        <w:t xml:space="preserve"> mapping provides a complete technical pathway from abstract optimization to practical implementation. This </w:t>
      </w:r>
      <w:r>
        <w:rPr>
          <w:rFonts w:ascii="Google Sans Text" w:eastAsia="Google Sans Text" w:hAnsi="Google Sans Text" w:cs="Google Sans Text"/>
          <w:color w:val="1F1F1F"/>
        </w:rPr>
        <w:lastRenderedPageBreak/>
        <w:t>framework, which moves from static classification toward mechanistic perception, provides a robust foundation for decision-making in any domain where invariant structures produce dynamic and critical outcomes.</w:t>
      </w:r>
    </w:p>
    <w:p w14:paraId="2EB491C5" w14:textId="77777777" w:rsidR="00167178"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2EB491C6"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 Consistency-Aware Hybrid Static–Dynamic Multivariate Network ..., accessed on February 10, 2026, </w:t>
      </w:r>
      <w:hyperlink r:id="rId54">
        <w:r>
          <w:rPr>
            <w:rFonts w:ascii="Google Sans" w:eastAsia="Google Sans" w:hAnsi="Google Sans" w:cs="Google Sans"/>
            <w:color w:val="0000EE"/>
            <w:sz w:val="24"/>
            <w:szCs w:val="24"/>
            <w:u w:val="single"/>
          </w:rPr>
          <w:t>https://www.mdpi.com/2504-2289/9/7/163</w:t>
        </w:r>
      </w:hyperlink>
    </w:p>
    <w:p w14:paraId="2EB491C7"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Time-Varying Safe Bayesian Optimization - ETH Research Collection, accessed on February 10, 2026, </w:t>
      </w:r>
      <w:hyperlink r:id="rId55">
        <w:r>
          <w:rPr>
            <w:rFonts w:ascii="Google Sans" w:eastAsia="Google Sans" w:hAnsi="Google Sans" w:cs="Google Sans"/>
            <w:color w:val="0000EE"/>
            <w:sz w:val="24"/>
            <w:szCs w:val="24"/>
            <w:u w:val="single"/>
          </w:rPr>
          <w:t>https://www.research-collection.ethz.ch/bitstreams/20bd3e70-29bb-4aec-be7e-dac122e1df4b/download</w:t>
        </w:r>
      </w:hyperlink>
    </w:p>
    <w:p w14:paraId="2EB491C8"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Adaptive Non-Stationary Fuzzy Time Series Forecasting with Bayesian Networks - MDPI, accessed on February 10, 2026, </w:t>
      </w:r>
      <w:hyperlink r:id="rId56">
        <w:r>
          <w:rPr>
            <w:rFonts w:ascii="Google Sans" w:eastAsia="Google Sans" w:hAnsi="Google Sans" w:cs="Google Sans"/>
            <w:color w:val="0000EE"/>
            <w:sz w:val="24"/>
            <w:szCs w:val="24"/>
            <w:u w:val="single"/>
          </w:rPr>
          <w:t>https://www.mdpi.com/1424-8220/25/5/1628</w:t>
        </w:r>
      </w:hyperlink>
    </w:p>
    <w:p w14:paraId="2EB491C9"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Deep Learning for Blood-Brain Barrier Permeability Prediction - ResearchGate, accessed on February 10, 2026, </w:t>
      </w:r>
      <w:hyperlink r:id="rId57">
        <w:r>
          <w:rPr>
            <w:rFonts w:ascii="Google Sans" w:eastAsia="Google Sans" w:hAnsi="Google Sans" w:cs="Google Sans"/>
            <w:color w:val="0000EE"/>
            <w:sz w:val="24"/>
            <w:szCs w:val="24"/>
            <w:u w:val="single"/>
          </w:rPr>
          <w:t>https://www.researchgate.net/publication/393983070_Deep_Learning_for_Blood-Brain_Barrier_Permeability_Prediction</w:t>
        </w:r>
      </w:hyperlink>
    </w:p>
    <w:p w14:paraId="2EB491CA"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Choosing between static and dynamic panel data analysis - </w:t>
      </w:r>
      <w:proofErr w:type="spellStart"/>
      <w:r>
        <w:rPr>
          <w:rFonts w:ascii="Google Sans" w:eastAsia="Google Sans" w:hAnsi="Google Sans" w:cs="Google Sans"/>
          <w:sz w:val="24"/>
          <w:szCs w:val="24"/>
        </w:rPr>
        <w:t>Statalist</w:t>
      </w:r>
      <w:proofErr w:type="spellEnd"/>
      <w:r>
        <w:rPr>
          <w:rFonts w:ascii="Google Sans" w:eastAsia="Google Sans" w:hAnsi="Google Sans" w:cs="Google Sans"/>
          <w:sz w:val="24"/>
          <w:szCs w:val="24"/>
        </w:rPr>
        <w:t xml:space="preserve">, accessed on February 10, 2026, </w:t>
      </w:r>
      <w:hyperlink r:id="rId58">
        <w:r>
          <w:rPr>
            <w:rFonts w:ascii="Google Sans" w:eastAsia="Google Sans" w:hAnsi="Google Sans" w:cs="Google Sans"/>
            <w:color w:val="0000EE"/>
            <w:sz w:val="24"/>
            <w:szCs w:val="24"/>
            <w:u w:val="single"/>
          </w:rPr>
          <w:t>https://www.statalist.org/forums/forum/general-stata-discussion/general/1766161-choosing-between-static-and-dynamic-panel-data-analysis</w:t>
        </w:r>
      </w:hyperlink>
    </w:p>
    <w:p w14:paraId="2EB491CB"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Dynamic Biases of Static Panel Data Estimators - Sylvia Klosin, accessed on February 10, 2026, </w:t>
      </w:r>
      <w:hyperlink r:id="rId59">
        <w:r>
          <w:rPr>
            <w:rFonts w:ascii="Google Sans" w:eastAsia="Google Sans" w:hAnsi="Google Sans" w:cs="Google Sans"/>
            <w:color w:val="0000EE"/>
            <w:sz w:val="24"/>
            <w:szCs w:val="24"/>
            <w:u w:val="single"/>
          </w:rPr>
          <w:t>https://klosins.github.io/Klosin_JMP.pdf</w:t>
        </w:r>
      </w:hyperlink>
    </w:p>
    <w:p w14:paraId="2EB491CC"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Dynamic Biases of Static Panel Data Estimators - IDEAS/</w:t>
      </w:r>
      <w:proofErr w:type="spellStart"/>
      <w:r>
        <w:rPr>
          <w:rFonts w:ascii="Google Sans" w:eastAsia="Google Sans" w:hAnsi="Google Sans" w:cs="Google Sans"/>
          <w:sz w:val="24"/>
          <w:szCs w:val="24"/>
        </w:rPr>
        <w:t>RePEc</w:t>
      </w:r>
      <w:proofErr w:type="spellEnd"/>
      <w:r>
        <w:rPr>
          <w:rFonts w:ascii="Google Sans" w:eastAsia="Google Sans" w:hAnsi="Google Sans" w:cs="Google Sans"/>
          <w:sz w:val="24"/>
          <w:szCs w:val="24"/>
        </w:rPr>
        <w:t xml:space="preserve">, accessed on February 10, 2026, </w:t>
      </w:r>
      <w:hyperlink r:id="rId60">
        <w:r>
          <w:rPr>
            <w:rFonts w:ascii="Google Sans" w:eastAsia="Google Sans" w:hAnsi="Google Sans" w:cs="Google Sans"/>
            <w:color w:val="0000EE"/>
            <w:sz w:val="24"/>
            <w:szCs w:val="24"/>
            <w:u w:val="single"/>
          </w:rPr>
          <w:t>https://ideas.repec.org/p/arx/papers/2410.16112.html</w:t>
        </w:r>
      </w:hyperlink>
    </w:p>
    <w:p w14:paraId="2EB491CD"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Double machine learning for static panel models with fixed effects - Oxford Academic, accessed on February 10, 2026, </w:t>
      </w:r>
      <w:hyperlink r:id="rId61">
        <w:r>
          <w:rPr>
            <w:rFonts w:ascii="Google Sans" w:eastAsia="Google Sans" w:hAnsi="Google Sans" w:cs="Google Sans"/>
            <w:color w:val="0000EE"/>
            <w:sz w:val="24"/>
            <w:szCs w:val="24"/>
            <w:u w:val="single"/>
          </w:rPr>
          <w:t>https://academic.oup.com/ectj/article/29/1/69/8120202</w:t>
        </w:r>
      </w:hyperlink>
    </w:p>
    <w:p w14:paraId="2EB491CE"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 Multi-Objective Approach to Portfolio Optimization - Rose-Hulman Scholar, accessed on February 10, 2026, </w:t>
      </w:r>
      <w:hyperlink r:id="rId62">
        <w:r>
          <w:rPr>
            <w:rFonts w:ascii="Google Sans" w:eastAsia="Google Sans" w:hAnsi="Google Sans" w:cs="Google Sans"/>
            <w:color w:val="0000EE"/>
            <w:sz w:val="24"/>
            <w:szCs w:val="24"/>
            <w:u w:val="single"/>
          </w:rPr>
          <w:t>https://scholar.rose-hulman.edu/cgi/viewcontent.cgi?article=1193&amp;context=rhumj</w:t>
        </w:r>
      </w:hyperlink>
    </w:p>
    <w:p w14:paraId="2EB491CF"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Portfolio rebalancing based on time series momentum and downside risk - Oxford Academic, accessed on February 10, 2026, </w:t>
      </w:r>
      <w:hyperlink r:id="rId63">
        <w:r>
          <w:rPr>
            <w:rFonts w:ascii="Google Sans" w:eastAsia="Google Sans" w:hAnsi="Google Sans" w:cs="Google Sans"/>
            <w:color w:val="0000EE"/>
            <w:sz w:val="24"/>
            <w:szCs w:val="24"/>
            <w:u w:val="single"/>
          </w:rPr>
          <w:t>https://academic.oup.com/imaman/article/34/2/355/6427746</w:t>
        </w:r>
      </w:hyperlink>
    </w:p>
    <w:p w14:paraId="2EB491D0" w14:textId="77777777" w:rsidR="00167178"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EvoPort</w:t>
      </w:r>
      <w:proofErr w:type="spellEnd"/>
      <w:r>
        <w:rPr>
          <w:rFonts w:ascii="Google Sans" w:eastAsia="Google Sans" w:hAnsi="Google Sans" w:cs="Google Sans"/>
          <w:sz w:val="24"/>
          <w:szCs w:val="24"/>
        </w:rPr>
        <w:t xml:space="preserve">: An Evolutionary Framework for Portfolio Optimization via Randomized Alpha Discovery and Ensemble-Based Allocation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February 10, 2026, </w:t>
      </w:r>
      <w:hyperlink r:id="rId64">
        <w:r>
          <w:rPr>
            <w:rFonts w:ascii="Google Sans" w:eastAsia="Google Sans" w:hAnsi="Google Sans" w:cs="Google Sans"/>
            <w:color w:val="0000EE"/>
            <w:sz w:val="24"/>
            <w:szCs w:val="24"/>
            <w:u w:val="single"/>
          </w:rPr>
          <w:t>https://arxiv.org/html/2504.21095v1</w:t>
        </w:r>
      </w:hyperlink>
    </w:p>
    <w:p w14:paraId="2EB491D1"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Solar radiation times-series forecasting in southern Brazil: A comprehensive analysis | Request PDF - ResearchGate, accessed on February 10, 2026, </w:t>
      </w:r>
      <w:hyperlink r:id="rId65">
        <w:r>
          <w:rPr>
            <w:rFonts w:ascii="Google Sans" w:eastAsia="Google Sans" w:hAnsi="Google Sans" w:cs="Google Sans"/>
            <w:color w:val="0000EE"/>
            <w:sz w:val="24"/>
            <w:szCs w:val="24"/>
            <w:u w:val="single"/>
          </w:rPr>
          <w:t>https://www.researchgate.net/publication/400016129_Solar_radiation_times-series_forecasting_in_southern_Brazil_A_comprehensive_analysis</w:t>
        </w:r>
      </w:hyperlink>
    </w:p>
    <w:p w14:paraId="2EB491D2"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 xml:space="preserve">Portfolio Constraints: An Empirical Analysis - MDPI, accessed on February 10, 2026, </w:t>
      </w:r>
      <w:hyperlink r:id="rId66">
        <w:r>
          <w:rPr>
            <w:rFonts w:ascii="Google Sans" w:eastAsia="Google Sans" w:hAnsi="Google Sans" w:cs="Google Sans"/>
            <w:color w:val="0000EE"/>
            <w:sz w:val="24"/>
            <w:szCs w:val="24"/>
            <w:u w:val="single"/>
          </w:rPr>
          <w:t>https://www.mdpi.com/2227-7072/10/1/9</w:t>
        </w:r>
      </w:hyperlink>
    </w:p>
    <w:p w14:paraId="2EB491D3"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Practical Improvements to Mean-Variance Optimization for Multi-Asset Class Portfolios, accessed on February 10, 2026, </w:t>
      </w:r>
      <w:hyperlink r:id="rId67">
        <w:r>
          <w:rPr>
            <w:rFonts w:ascii="Google Sans" w:eastAsia="Google Sans" w:hAnsi="Google Sans" w:cs="Google Sans"/>
            <w:color w:val="0000EE"/>
            <w:sz w:val="24"/>
            <w:szCs w:val="24"/>
            <w:u w:val="single"/>
          </w:rPr>
          <w:t>https://www.mdpi.com/1911-8074/17/5/183</w:t>
        </w:r>
      </w:hyperlink>
    </w:p>
    <w:p w14:paraId="2EB491D4"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Frontiers of Generative AI for Network Optimization: Theories, Limits, and Visions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February 10, 2026, </w:t>
      </w:r>
      <w:hyperlink r:id="rId68">
        <w:r>
          <w:rPr>
            <w:rFonts w:ascii="Google Sans" w:eastAsia="Google Sans" w:hAnsi="Google Sans" w:cs="Google Sans"/>
            <w:color w:val="0000EE"/>
            <w:sz w:val="24"/>
            <w:szCs w:val="24"/>
            <w:u w:val="single"/>
          </w:rPr>
          <w:t>https://arxiv.org/pdf/2507.01773</w:t>
        </w:r>
      </w:hyperlink>
    </w:p>
    <w:p w14:paraId="2EB491D5"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 Foundation Model for Shape- and Resolution-Free Structural Topology Optimization, accessed on February 10, 2026, </w:t>
      </w:r>
      <w:hyperlink r:id="rId69">
        <w:r>
          <w:rPr>
            <w:rFonts w:ascii="Google Sans" w:eastAsia="Google Sans" w:hAnsi="Google Sans" w:cs="Google Sans"/>
            <w:color w:val="0000EE"/>
            <w:sz w:val="24"/>
            <w:szCs w:val="24"/>
            <w:u w:val="single"/>
          </w:rPr>
          <w:t>https://arxiv.org/html/2510.23667v1</w:t>
        </w:r>
      </w:hyperlink>
    </w:p>
    <w:p w14:paraId="2EB491D6"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Beyond Statistical Similarity: Rethinking Metrics for Deep Generative Models in Engineering Design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February 10, 2026, </w:t>
      </w:r>
      <w:hyperlink r:id="rId70">
        <w:r>
          <w:rPr>
            <w:rFonts w:ascii="Google Sans" w:eastAsia="Google Sans" w:hAnsi="Google Sans" w:cs="Google Sans"/>
            <w:color w:val="0000EE"/>
            <w:sz w:val="24"/>
            <w:szCs w:val="24"/>
            <w:u w:val="single"/>
          </w:rPr>
          <w:t>https://arxiv.org/html/2302.02913v5</w:t>
        </w:r>
      </w:hyperlink>
    </w:p>
    <w:p w14:paraId="2EB491D7"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Daily Papers - Hugging Face, accessed on February 10, 2026, </w:t>
      </w:r>
      <w:hyperlink r:id="rId71">
        <w:r>
          <w:rPr>
            <w:rFonts w:ascii="Google Sans" w:eastAsia="Google Sans" w:hAnsi="Google Sans" w:cs="Google Sans"/>
            <w:color w:val="0000EE"/>
            <w:sz w:val="24"/>
            <w:szCs w:val="24"/>
            <w:u w:val="single"/>
          </w:rPr>
          <w:t>https://huggingface.co/papers?q=generative%20encoder</w:t>
        </w:r>
      </w:hyperlink>
    </w:p>
    <w:p w14:paraId="2EB491D8"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Structural constraint integration in a generative model for the discovery of quantum materials, accessed on February 10, 2026, </w:t>
      </w:r>
      <w:hyperlink r:id="rId72">
        <w:r>
          <w:rPr>
            <w:rFonts w:ascii="Google Sans" w:eastAsia="Google Sans" w:hAnsi="Google Sans" w:cs="Google Sans"/>
            <w:color w:val="0000EE"/>
            <w:sz w:val="24"/>
            <w:szCs w:val="24"/>
            <w:u w:val="single"/>
          </w:rPr>
          <w:t>https://pubmed.ncbi.nlm.nih.gov/40983616/</w:t>
        </w:r>
      </w:hyperlink>
    </w:p>
    <w:p w14:paraId="2EB491D9"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Logic-Guided Vector Fields for Constrained Generative </w:t>
      </w:r>
      <w:proofErr w:type="spellStart"/>
      <w:r>
        <w:rPr>
          <w:rFonts w:ascii="Google Sans" w:eastAsia="Google Sans" w:hAnsi="Google Sans" w:cs="Google Sans"/>
          <w:sz w:val="24"/>
          <w:szCs w:val="24"/>
        </w:rPr>
        <w:t>Modeling</w:t>
      </w:r>
      <w:proofErr w:type="spellEnd"/>
      <w:r>
        <w:rPr>
          <w:rFonts w:ascii="Google Sans" w:eastAsia="Google Sans" w:hAnsi="Google Sans" w:cs="Google Sans"/>
          <w:sz w:val="24"/>
          <w:szCs w:val="24"/>
        </w:rPr>
        <w:t xml:space="preserve">, accessed on February 10, 2026, </w:t>
      </w:r>
      <w:hyperlink r:id="rId73">
        <w:r>
          <w:rPr>
            <w:rFonts w:ascii="Google Sans" w:eastAsia="Google Sans" w:hAnsi="Google Sans" w:cs="Google Sans"/>
            <w:color w:val="0000EE"/>
            <w:sz w:val="24"/>
            <w:szCs w:val="24"/>
            <w:u w:val="single"/>
          </w:rPr>
          <w:t>https://www.arxiv.org/abs/2602.02009</w:t>
        </w:r>
      </w:hyperlink>
    </w:p>
    <w:p w14:paraId="2EB491DA"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Convex hull - Wikipedia, accessed on February 10, 2026, </w:t>
      </w:r>
      <w:hyperlink r:id="rId74">
        <w:r>
          <w:rPr>
            <w:rFonts w:ascii="Google Sans" w:eastAsia="Google Sans" w:hAnsi="Google Sans" w:cs="Google Sans"/>
            <w:color w:val="0000EE"/>
            <w:sz w:val="24"/>
            <w:szCs w:val="24"/>
            <w:u w:val="single"/>
          </w:rPr>
          <w:t>https://en.wikipedia.org/wiki/Convex_hull</w:t>
        </w:r>
      </w:hyperlink>
    </w:p>
    <w:p w14:paraId="2EB491DB"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python - Convex hull in higher dimensions, finding the vertices of a ..., accessed on February 10, 2026, </w:t>
      </w:r>
      <w:hyperlink r:id="rId75">
        <w:r>
          <w:rPr>
            <w:rFonts w:ascii="Google Sans" w:eastAsia="Google Sans" w:hAnsi="Google Sans" w:cs="Google Sans"/>
            <w:color w:val="0000EE"/>
            <w:sz w:val="24"/>
            <w:szCs w:val="24"/>
            <w:u w:val="single"/>
          </w:rPr>
          <w:t>https://stackoverflow.com/questions/27889591/convex-hull-in-higher-dimensions-finding-the-vertices-of-a-polytope</w:t>
        </w:r>
      </w:hyperlink>
    </w:p>
    <w:p w14:paraId="2EB491DC"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Parallel algorithms for higher-dimensional convex hulls - Illinois Experts, accessed on February 10, 2026, </w:t>
      </w:r>
      <w:hyperlink r:id="rId76">
        <w:r>
          <w:rPr>
            <w:rFonts w:ascii="Google Sans" w:eastAsia="Google Sans" w:hAnsi="Google Sans" w:cs="Google Sans"/>
            <w:color w:val="0000EE"/>
            <w:sz w:val="24"/>
            <w:szCs w:val="24"/>
            <w:u w:val="single"/>
          </w:rPr>
          <w:t>https://experts.illinois.edu/en/publications/parallel-algorithms-for-higher-dimensional-convex-hulls/</w:t>
        </w:r>
      </w:hyperlink>
    </w:p>
    <w:p w14:paraId="2EB491DD"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generate higher dimensional convex hull? - Mathematica Stack Exchange, accessed on February 10, 2026, </w:t>
      </w:r>
      <w:hyperlink r:id="rId77">
        <w:r>
          <w:rPr>
            <w:rFonts w:ascii="Google Sans" w:eastAsia="Google Sans" w:hAnsi="Google Sans" w:cs="Google Sans"/>
            <w:color w:val="0000EE"/>
            <w:sz w:val="24"/>
            <w:szCs w:val="24"/>
            <w:u w:val="single"/>
          </w:rPr>
          <w:t>https://mathematica.stackexchange.com/questions/113492/how-to-generate-higher-dimensional-convex-hull</w:t>
        </w:r>
      </w:hyperlink>
    </w:p>
    <w:p w14:paraId="2EB491DE"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arXiv:2407.17341v2 [</w:t>
      </w:r>
      <w:proofErr w:type="spellStart"/>
      <w:proofErr w:type="gramStart"/>
      <w:r>
        <w:rPr>
          <w:rFonts w:ascii="Google Sans" w:eastAsia="Google Sans" w:hAnsi="Google Sans" w:cs="Google Sans"/>
          <w:sz w:val="24"/>
          <w:szCs w:val="24"/>
        </w:rPr>
        <w:t>math.OC</w:t>
      </w:r>
      <w:proofErr w:type="spellEnd"/>
      <w:proofErr w:type="gramEnd"/>
      <w:r>
        <w:rPr>
          <w:rFonts w:ascii="Google Sans" w:eastAsia="Google Sans" w:hAnsi="Google Sans" w:cs="Google Sans"/>
          <w:sz w:val="24"/>
          <w:szCs w:val="24"/>
        </w:rPr>
        <w:t xml:space="preserve">] 26 Jul 2024, accessed on February 10, 2026, </w:t>
      </w:r>
      <w:hyperlink r:id="rId78">
        <w:r>
          <w:rPr>
            <w:rFonts w:ascii="Google Sans" w:eastAsia="Google Sans" w:hAnsi="Google Sans" w:cs="Google Sans"/>
            <w:color w:val="0000EE"/>
            <w:sz w:val="24"/>
            <w:szCs w:val="24"/>
            <w:u w:val="single"/>
          </w:rPr>
          <w:t>https://arxiv.org/pdf/2407.17341</w:t>
        </w:r>
      </w:hyperlink>
    </w:p>
    <w:p w14:paraId="2EB491DF"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Minimal Volume Simplex (MVS) approach for convex hull generation in TP Model Transformation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accessed on February 10, 2026, </w:t>
      </w:r>
      <w:hyperlink r:id="rId79">
        <w:r>
          <w:rPr>
            <w:rFonts w:ascii="Google Sans" w:eastAsia="Google Sans" w:hAnsi="Google Sans" w:cs="Google Sans"/>
            <w:color w:val="0000EE"/>
            <w:sz w:val="24"/>
            <w:szCs w:val="24"/>
            <w:u w:val="single"/>
          </w:rPr>
          <w:t>https://scispace.com/pdf/minimal-volume-simplex-mvs-approach-for-convex-hull-4744wp85nl.pdf</w:t>
        </w:r>
      </w:hyperlink>
    </w:p>
    <w:p w14:paraId="2EB491E0"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Multi-objective optimization - Wikipedia, accessed on February 10, 2026, </w:t>
      </w:r>
      <w:hyperlink r:id="rId80">
        <w:r>
          <w:rPr>
            <w:rFonts w:ascii="Google Sans" w:eastAsia="Google Sans" w:hAnsi="Google Sans" w:cs="Google Sans"/>
            <w:color w:val="0000EE"/>
            <w:sz w:val="24"/>
            <w:szCs w:val="24"/>
            <w:u w:val="single"/>
          </w:rPr>
          <w:t>https://en.wikipedia.org/wiki/Multi-objective_optimization</w:t>
        </w:r>
      </w:hyperlink>
    </w:p>
    <w:p w14:paraId="2EB491E1"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(PDF) A hybrid multi-objective approach for time series forecasting ..., accessed on February 10, 2026, </w:t>
      </w:r>
      <w:hyperlink r:id="rId81">
        <w:r>
          <w:rPr>
            <w:rFonts w:ascii="Google Sans" w:eastAsia="Google Sans" w:hAnsi="Google Sans" w:cs="Google Sans"/>
            <w:color w:val="0000EE"/>
            <w:sz w:val="24"/>
            <w:szCs w:val="24"/>
            <w:u w:val="single"/>
          </w:rPr>
          <w:t>https://www.researchgate.net/publication/381074832_A_hybrid_multi-objective_approach_for_time_series_forecasting_considering_peak_instants</w:t>
        </w:r>
      </w:hyperlink>
    </w:p>
    <w:p w14:paraId="2EB491E2"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 xml:space="preserve">Multi-Objective Optimization with NSGA-II - </w:t>
      </w:r>
      <w:proofErr w:type="spellStart"/>
      <w:r>
        <w:rPr>
          <w:rFonts w:ascii="Google Sans" w:eastAsia="Google Sans" w:hAnsi="Google Sans" w:cs="Google Sans"/>
          <w:sz w:val="24"/>
          <w:szCs w:val="24"/>
        </w:rPr>
        <w:t>RPubs</w:t>
      </w:r>
      <w:proofErr w:type="spellEnd"/>
      <w:r>
        <w:rPr>
          <w:rFonts w:ascii="Google Sans" w:eastAsia="Google Sans" w:hAnsi="Google Sans" w:cs="Google Sans"/>
          <w:sz w:val="24"/>
          <w:szCs w:val="24"/>
        </w:rPr>
        <w:t xml:space="preserve">, accessed on February 10, 2026, </w:t>
      </w:r>
      <w:hyperlink r:id="rId82">
        <w:r>
          <w:rPr>
            <w:rFonts w:ascii="Google Sans" w:eastAsia="Google Sans" w:hAnsi="Google Sans" w:cs="Google Sans"/>
            <w:color w:val="0000EE"/>
            <w:sz w:val="24"/>
            <w:szCs w:val="24"/>
            <w:u w:val="single"/>
          </w:rPr>
          <w:t>https://rpubs.com/Argaadya/moea</w:t>
        </w:r>
      </w:hyperlink>
    </w:p>
    <w:p w14:paraId="2EB491E3"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NSGA-II: Multi-Objective Optimization Algorithm - Emergent Mind, accessed on February 10, 2026, </w:t>
      </w:r>
      <w:hyperlink r:id="rId83">
        <w:r>
          <w:rPr>
            <w:rFonts w:ascii="Google Sans" w:eastAsia="Google Sans" w:hAnsi="Google Sans" w:cs="Google Sans"/>
            <w:color w:val="0000EE"/>
            <w:sz w:val="24"/>
            <w:szCs w:val="24"/>
            <w:u w:val="single"/>
          </w:rPr>
          <w:t>https://www.emergentmind.com/topics/non-dominated-sorting-genetic-algorithm-ii-nsga-ii</w:t>
        </w:r>
      </w:hyperlink>
    </w:p>
    <w:p w14:paraId="2EB491E4"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Reinforcement Learning-Guided NSGA-II Enhanced with Gray Relational Coefficient for Multi-Objective Optimization: Application to NASDAQ Portfolio Optimization - MDPI, accessed on February 10, 2026, </w:t>
      </w:r>
      <w:hyperlink r:id="rId84">
        <w:r>
          <w:rPr>
            <w:rFonts w:ascii="Google Sans" w:eastAsia="Google Sans" w:hAnsi="Google Sans" w:cs="Google Sans"/>
            <w:color w:val="0000EE"/>
            <w:sz w:val="24"/>
            <w:szCs w:val="24"/>
            <w:u w:val="single"/>
          </w:rPr>
          <w:t>https://www.mdpi.com/2227-7390/14/2/296</w:t>
        </w:r>
      </w:hyperlink>
    </w:p>
    <w:p w14:paraId="2EB491E5"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Attribute Filtering in Approximate Nearest </w:t>
      </w:r>
      <w:proofErr w:type="spellStart"/>
      <w:r>
        <w:rPr>
          <w:rFonts w:ascii="Google Sans" w:eastAsia="Google Sans" w:hAnsi="Google Sans" w:cs="Google Sans"/>
          <w:sz w:val="24"/>
          <w:szCs w:val="24"/>
        </w:rPr>
        <w:t>Neighbor</w:t>
      </w:r>
      <w:proofErr w:type="spellEnd"/>
      <w:r>
        <w:rPr>
          <w:rFonts w:ascii="Google Sans" w:eastAsia="Google Sans" w:hAnsi="Google Sans" w:cs="Google Sans"/>
          <w:sz w:val="24"/>
          <w:szCs w:val="24"/>
        </w:rPr>
        <w:t xml:space="preserve"> Search: An In-depth Experimental Study, accessed on February 10, 2026, </w:t>
      </w:r>
      <w:hyperlink r:id="rId85">
        <w:r>
          <w:rPr>
            <w:rFonts w:ascii="Google Sans" w:eastAsia="Google Sans" w:hAnsi="Google Sans" w:cs="Google Sans"/>
            <w:color w:val="0000EE"/>
            <w:sz w:val="24"/>
            <w:szCs w:val="24"/>
            <w:u w:val="single"/>
          </w:rPr>
          <w:t>https://arxiv.org/html/2508.16263v1</w:t>
        </w:r>
      </w:hyperlink>
    </w:p>
    <w:p w14:paraId="2EB491E6"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Filtered Approximate Nearest </w:t>
      </w:r>
      <w:proofErr w:type="spellStart"/>
      <w:r>
        <w:rPr>
          <w:rFonts w:ascii="Google Sans" w:eastAsia="Google Sans" w:hAnsi="Google Sans" w:cs="Google Sans"/>
          <w:sz w:val="24"/>
          <w:szCs w:val="24"/>
        </w:rPr>
        <w:t>Neighbor</w:t>
      </w:r>
      <w:proofErr w:type="spellEnd"/>
      <w:r>
        <w:rPr>
          <w:rFonts w:ascii="Google Sans" w:eastAsia="Google Sans" w:hAnsi="Google Sans" w:cs="Google Sans"/>
          <w:sz w:val="24"/>
          <w:szCs w:val="24"/>
        </w:rPr>
        <w:t xml:space="preserve"> Search: A Unified Benchmark and Systematic Experimental Study [Experiment, Analysis &amp; Benchmark]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February 10, 2026, </w:t>
      </w:r>
      <w:hyperlink r:id="rId86">
        <w:r>
          <w:rPr>
            <w:rFonts w:ascii="Google Sans" w:eastAsia="Google Sans" w:hAnsi="Google Sans" w:cs="Google Sans"/>
            <w:color w:val="0000EE"/>
            <w:sz w:val="24"/>
            <w:szCs w:val="24"/>
            <w:u w:val="single"/>
          </w:rPr>
          <w:t>https://arxiv.org/html/2509.07789v1</w:t>
        </w:r>
      </w:hyperlink>
    </w:p>
    <w:p w14:paraId="2EB491E7"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Benchmarking Filtered Approximate Nearest </w:t>
      </w:r>
      <w:proofErr w:type="spellStart"/>
      <w:r>
        <w:rPr>
          <w:rFonts w:ascii="Google Sans" w:eastAsia="Google Sans" w:hAnsi="Google Sans" w:cs="Google Sans"/>
          <w:sz w:val="24"/>
          <w:szCs w:val="24"/>
        </w:rPr>
        <w:t>Neighbor</w:t>
      </w:r>
      <w:proofErr w:type="spellEnd"/>
      <w:r>
        <w:rPr>
          <w:rFonts w:ascii="Google Sans" w:eastAsia="Google Sans" w:hAnsi="Google Sans" w:cs="Google Sans"/>
          <w:sz w:val="24"/>
          <w:szCs w:val="24"/>
        </w:rPr>
        <w:t xml:space="preserve"> Search Algorithms on Transformer-based Embedding Vectors - Torsten Hoefler, accessed on February 10, 2026, </w:t>
      </w:r>
      <w:hyperlink r:id="rId87">
        <w:r>
          <w:rPr>
            <w:rFonts w:ascii="Google Sans" w:eastAsia="Google Sans" w:hAnsi="Google Sans" w:cs="Google Sans"/>
            <w:color w:val="0000EE"/>
            <w:sz w:val="24"/>
            <w:szCs w:val="24"/>
            <w:u w:val="single"/>
          </w:rPr>
          <w:t>http://htor.inf.ethz.ch/publications/img/2025_iff_fanns_benchmark.pdf</w:t>
        </w:r>
      </w:hyperlink>
    </w:p>
    <w:p w14:paraId="2EB491E8"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Dynamic Range-Filtering Approximate Nearest </w:t>
      </w:r>
      <w:proofErr w:type="spellStart"/>
      <w:r>
        <w:rPr>
          <w:rFonts w:ascii="Google Sans" w:eastAsia="Google Sans" w:hAnsi="Google Sans" w:cs="Google Sans"/>
          <w:sz w:val="24"/>
          <w:szCs w:val="24"/>
        </w:rPr>
        <w:t>Neighbor</w:t>
      </w:r>
      <w:proofErr w:type="spellEnd"/>
      <w:r>
        <w:rPr>
          <w:rFonts w:ascii="Google Sans" w:eastAsia="Google Sans" w:hAnsi="Google Sans" w:cs="Google Sans"/>
          <w:sz w:val="24"/>
          <w:szCs w:val="24"/>
        </w:rPr>
        <w:t xml:space="preserve"> Search - VLDB Endowment, accessed on February 10, 2026, </w:t>
      </w:r>
      <w:hyperlink r:id="rId88">
        <w:r>
          <w:rPr>
            <w:rFonts w:ascii="Google Sans" w:eastAsia="Google Sans" w:hAnsi="Google Sans" w:cs="Google Sans"/>
            <w:color w:val="0000EE"/>
            <w:sz w:val="24"/>
            <w:szCs w:val="24"/>
            <w:u w:val="single"/>
          </w:rPr>
          <w:t>https://www.vldb.org/pvldb/vol18/p3256-deng.pdf</w:t>
        </w:r>
      </w:hyperlink>
    </w:p>
    <w:p w14:paraId="2EB491E9"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Comprehensive Guide To Approximate Nearest </w:t>
      </w:r>
      <w:proofErr w:type="spellStart"/>
      <w:r>
        <w:rPr>
          <w:rFonts w:ascii="Google Sans" w:eastAsia="Google Sans" w:hAnsi="Google Sans" w:cs="Google Sans"/>
          <w:sz w:val="24"/>
          <w:szCs w:val="24"/>
        </w:rPr>
        <w:t>Neighbors</w:t>
      </w:r>
      <w:proofErr w:type="spellEnd"/>
      <w:r>
        <w:rPr>
          <w:rFonts w:ascii="Google Sans" w:eastAsia="Google Sans" w:hAnsi="Google Sans" w:cs="Google Sans"/>
          <w:sz w:val="24"/>
          <w:szCs w:val="24"/>
        </w:rPr>
        <w:t xml:space="preserve"> Algorithms - Medium, accessed on February 10, 2026, </w:t>
      </w:r>
      <w:hyperlink r:id="rId89">
        <w:r>
          <w:rPr>
            <w:rFonts w:ascii="Google Sans" w:eastAsia="Google Sans" w:hAnsi="Google Sans" w:cs="Google Sans"/>
            <w:color w:val="0000EE"/>
            <w:sz w:val="24"/>
            <w:szCs w:val="24"/>
            <w:u w:val="single"/>
          </w:rPr>
          <w:t>https://medium.com/data-science/comprehensive-guide-to-approximate-nearest-neighbors-algorithms-8b94f057d6b6</w:t>
        </w:r>
      </w:hyperlink>
    </w:p>
    <w:p w14:paraId="2EB491EA"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Proceedings of the 2025 Annual ACM-SIAM Symposium on Discrete Algorithms (SODA) | Differentiable Approximations for Distance Queries, accessed on February 10, 2026, </w:t>
      </w:r>
      <w:hyperlink r:id="rId90">
        <w:r>
          <w:rPr>
            <w:rFonts w:ascii="Google Sans" w:eastAsia="Google Sans" w:hAnsi="Google Sans" w:cs="Google Sans"/>
            <w:color w:val="0000EE"/>
            <w:sz w:val="24"/>
            <w:szCs w:val="24"/>
            <w:u w:val="single"/>
          </w:rPr>
          <w:t>https://epubs.siam.org/doi/10.1137/1.9781611978322.172</w:t>
        </w:r>
      </w:hyperlink>
    </w:p>
    <w:p w14:paraId="2EB491EB"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Nearest </w:t>
      </w:r>
      <w:proofErr w:type="spellStart"/>
      <w:r>
        <w:rPr>
          <w:rFonts w:ascii="Google Sans" w:eastAsia="Google Sans" w:hAnsi="Google Sans" w:cs="Google Sans"/>
          <w:sz w:val="24"/>
          <w:szCs w:val="24"/>
        </w:rPr>
        <w:t>Neighbor</w:t>
      </w:r>
      <w:proofErr w:type="spellEnd"/>
      <w:r>
        <w:rPr>
          <w:rFonts w:ascii="Google Sans" w:eastAsia="Google Sans" w:hAnsi="Google Sans" w:cs="Google Sans"/>
          <w:sz w:val="24"/>
          <w:szCs w:val="24"/>
        </w:rPr>
        <w:t xml:space="preserve"> based Greedy Coordinate Descent - UT Austin Computer Science, accessed on February 10, 2026, </w:t>
      </w:r>
      <w:hyperlink r:id="rId91">
        <w:r>
          <w:rPr>
            <w:rFonts w:ascii="Google Sans" w:eastAsia="Google Sans" w:hAnsi="Google Sans" w:cs="Google Sans"/>
            <w:color w:val="0000EE"/>
            <w:sz w:val="24"/>
            <w:szCs w:val="24"/>
            <w:u w:val="single"/>
          </w:rPr>
          <w:t>https://www.cs.utexas.edu/~pradeepr/paperz/coord_nips.pdf</w:t>
        </w:r>
      </w:hyperlink>
    </w:p>
    <w:p w14:paraId="2EB491EC"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DNNR: Differential Nearest </w:t>
      </w:r>
      <w:proofErr w:type="spellStart"/>
      <w:r>
        <w:rPr>
          <w:rFonts w:ascii="Google Sans" w:eastAsia="Google Sans" w:hAnsi="Google Sans" w:cs="Google Sans"/>
          <w:sz w:val="24"/>
          <w:szCs w:val="24"/>
        </w:rPr>
        <w:t>Neighbors</w:t>
      </w:r>
      <w:proofErr w:type="spellEnd"/>
      <w:r>
        <w:rPr>
          <w:rFonts w:ascii="Google Sans" w:eastAsia="Google Sans" w:hAnsi="Google Sans" w:cs="Google Sans"/>
          <w:sz w:val="24"/>
          <w:szCs w:val="24"/>
        </w:rPr>
        <w:t xml:space="preserve"> Regression - Proceedings of Machine Learning Research, accessed on February 10, 2026, </w:t>
      </w:r>
      <w:hyperlink r:id="rId92">
        <w:r>
          <w:rPr>
            <w:rFonts w:ascii="Google Sans" w:eastAsia="Google Sans" w:hAnsi="Google Sans" w:cs="Google Sans"/>
            <w:color w:val="0000EE"/>
            <w:sz w:val="24"/>
            <w:szCs w:val="24"/>
            <w:u w:val="single"/>
          </w:rPr>
          <w:t>https://proceedings.mlr.press/v162/nader22a/nader22a.pdf</w:t>
        </w:r>
      </w:hyperlink>
    </w:p>
    <w:p w14:paraId="2EB491ED"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Learning from Invalid Data: On Constraint Satisfaction in Generative Models - MIT </w:t>
      </w:r>
      <w:proofErr w:type="spellStart"/>
      <w:r>
        <w:rPr>
          <w:rFonts w:ascii="Google Sans" w:eastAsia="Google Sans" w:hAnsi="Google Sans" w:cs="Google Sans"/>
          <w:sz w:val="24"/>
          <w:szCs w:val="24"/>
        </w:rPr>
        <w:t>DeCode</w:t>
      </w:r>
      <w:proofErr w:type="spellEnd"/>
      <w:r>
        <w:rPr>
          <w:rFonts w:ascii="Google Sans" w:eastAsia="Google Sans" w:hAnsi="Google Sans" w:cs="Google Sans"/>
          <w:sz w:val="24"/>
          <w:szCs w:val="24"/>
        </w:rPr>
        <w:t xml:space="preserve"> lab, accessed on February 10, 2026, </w:t>
      </w:r>
      <w:hyperlink r:id="rId93">
        <w:r>
          <w:rPr>
            <w:rFonts w:ascii="Google Sans" w:eastAsia="Google Sans" w:hAnsi="Google Sans" w:cs="Google Sans"/>
            <w:color w:val="0000EE"/>
            <w:sz w:val="24"/>
            <w:szCs w:val="24"/>
            <w:u w:val="single"/>
          </w:rPr>
          <w:t>https://decode.mit.edu/assets/papers/2023_giorgio_invalid.pdf</w:t>
        </w:r>
      </w:hyperlink>
    </w:p>
    <w:p w14:paraId="2EB491EE"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UC Berkeley - </w:t>
      </w:r>
      <w:proofErr w:type="spellStart"/>
      <w:r>
        <w:rPr>
          <w:rFonts w:ascii="Google Sans" w:eastAsia="Google Sans" w:hAnsi="Google Sans" w:cs="Google Sans"/>
          <w:sz w:val="24"/>
          <w:szCs w:val="24"/>
        </w:rPr>
        <w:t>eScholarship</w:t>
      </w:r>
      <w:proofErr w:type="spellEnd"/>
      <w:r>
        <w:rPr>
          <w:rFonts w:ascii="Google Sans" w:eastAsia="Google Sans" w:hAnsi="Google Sans" w:cs="Google Sans"/>
          <w:sz w:val="24"/>
          <w:szCs w:val="24"/>
        </w:rPr>
        <w:t xml:space="preserve">, accessed on February 10, 2026, </w:t>
      </w:r>
      <w:hyperlink r:id="rId94">
        <w:r>
          <w:rPr>
            <w:rFonts w:ascii="Google Sans" w:eastAsia="Google Sans" w:hAnsi="Google Sans" w:cs="Google Sans"/>
            <w:color w:val="0000EE"/>
            <w:sz w:val="24"/>
            <w:szCs w:val="24"/>
            <w:u w:val="single"/>
          </w:rPr>
          <w:t>https://escholarship.org/content/qt8mk206v2/qt8mk206v2.pdf</w:t>
        </w:r>
      </w:hyperlink>
    </w:p>
    <w:p w14:paraId="2EB491EF"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Recent Advances in Bayesian Optimization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February 10, 2026, </w:t>
      </w:r>
      <w:hyperlink r:id="rId95">
        <w:r>
          <w:rPr>
            <w:rFonts w:ascii="Google Sans" w:eastAsia="Google Sans" w:hAnsi="Google Sans" w:cs="Google Sans"/>
            <w:color w:val="0000EE"/>
            <w:sz w:val="24"/>
            <w:szCs w:val="24"/>
            <w:u w:val="single"/>
          </w:rPr>
          <w:t>https://arxiv.org/pdf/2206.03301</w:t>
        </w:r>
      </w:hyperlink>
    </w:p>
    <w:p w14:paraId="2EB491F0"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Bayesian optimization with safety constraints: safe and automatic parameter tuning in robotics - PMC, accessed on February 10, 2026, </w:t>
      </w:r>
      <w:hyperlink r:id="rId96">
        <w:r>
          <w:rPr>
            <w:rFonts w:ascii="Google Sans" w:eastAsia="Google Sans" w:hAnsi="Google Sans" w:cs="Google Sans"/>
            <w:color w:val="0000EE"/>
            <w:sz w:val="24"/>
            <w:szCs w:val="24"/>
            <w:u w:val="single"/>
          </w:rPr>
          <w:t>https://pmc.ncbi.nlm.nih.gov/articles/PMC10485113/</w:t>
        </w:r>
      </w:hyperlink>
    </w:p>
    <w:p w14:paraId="2EB491F1"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The Best Generative Engine Optimization (GEO) Agencies of 2026 - LSEO, accessed on February 10, 2026, </w:t>
      </w:r>
      <w:hyperlink r:id="rId97">
        <w:r>
          <w:rPr>
            <w:rFonts w:ascii="Google Sans" w:eastAsia="Google Sans" w:hAnsi="Google Sans" w:cs="Google Sans"/>
            <w:color w:val="0000EE"/>
            <w:sz w:val="24"/>
            <w:szCs w:val="24"/>
            <w:u w:val="single"/>
          </w:rPr>
          <w:t>https://lseo.com/blog/generative-engine-optimization/the-best-generative-engine-optimization-geo-agencies-of-2026/</w:t>
        </w:r>
      </w:hyperlink>
    </w:p>
    <w:p w14:paraId="2EB491F2"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What Is Generative Engine Optimization (GEO)? A Complete Guide - </w:t>
      </w:r>
      <w:proofErr w:type="spellStart"/>
      <w:r>
        <w:rPr>
          <w:rFonts w:ascii="Google Sans" w:eastAsia="Google Sans" w:hAnsi="Google Sans" w:cs="Google Sans"/>
          <w:sz w:val="24"/>
          <w:szCs w:val="24"/>
        </w:rPr>
        <w:t>BrandRadar</w:t>
      </w:r>
      <w:proofErr w:type="spellEnd"/>
      <w:r>
        <w:rPr>
          <w:rFonts w:ascii="Google Sans" w:eastAsia="Google Sans" w:hAnsi="Google Sans" w:cs="Google Sans"/>
          <w:sz w:val="24"/>
          <w:szCs w:val="24"/>
        </w:rPr>
        <w:t xml:space="preserve">, accessed on February 10, 2026, </w:t>
      </w:r>
      <w:hyperlink r:id="rId98">
        <w:r>
          <w:rPr>
            <w:rFonts w:ascii="Google Sans" w:eastAsia="Google Sans" w:hAnsi="Google Sans" w:cs="Google Sans"/>
            <w:color w:val="0000EE"/>
            <w:sz w:val="24"/>
            <w:szCs w:val="24"/>
            <w:u w:val="single"/>
          </w:rPr>
          <w:t>https://www.brandradar.ai/resources/what-is-generative-engine-optimization</w:t>
        </w:r>
      </w:hyperlink>
    </w:p>
    <w:p w14:paraId="2EB491F3"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Generative Engine Optimization (GEO): The Ultimate Guide - </w:t>
      </w:r>
      <w:proofErr w:type="spellStart"/>
      <w:r>
        <w:rPr>
          <w:rFonts w:ascii="Google Sans" w:eastAsia="Google Sans" w:hAnsi="Google Sans" w:cs="Google Sans"/>
          <w:sz w:val="24"/>
          <w:szCs w:val="24"/>
        </w:rPr>
        <w:t>Scopic</w:t>
      </w:r>
      <w:proofErr w:type="spellEnd"/>
      <w:r>
        <w:rPr>
          <w:rFonts w:ascii="Google Sans" w:eastAsia="Google Sans" w:hAnsi="Google Sans" w:cs="Google Sans"/>
          <w:sz w:val="24"/>
          <w:szCs w:val="24"/>
        </w:rPr>
        <w:t xml:space="preserve"> Studios, accessed on February 10, 2026, </w:t>
      </w:r>
      <w:hyperlink r:id="rId99">
        <w:r>
          <w:rPr>
            <w:rFonts w:ascii="Google Sans" w:eastAsia="Google Sans" w:hAnsi="Google Sans" w:cs="Google Sans"/>
            <w:color w:val="0000EE"/>
            <w:sz w:val="24"/>
            <w:szCs w:val="24"/>
            <w:u w:val="single"/>
          </w:rPr>
          <w:t>https://scopicstudios.com/blog/generative-engine-optimization-geo/</w:t>
        </w:r>
      </w:hyperlink>
    </w:p>
    <w:p w14:paraId="2EB491F4"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Bayesian Optimization for Design of Multiscale Biological Circuits - PMC - NIH, accessed on February 10, 2026, </w:t>
      </w:r>
      <w:hyperlink r:id="rId100">
        <w:r>
          <w:rPr>
            <w:rFonts w:ascii="Google Sans" w:eastAsia="Google Sans" w:hAnsi="Google Sans" w:cs="Google Sans"/>
            <w:color w:val="0000EE"/>
            <w:sz w:val="24"/>
            <w:szCs w:val="24"/>
            <w:u w:val="single"/>
          </w:rPr>
          <w:t>https://pmc.ncbi.nlm.nih.gov/articles/PMC10367132/</w:t>
        </w:r>
      </w:hyperlink>
    </w:p>
    <w:p w14:paraId="2EB491F5" w14:textId="77777777" w:rsidR="00167178"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Near Real-Time Reconstruction of 0–200 cm Soil Moisture Profiles in Croplands Using Shallow-Layer Monitoring and Multi-Day Meteorological Accumulations - MDPI, accessed on February 10, 2026, </w:t>
      </w:r>
      <w:hyperlink r:id="rId101">
        <w:r>
          <w:rPr>
            <w:rFonts w:ascii="Google Sans" w:eastAsia="Google Sans" w:hAnsi="Google Sans" w:cs="Google Sans"/>
            <w:color w:val="0000EE"/>
            <w:sz w:val="24"/>
            <w:szCs w:val="24"/>
            <w:u w:val="single"/>
          </w:rPr>
          <w:t>https://www.mdpi.com/2073-4395/15/12/2864</w:t>
        </w:r>
      </w:hyperlink>
    </w:p>
    <w:sectPr w:rsidR="0016717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4FF7C15-0CB6-4E14-AAE6-E7597548A951}"/>
  </w:font>
  <w:font w:name="Google Sans">
    <w:charset w:val="00"/>
    <w:family w:val="auto"/>
    <w:pitch w:val="default"/>
    <w:embedRegular r:id="rId2" w:fontKey="{60601822-C79C-4C98-AF84-4AFE1EDC7DBF}"/>
    <w:embedBold r:id="rId3" w:fontKey="{62EECEC0-BDA4-4FA8-965E-8D4EF6DCAE05}"/>
  </w:font>
  <w:font w:name="Google Sans Text">
    <w:charset w:val="00"/>
    <w:family w:val="auto"/>
    <w:pitch w:val="default"/>
    <w:embedRegular r:id="rId4" w:fontKey="{20C69152-CD7B-4396-9A53-9D726977B88D}"/>
    <w:embedBold r:id="rId5" w:fontKey="{90E55C6F-3A42-4154-B38C-ACBA1000DA49}"/>
    <w:embedItalic r:id="rId6" w:fontKey="{8FEB8C6E-D04F-4364-8134-61EB75BE6FF3}"/>
  </w:font>
  <w:font w:name="Calibri">
    <w:panose1 w:val="020F0502020204030204"/>
    <w:charset w:val="00"/>
    <w:family w:val="swiss"/>
    <w:pitch w:val="variable"/>
    <w:sig w:usb0="E4002EFF" w:usb1="C200247B" w:usb2="00000009" w:usb3="00000000" w:csb0="000001FF" w:csb1="00000000"/>
    <w:embedRegular r:id="rId7" w:fontKey="{0A2EEFBE-A852-4708-A1A2-D98CE0A49E59}"/>
  </w:font>
  <w:font w:name="Cambria">
    <w:panose1 w:val="02040503050406030204"/>
    <w:charset w:val="00"/>
    <w:family w:val="roman"/>
    <w:pitch w:val="variable"/>
    <w:sig w:usb0="E00006FF" w:usb1="420024FF" w:usb2="02000000" w:usb3="00000000" w:csb0="0000019F" w:csb1="00000000"/>
    <w:embedRegular r:id="rId8" w:fontKey="{17FD64B1-0FD7-4A86-8D27-A3A8F4F73C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574"/>
    <w:multiLevelType w:val="multilevel"/>
    <w:tmpl w:val="18D043B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F63238"/>
    <w:multiLevelType w:val="multilevel"/>
    <w:tmpl w:val="74905B1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0253187"/>
    <w:multiLevelType w:val="multilevel"/>
    <w:tmpl w:val="EF1A72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359117D"/>
    <w:multiLevelType w:val="multilevel"/>
    <w:tmpl w:val="46F8FF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17412970">
    <w:abstractNumId w:val="2"/>
  </w:num>
  <w:num w:numId="2" w16cid:durableId="620459797">
    <w:abstractNumId w:val="1"/>
  </w:num>
  <w:num w:numId="3" w16cid:durableId="526597661">
    <w:abstractNumId w:val="3"/>
  </w:num>
  <w:num w:numId="4" w16cid:durableId="74209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178"/>
    <w:rsid w:val="00046CF5"/>
    <w:rsid w:val="00167178"/>
    <w:rsid w:val="00E60A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90DC"/>
  <w15:docId w15:val="{544ACFA7-449A-4EB2-B7CC-3318ECF9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academic.oup.com/imaman/article/34/2/355/6427746" TargetMode="External"/><Relationship Id="rId68" Type="http://schemas.openxmlformats.org/officeDocument/2006/relationships/hyperlink" Target="https://arxiv.org/pdf/2507.01773" TargetMode="External"/><Relationship Id="rId84" Type="http://schemas.openxmlformats.org/officeDocument/2006/relationships/hyperlink" Target="https://www.mdpi.com/2227-7390/14/2/296" TargetMode="External"/><Relationship Id="rId89" Type="http://schemas.openxmlformats.org/officeDocument/2006/relationships/hyperlink" Target="https://medium.com/data-science/comprehensive-guide-to-approximate-nearest-neighbors-algorithms-8b94f057d6b6"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hyperlink" Target="https://www.statalist.org/forums/forum/general-stata-discussion/general/1766161-choosing-between-static-and-dynamic-panel-data-analysis" TargetMode="External"/><Relationship Id="rId74" Type="http://schemas.openxmlformats.org/officeDocument/2006/relationships/hyperlink" Target="https://en.wikipedia.org/wiki/Convex_hull" TargetMode="External"/><Relationship Id="rId79" Type="http://schemas.openxmlformats.org/officeDocument/2006/relationships/hyperlink" Target="https://scispace.com/pdf/minimal-volume-simplex-mvs-approach-for-convex-hull-4744wp85nl.pdf"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hyperlink" Target="https://epubs.siam.org/doi/10.1137/1.9781611978322.172" TargetMode="External"/><Relationship Id="rId95" Type="http://schemas.openxmlformats.org/officeDocument/2006/relationships/hyperlink" Target="https://arxiv.org/pdf/2206.03301"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arxiv.org/html/2504.21095v1" TargetMode="External"/><Relationship Id="rId69" Type="http://schemas.openxmlformats.org/officeDocument/2006/relationships/hyperlink" Target="https://arxiv.org/html/2510.23667v1" TargetMode="External"/><Relationship Id="rId80" Type="http://schemas.openxmlformats.org/officeDocument/2006/relationships/hyperlink" Target="https://en.wikipedia.org/wiki/Multi-objective_optimization" TargetMode="External"/><Relationship Id="rId85" Type="http://schemas.openxmlformats.org/officeDocument/2006/relationships/hyperlink" Target="https://arxiv.org/html/2508.16263v1"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klosins.github.io/Klosin_JMP.pdf" TargetMode="External"/><Relationship Id="rId67" Type="http://schemas.openxmlformats.org/officeDocument/2006/relationships/hyperlink" Target="https://www.mdpi.com/1911-8074/17/5/183" TargetMode="External"/><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mdpi.com/2504-2289/9/7/163" TargetMode="External"/><Relationship Id="rId62" Type="http://schemas.openxmlformats.org/officeDocument/2006/relationships/hyperlink" Target="https://scholar.rose-hulman.edu/cgi/viewcontent.cgi?article=1193&amp;context=rhumj" TargetMode="External"/><Relationship Id="rId70" Type="http://schemas.openxmlformats.org/officeDocument/2006/relationships/hyperlink" Target="https://arxiv.org/html/2302.02913v5" TargetMode="External"/><Relationship Id="rId75" Type="http://schemas.openxmlformats.org/officeDocument/2006/relationships/hyperlink" Target="https://stackoverflow.com/questions/27889591/convex-hull-in-higher-dimensions-finding-the-vertices-of-a-polytope" TargetMode="External"/><Relationship Id="rId83" Type="http://schemas.openxmlformats.org/officeDocument/2006/relationships/hyperlink" Target="https://www.emergentmind.com/topics/non-dominated-sorting-genetic-algorithm-ii-nsga-ii" TargetMode="External"/><Relationship Id="rId88" Type="http://schemas.openxmlformats.org/officeDocument/2006/relationships/hyperlink" Target="https://www.vldb.org/pvldb/vol18/p3256-deng.pdf" TargetMode="External"/><Relationship Id="rId91" Type="http://schemas.openxmlformats.org/officeDocument/2006/relationships/hyperlink" Target="https://www.cs.utexas.edu/~pradeepr/paperz/coord_nips.pdf" TargetMode="External"/><Relationship Id="rId96" Type="http://schemas.openxmlformats.org/officeDocument/2006/relationships/hyperlink" Target="https://pmc.ncbi.nlm.nih.gov/articles/PMC10485113/"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www.researchgate.net/publication/393983070_Deep_Learning_for_Blood-Brain_Barrier_Permeability_Prediction"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s://ideas.repec.org/p/arx/papers/2410.16112.html" TargetMode="External"/><Relationship Id="rId65" Type="http://schemas.openxmlformats.org/officeDocument/2006/relationships/hyperlink" Target="https://www.researchgate.net/publication/400016129_Solar_radiation_times-series_forecasting_in_southern_Brazil_A_comprehensive_analysis" TargetMode="External"/><Relationship Id="rId73" Type="http://schemas.openxmlformats.org/officeDocument/2006/relationships/hyperlink" Target="https://www.arxiv.org/abs/2602.02009" TargetMode="External"/><Relationship Id="rId78" Type="http://schemas.openxmlformats.org/officeDocument/2006/relationships/hyperlink" Target="https://arxiv.org/pdf/2407.17341" TargetMode="External"/><Relationship Id="rId81" Type="http://schemas.openxmlformats.org/officeDocument/2006/relationships/hyperlink" Target="https://www.researchgate.net/publication/381074832_A_hybrid_multi-objective_approach_for_time_series_forecasting_considering_peak_instants" TargetMode="External"/><Relationship Id="rId86" Type="http://schemas.openxmlformats.org/officeDocument/2006/relationships/hyperlink" Target="https://arxiv.org/html/2509.07789v1" TargetMode="External"/><Relationship Id="rId94" Type="http://schemas.openxmlformats.org/officeDocument/2006/relationships/hyperlink" Target="https://escholarship.org/content/qt8mk206v2/qt8mk206v2.pdf" TargetMode="External"/><Relationship Id="rId99" Type="http://schemas.openxmlformats.org/officeDocument/2006/relationships/hyperlink" Target="https://scopicstudios.com/blog/generative-engine-optimization-geo/" TargetMode="External"/><Relationship Id="rId101" Type="http://schemas.openxmlformats.org/officeDocument/2006/relationships/hyperlink" Target="https://www.mdpi.com/2073-4395/15/12/2864"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hyperlink" Target="https://www.research-collection.ethz.ch/bitstreams/20bd3e70-29bb-4aec-be7e-dac122e1df4b/download" TargetMode="External"/><Relationship Id="rId76" Type="http://schemas.openxmlformats.org/officeDocument/2006/relationships/hyperlink" Target="https://experts.illinois.edu/en/publications/parallel-algorithms-for-higher-dimensional-convex-hulls/" TargetMode="External"/><Relationship Id="rId97" Type="http://schemas.openxmlformats.org/officeDocument/2006/relationships/hyperlink" Target="https://lseo.com/blog/generative-engine-optimization/the-best-generative-engine-optimization-geo-agencies-of-2026/" TargetMode="External"/><Relationship Id="rId7" Type="http://schemas.openxmlformats.org/officeDocument/2006/relationships/image" Target="media/image3.png"/><Relationship Id="rId71" Type="http://schemas.openxmlformats.org/officeDocument/2006/relationships/hyperlink" Target="https://huggingface.co/papers?q=generative+encoder" TargetMode="External"/><Relationship Id="rId92" Type="http://schemas.openxmlformats.org/officeDocument/2006/relationships/hyperlink" Target="https://proceedings.mlr.press/v162/nader22a/nader22a.pdf"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www.mdpi.com/2227-7072/10/1/9" TargetMode="External"/><Relationship Id="rId87" Type="http://schemas.openxmlformats.org/officeDocument/2006/relationships/hyperlink" Target="http://htor.inf.ethz.ch/publications/img/2025_iff_fanns_benchmark.pdf" TargetMode="External"/><Relationship Id="rId61" Type="http://schemas.openxmlformats.org/officeDocument/2006/relationships/hyperlink" Target="https://academic.oup.com/ectj/article/29/1/69/8120202" TargetMode="External"/><Relationship Id="rId82" Type="http://schemas.openxmlformats.org/officeDocument/2006/relationships/hyperlink" Target="https://rpubs.com/Argaadya/moea"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hyperlink" Target="https://www.mdpi.com/1424-8220/25/5/1628" TargetMode="External"/><Relationship Id="rId77" Type="http://schemas.openxmlformats.org/officeDocument/2006/relationships/hyperlink" Target="https://mathematica.stackexchange.com/questions/113492/how-to-generate-higher-dimensional-convex-hull" TargetMode="External"/><Relationship Id="rId100" Type="http://schemas.openxmlformats.org/officeDocument/2006/relationships/hyperlink" Target="https://pmc.ncbi.nlm.nih.gov/articles/PMC10367132/"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pubmed.ncbi.nlm.nih.gov/40983616/" TargetMode="External"/><Relationship Id="rId93" Type="http://schemas.openxmlformats.org/officeDocument/2006/relationships/hyperlink" Target="https://decode.mit.edu/assets/papers/2023_giorgio_invalid.pdf" TargetMode="External"/><Relationship Id="rId98" Type="http://schemas.openxmlformats.org/officeDocument/2006/relationships/hyperlink" Target="https://www.brandradar.ai/resources/what-is-generative-engine-optimization"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6057</Words>
  <Characters>34531</Characters>
  <Application>Microsoft Office Word</Application>
  <DocSecurity>0</DocSecurity>
  <Lines>287</Lines>
  <Paragraphs>81</Paragraphs>
  <ScaleCrop>false</ScaleCrop>
  <Company/>
  <LinksUpToDate>false</LinksUpToDate>
  <CharactersWithSpaces>40507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Maarten Kruger</cp:lastModifiedBy>
  <cp:revision>2</cp:revision>
  <dcterms:created xsi:type="dcterms:W3CDTF">2026-02-10T11:31:00Z</dcterms:created>
  <dcterms:modified xsi:type="dcterms:W3CDTF">2026-02-10T11:37:00Z</dcterms:modified>
</cp:coreProperties>
</file>