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SULO-Verified Schema Mapping for OMOP CDM ⇄ FHIR Conversion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Xab941ed756e8783754fafa5df714622df6898e4"/>
    <w:p>
      <w:pPr>
        <w:pStyle w:val="Heading1"/>
      </w:pPr>
      <w:r>
        <w:t xml:space="preserve">Project Proposal: SULO-Verified Schema Mapping for OMOP CDM ⇄ FHIR Conversion</w:t>
      </w:r>
    </w:p>
    <w:p>
      <w:pPr>
        <w:pStyle w:val="FirstParagraph"/>
      </w:pPr>
      <w:r>
        <w:rPr>
          <w:b/>
          <w:bCs/>
        </w:rPr>
        <w:t xml:space="preserve">A reasoner-grounded methodology and tool for discovering, documenting, and executing cross-schema data conversions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Converting between healthcare data standards (OMOP CDM, FHIR) is normally hand-crafted: an engineer</w:t>
      </w:r>
      <w:r>
        <w:t xml:space="preserve"> </w:t>
      </w:r>
      <w:r>
        <w:t xml:space="preserve">decides, by judgment and naming convention, which field on one side</w:t>
      </w:r>
      <w:r>
        <w:t xml:space="preserve"> </w:t>
      </w:r>
      <w:r>
        <w:t xml:space="preserve">“means”</w:t>
      </w:r>
      <w:r>
        <w:t xml:space="preserve"> </w:t>
      </w:r>
      <w:r>
        <w:t xml:space="preserve">which field on the other — a</w:t>
      </w:r>
      <w:r>
        <w:t xml:space="preserve"> </w:t>
      </w:r>
      <w:r>
        <w:t xml:space="preserve">claim that is rarely checked and fails silently, since SHACL/JSON Schema validate shape, not semantic</w:t>
      </w:r>
      <w:r>
        <w:t xml:space="preserve"> </w:t>
      </w:r>
      <w:r>
        <w:t xml:space="preserve">correctness.</w:t>
      </w:r>
    </w:p>
    <w:p>
      <w:pPr>
        <w:pStyle w:val="BodyText"/>
      </w:pPr>
      <w:r>
        <w:t xml:space="preserve">This proposal uses a shared upper-level ontology (</w:t>
      </w:r>
      <w:r>
        <w:rPr>
          <w:b/>
          <w:bCs/>
        </w:rPr>
        <w:t xml:space="preserve">SULO</w:t>
      </w:r>
      <w:r>
        <w:t xml:space="preserve">) and an OWL DL reasoner (</w:t>
      </w:r>
      <w:r>
        <w:rPr>
          <w:b/>
          <w:bCs/>
        </w:rPr>
        <w:t xml:space="preserve">HermiT</w:t>
      </w:r>
      <w:r>
        <w:t xml:space="preserve">) as a</w:t>
      </w:r>
      <w:r>
        <w:t xml:space="preserve"> </w:t>
      </w:r>
      <w:r>
        <w:t xml:space="preserve">verification substrate instead. Two schemas are each mapped into SULO’s upper categories and checked for</w:t>
      </w:r>
      <w:r>
        <w:t xml:space="preserve"> </w:t>
      </w:r>
      <w:r>
        <w:t xml:space="preserve">logical consistency; properties across the two are matched not by name but by</w:t>
      </w:r>
      <w:r>
        <w:t xml:space="preserve"> </w:t>
      </w:r>
      <w:r>
        <w:rPr>
          <w:b/>
          <w:bCs/>
        </w:rPr>
        <w:t xml:space="preserve">structural shape</w:t>
      </w:r>
      <w:r>
        <w:t xml:space="preserve"> </w:t>
      </w:r>
      <w:r>
        <w:t xml:space="preserve">— an</w:t>
      </w:r>
      <w:r>
        <w:t xml:space="preserve"> </w:t>
      </w:r>
      <w:r>
        <w:t xml:space="preserve">identical (domain category, relation pattern, range category) triple. Matches are visualized, rendered as</w:t>
      </w:r>
      <w:r>
        <w:t xml:space="preserve"> </w:t>
      </w:r>
      <w:r>
        <w:t xml:space="preserve">draft declarative mappings, hand-finished where ontology alone can’t decide, and executed by a small</w:t>
      </w:r>
      <w:r>
        <w:t xml:space="preserve"> </w:t>
      </w:r>
      <w:r>
        <w:t xml:space="preserve">generic interpreter with no per-field code.</w:t>
      </w:r>
    </w:p>
    <w:p>
      <w:pPr>
        <w:pStyle w:val="BodyText"/>
      </w:pPr>
      <w:r>
        <w:t xml:space="preserve">Demonstrated end-to-end on OMOP CDM ⇄ FHIR (MIMIC-IV-on-FHIR profiles) for</w:t>
      </w:r>
      <w:r>
        <w:t xml:space="preserve"> </w:t>
      </w:r>
      <w:r>
        <w:rPr>
          <w:b/>
          <w:bCs/>
        </w:rPr>
        <w:t xml:space="preserve">Condition, Observation, and</w:t>
      </w:r>
      <w:r>
        <w:rPr>
          <w:b/>
          <w:bCs/>
        </w:rPr>
        <w:t xml:space="preserve"> </w:t>
      </w:r>
      <w:r>
        <w:rPr>
          <w:b/>
          <w:bCs/>
        </w:rPr>
        <w:t xml:space="preserve">Medication</w:t>
      </w:r>
      <w:r>
        <w:t xml:space="preserve">.</w:t>
      </w:r>
    </w:p>
    <w:bookmarkEnd w:id="9"/>
    <w:bookmarkStart w:id="10" w:name="motivation"/>
    <w:p>
      <w:pPr>
        <w:pStyle w:val="Heading2"/>
      </w:pPr>
      <w:r>
        <w:t xml:space="preserve">2. Motivation</w:t>
      </w:r>
    </w:p>
    <w:p>
      <w:pPr>
        <w:pStyle w:val="Compact"/>
        <w:numPr>
          <w:ilvl w:val="0"/>
          <w:numId w:val="1001"/>
        </w:numPr>
      </w:pPr>
      <w:r>
        <w:t xml:space="preserve">MIMIC-IV is independently published as both OMOP CDM and native FHIR — the same clinical facts, two</w:t>
      </w:r>
      <w:r>
        <w:t xml:space="preserve"> </w:t>
      </w:r>
      <w:r>
        <w:t xml:space="preserve">incompatible schemas, no reasoner-checked bridge.</w:t>
      </w:r>
    </w:p>
    <w:p>
      <w:pPr>
        <w:pStyle w:val="Compact"/>
        <w:numPr>
          <w:ilvl w:val="0"/>
          <w:numId w:val="1001"/>
        </w:numPr>
      </w:pPr>
      <w:r>
        <w:t xml:space="preserve">A mapping claim like</w:t>
      </w:r>
      <w:r>
        <w:t xml:space="preserve"> </w:t>
      </w:r>
      <w:r>
        <w:t xml:space="preserve">“OMOP’s</w:t>
      </w:r>
      <w:r>
        <w:t xml:space="preserve"> </w:t>
      </w:r>
      <w:r>
        <w:rPr>
          <w:rStyle w:val="VerbatimChar"/>
        </w:rPr>
        <w:t xml:space="preserve">condition_concept_id</w:t>
      </w:r>
      <w:r>
        <w:t xml:space="preserve">”</w:t>
      </w:r>
      <w:r>
        <w:t xml:space="preserve"> </w:t>
      </w:r>
      <w:r>
        <w:t xml:space="preserve">↔</w:t>
      </w:r>
      <w:r>
        <w:t xml:space="preserve"> </w:t>
      </w:r>
      <w:r>
        <w:t xml:space="preserve">“</w:t>
      </w:r>
      <w:r>
        <w:rPr>
          <w:rStyle w:val="VerbatimChar"/>
        </w:rPr>
        <w:t xml:space="preserve">Condition.code</w:t>
      </w:r>
      <w:r>
        <w:t xml:space="preserve">”</w:t>
      </w:r>
      <w:r>
        <w:t xml:space="preserve"> </w:t>
      </w:r>
      <w:r>
        <w:t xml:space="preserve">is either right by luck or wrong</w:t>
      </w:r>
      <w:r>
        <w:t xml:space="preserve"> </w:t>
      </w:r>
      <w:r>
        <w:t xml:space="preserve">silently; nothing forces it to be checked against anything but the author’s reading comprehension.</w:t>
      </w:r>
    </w:p>
    <w:p>
      <w:pPr>
        <w:pStyle w:val="Compact"/>
        <w:numPr>
          <w:ilvl w:val="0"/>
          <w:numId w:val="1001"/>
        </w:numPr>
      </w:pPr>
      <w:r>
        <w:t xml:space="preserve">This project’s own prior work hit exactly this failure: an OMOP schema that passed SHACL validation</w:t>
      </w:r>
      <w:r>
        <w:t xml:space="preserve"> </w:t>
      </w:r>
      <w:r>
        <w:t xml:space="preserve">turned out, under a full DL reasoner, to contain</w:t>
      </w:r>
      <w:r>
        <w:t xml:space="preserve"> </w:t>
      </w:r>
      <w:r>
        <w:rPr>
          <w:b/>
          <w:bCs/>
        </w:rPr>
        <w:t xml:space="preserve">44 unsatisfiable classes</w:t>
      </w:r>
      <w:r>
        <w:t xml:space="preserve"> </w:t>
      </w:r>
      <w:r>
        <w:t xml:space="preserve">(§7) — invisible to every</w:t>
      </w:r>
      <w:r>
        <w:t xml:space="preserve"> </w:t>
      </w:r>
      <w:r>
        <w:t xml:space="preserve">validation layer short of a DL reasoner. If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schema needs reasoner verification,</w:t>
      </w:r>
      <w:r>
        <w:t xml:space="preserve"> </w:t>
      </w:r>
      <w:r>
        <w:rPr>
          <w:i/>
          <w:iCs/>
        </w:rPr>
        <w:t xml:space="preserve">cross-schema</w:t>
      </w:r>
      <w:r>
        <w:t xml:space="preserve"> </w:t>
      </w:r>
      <w:r>
        <w:t xml:space="preserve">correspondence needs it more.</w:t>
      </w:r>
    </w:p>
    <w:bookmarkEnd w:id="10"/>
    <w:bookmarkStart w:id="11" w:name="problem"/>
    <w:p>
      <w:pPr>
        <w:pStyle w:val="Heading2"/>
      </w:pPr>
      <w:r>
        <w:t xml:space="preserve">3. Problem</w:t>
      </w:r>
    </w:p>
    <w:p>
      <w:pPr>
        <w:pStyle w:val="FirstParagraph"/>
      </w:pPr>
      <w:r>
        <w:t xml:space="preserve">No standard tool treats a schema’s ontology alignment as a checkable artifact usable to (a) verify its own</w:t>
      </w:r>
      <w:r>
        <w:t xml:space="preserve"> </w:t>
      </w:r>
      <w:r>
        <w:t xml:space="preserve">internal consistency, and (b) derive cross-schema correspondences from that verified alignment rather than</w:t>
      </w:r>
      <w:r>
        <w:t xml:space="preserve"> </w:t>
      </w:r>
      <w:r>
        <w:t xml:space="preserve">naming similarity. Mapping errors are structurally invisible, transformation logic is usually bespoke code</w:t>
      </w:r>
      <w:r>
        <w:t xml:space="preserve"> </w:t>
      </w:r>
      <w:r>
        <w:t xml:space="preserve">with no separation between</w:t>
      </w:r>
      <w:r>
        <w:t xml:space="preserve"> </w:t>
      </w:r>
      <w:r>
        <w:t xml:space="preserve">“what the ontology proved”</w:t>
      </w:r>
      <w:r>
        <w:t xml:space="preserve"> </w:t>
      </w:r>
      <w:r>
        <w:t xml:space="preserve">and</w:t>
      </w:r>
      <w:r>
        <w:t xml:space="preserve"> </w:t>
      </w:r>
      <w:r>
        <w:t xml:space="preserve">“what a human decided,”</w:t>
      </w:r>
      <w:r>
        <w:t xml:space="preserve"> </w:t>
      </w:r>
      <w:r>
        <w:t xml:space="preserve">and gaps are silently</w:t>
      </w:r>
      <w:r>
        <w:t xml:space="preserve"> </w:t>
      </w:r>
      <w:r>
        <w:t xml:space="preserve">dropped rather than surfaced.</w:t>
      </w:r>
    </w:p>
    <w:bookmarkEnd w:id="11"/>
    <w:bookmarkStart w:id="12" w:name="aim"/>
    <w:p>
      <w:pPr>
        <w:pStyle w:val="Heading2"/>
      </w:pPr>
      <w:r>
        <w:t xml:space="preserve">4. Aim</w:t>
      </w:r>
    </w:p>
    <w:p>
      <w:pPr>
        <w:pStyle w:val="FirstParagraph"/>
      </w:pPr>
      <w:r>
        <w:t xml:space="preserve">Design, implement, and validate a methodology and tool using SULO + a DL reasoner to discover, document,</w:t>
      </w:r>
      <w:r>
        <w:t xml:space="preserve"> </w:t>
      </w:r>
      <w:r>
        <w:t xml:space="preserve">and execute verified structural correspondences between independently-designed schemas — demonstrated on</w:t>
      </w:r>
      <w:r>
        <w:t xml:space="preserve"> </w:t>
      </w:r>
      <w:r>
        <w:t xml:space="preserve">OMOP CDM ⇄ FHIR conversion for Condition, Observation, and Medication.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Map each schema to SULO-aligned OWL and verify consistency via HermiT.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Implement shape-matching: correspondences by structural equivalence, not naming.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Visualize matches (matched / ambiguous / one-sided) in the Schema Builder 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Auto-generate draft declarative transformation specs from the matches.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Implement a resource-agnostic interpreter executing specs bidirectionally, no per-field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t xml:space="preserve">Validate against real profiles and data via round-trip fidelity and SHACL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O7</w:t>
            </w:r>
          </w:p>
        </w:tc>
        <w:tc>
          <w:tcPr/>
          <w:p>
            <w:pPr>
              <w:pStyle w:val="Compact"/>
            </w:pPr>
            <w:r>
              <w:t xml:space="preserve">Characterize, empirically, what the ontology can decide vs. what needs human judgment.</w:t>
            </w:r>
          </w:p>
        </w:tc>
      </w:tr>
    </w:tbl>
    <w:bookmarkEnd w:id="12"/>
    <w:bookmarkStart w:id="13" w:name="methodology"/>
    <w:p>
      <w:pPr>
        <w:pStyle w:val="Heading2"/>
      </w:pPr>
      <w:r>
        <w:t xml:space="preserve">5. Methodology</w:t>
      </w:r>
    </w:p>
    <w:p>
      <w:pPr>
        <w:pStyle w:val="FirstParagraph"/>
      </w:pPr>
      <w:r>
        <w:rPr>
          <w:b/>
          <w:bCs/>
        </w:rPr>
        <w:t xml:space="preserve">Phase 1 — Ground in SULO.</w:t>
      </w:r>
      <w:r>
        <w:t xml:space="preserve"> </w:t>
      </w:r>
      <w:r>
        <w:t xml:space="preserve">Each schema’s classes map to one of SULO’s upper categories (</w:t>
      </w:r>
      <w:r>
        <w:rPr>
          <w:rStyle w:val="VerbatimChar"/>
        </w:rPr>
        <w:t xml:space="preserve">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/</w:t>
      </w:r>
      <w:r>
        <w:rPr>
          <w:rStyle w:val="VerbatimChar"/>
        </w:rPr>
        <w:t xml:space="preserve">SpatialObject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InformationObject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); each property is a short</w:t>
      </w:r>
      <w:r>
        <w:t xml:space="preserve"> </w:t>
      </w:r>
      <w:r>
        <w:t xml:space="preserve">triple pattern over a fixed set of SULO relations. The resulting OWL is checked with HermiT — catching</w:t>
      </w:r>
      <w:r>
        <w:t xml:space="preserve"> </w:t>
      </w:r>
      <w:r>
        <w:t xml:space="preserve">disjointness/domain-range violations inside reified relation chains that SHACL/RDFS can’t see.</w:t>
      </w:r>
    </w:p>
    <w:p>
      <w:pPr>
        <w:pStyle w:val="BodyText"/>
      </w:pPr>
      <w:r>
        <w:rPr>
          <w:b/>
          <w:bCs/>
        </w:rPr>
        <w:t xml:space="preserve">Phase 2 — Match by shape, not name.</w:t>
      </w:r>
      <w:r>
        <w:t xml:space="preserve"> </w:t>
      </w:r>
      <w:r>
        <w:t xml:space="preserve">A property’s shape is</w:t>
      </w:r>
      <w:r>
        <w:t xml:space="preserve"> </w:t>
      </w:r>
      <w:r>
        <w:rPr>
          <w:rStyle w:val="VerbatimChar"/>
        </w:rPr>
        <w:t xml:space="preserve">(domain category, generalized relation chain, range category-or-datatype)</w:t>
      </w:r>
      <w:r>
        <w:t xml:space="preserve">, with intermediate role/carrier nodes generalized to their SULO</w:t>
      </w:r>
      <w:r>
        <w:t xml:space="preserve"> </w:t>
      </w:r>
      <w:r>
        <w:t xml:space="preserve">category. Two properties are a candidate correspondence iff their shapes are identical, bucketed as</w:t>
      </w:r>
      <w:r>
        <w:t xml:space="preserve"> </w:t>
      </w:r>
      <w:r>
        <w:rPr>
          <w:b/>
          <w:bCs/>
        </w:rPr>
        <w:t xml:space="preserve">matched</w:t>
      </w:r>
      <w:r>
        <w:t xml:space="preserve"> </w:t>
      </w:r>
      <w:r>
        <w:t xml:space="preserve">(flagged</w:t>
      </w:r>
      <w:r>
        <w:t xml:space="preserve"> </w:t>
      </w:r>
      <w:r>
        <w:rPr>
          <w:b/>
          <w:bCs/>
        </w:rPr>
        <w:t xml:space="preserve">ambiguous</w:t>
      </w:r>
      <w:r>
        <w:t xml:space="preserve"> </w:t>
      </w:r>
      <w:r>
        <w:t xml:space="preserve">if either side has &gt;1 candidate),</w:t>
      </w:r>
      <w:r>
        <w:t xml:space="preserve"> </w:t>
      </w:r>
      <w:r>
        <w:rPr>
          <w:b/>
          <w:bCs/>
        </w:rPr>
        <w:t xml:space="preserve">source-only</w:t>
      </w:r>
      <w:r>
        <w:t xml:space="preserve">, or</w:t>
      </w:r>
      <w:r>
        <w:t xml:space="preserve"> </w:t>
      </w:r>
      <w:r>
        <w:rPr>
          <w:b/>
          <w:bCs/>
        </w:rPr>
        <w:t xml:space="preserve">target-only</w:t>
      </w:r>
      <w:r>
        <w:t xml:space="preserve">.</w:t>
      </w:r>
      <w:r>
        <w:t xml:space="preserve"> </w:t>
      </w:r>
      <w:r>
        <w:t xml:space="preserve">Implemented schema-agnostically, not hardcoded to OMOP/FHIR.</w:t>
      </w:r>
    </w:p>
    <w:p>
      <w:pPr>
        <w:pStyle w:val="BodyText"/>
      </w:pPr>
      <w:r>
        <w:rPr>
          <w:b/>
          <w:bCs/>
        </w:rPr>
        <w:t xml:space="preserve">Phase 3 — Visualize.</w:t>
      </w:r>
      <w:r>
        <w:t xml:space="preserve"> </w:t>
      </w:r>
      <w:r>
        <w:t xml:space="preserve">A UI lets a user pick two schemas (optionally scoped to classes), run the</w:t>
      </w:r>
      <w:r>
        <w:t xml:space="preserve"> </w:t>
      </w:r>
      <w:r>
        <w:t xml:space="preserve">comparison, and inspect the three buckets with shape citations.</w:t>
      </w:r>
    </w:p>
    <w:p>
      <w:pPr>
        <w:pStyle w:val="BodyText"/>
      </w:pPr>
      <w:r>
        <w:rPr>
          <w:b/>
          <w:bCs/>
        </w:rPr>
        <w:t xml:space="preserve">Phase 4 — Generate a draft.</w:t>
      </w:r>
      <w:r>
        <w:t xml:space="preserve"> </w:t>
      </w:r>
      <w:r>
        <w:t xml:space="preserve">The match result renders as YAML using a fixed op vocabulary (</w:t>
      </w:r>
      <w:r>
        <w:rPr>
          <w:rStyle w:val="VerbatimChar"/>
        </w:rPr>
        <w:t xml:space="preserve">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coding_list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value_branch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). The generator</w:t>
      </w:r>
      <w:r>
        <w:t xml:space="preserve"> </w:t>
      </w:r>
      <w:r>
        <w:t xml:space="preserve">infers an operation from each property’s type/range, and flags — rather than guesses — ties and missing</w:t>
      </w:r>
      <w:r>
        <w:t xml:space="preserve"> </w:t>
      </w:r>
      <w:r>
        <w:t xml:space="preserve">real path names.</w:t>
      </w:r>
    </w:p>
    <w:p>
      <w:pPr>
        <w:pStyle w:val="BodyText"/>
      </w:pPr>
      <w:r>
        <w:rPr>
          <w:b/>
          <w:bCs/>
        </w:rPr>
        <w:t xml:space="preserve">Phase 5 — Human refinement, recorded.</w:t>
      </w:r>
      <w:r>
        <w:t xml:space="preserve"> </w:t>
      </w:r>
      <w:r>
        <w:t xml:space="preserve">A reviewer resolves ties, supplies path names, and records any</w:t>
      </w:r>
      <w:r>
        <w:t xml:space="preserve"> </w:t>
      </w:r>
      <w:r>
        <w:t xml:space="preserve">override where shapes differ but a human judges the correspondence still holds — as an inline comment, not</w:t>
      </w:r>
      <w:r>
        <w:t xml:space="preserve"> </w:t>
      </w:r>
      <w:r>
        <w:t xml:space="preserve">a silent decision.</w:t>
      </w:r>
    </w:p>
    <w:p>
      <w:pPr>
        <w:pStyle w:val="BodyText"/>
      </w:pPr>
      <w:r>
        <w:rPr>
          <w:b/>
          <w:bCs/>
        </w:rPr>
        <w:t xml:space="preserve">Phase 6 — Execute generically.</w:t>
      </w:r>
      <w:r>
        <w:t xml:space="preserve"> </w:t>
      </w:r>
      <w:r>
        <w:t xml:space="preserve">A small fixed interpreter runs the finished YAML both directions; no</w:t>
      </w:r>
      <w:r>
        <w:t xml:space="preserve"> </w:t>
      </w:r>
      <w:r>
        <w:t xml:space="preserve">per-field transformation function exists anywhere — correctness is a property of the YAML alone.</w:t>
      </w:r>
    </w:p>
    <w:p>
      <w:pPr>
        <w:pStyle w:val="BodyText"/>
      </w:pPr>
      <w:r>
        <w:rPr>
          <w:b/>
          <w:bCs/>
        </w:rPr>
        <w:t xml:space="preserve">Phase 7 — Validate.</w:t>
      </w:r>
      <w:r>
        <w:t xml:space="preserve"> </w:t>
      </w:r>
      <w:r>
        <w:t xml:space="preserve">Round-trip fidelity (source→target→source, diffed field by field, each loss</w:t>
      </w:r>
      <w:r>
        <w:t xml:space="preserve"> </w:t>
      </w:r>
      <w:r>
        <w:t xml:space="preserve">explained) and SHACL conformance against the target schema’s exported shapes.</w:t>
      </w:r>
    </w:p>
    <w:bookmarkEnd w:id="13"/>
    <w:bookmarkStart w:id="14" w:name="architecture"/>
    <w:p>
      <w:pPr>
        <w:pStyle w:val="Heading2"/>
      </w:pPr>
      <w:r>
        <w:t xml:space="preserve">6.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        ┌──────────────────────────┐</w:t>
      </w:r>
      <w:r>
        <w:br/>
      </w:r>
      <w:r>
        <w:rPr>
          <w:rStyle w:val="VerbatimChar"/>
        </w:rPr>
        <w:t xml:space="preserve">│   Schema Builder (app)   │        │   ETL scaffold (etl/)    │</w:t>
      </w:r>
      <w:r>
        <w:br/>
      </w:r>
      <w:r>
        <w:rPr>
          <w:rStyle w:val="VerbatimChar"/>
        </w:rPr>
        <w:t xml:space="preserve">│  Schema A ──┐            │        │  mappings/*.yaml         │</w:t>
      </w:r>
      <w:r>
        <w:br/>
      </w:r>
      <w:r>
        <w:rPr>
          <w:rStyle w:val="VerbatimChar"/>
        </w:rPr>
        <w:t xml:space="preserve">│             ├─ SULO ──── │──HermiT│  (declarative ops,       │</w:t>
      </w:r>
      <w:r>
        <w:br/>
      </w:r>
      <w:r>
        <w:rPr>
          <w:rStyle w:val="VerbatimChar"/>
        </w:rPr>
        <w:t xml:space="preserve">│  Schema B ──┘  align     │  check │   SULO-shape citations)  │</w:t>
      </w:r>
      <w:r>
        <w:br/>
      </w:r>
      <w:r>
        <w:rPr>
          <w:rStyle w:val="VerbatimChar"/>
        </w:rPr>
        <w:t xml:space="preserve">│             │            │        │           │              │</w:t>
      </w:r>
      <w:r>
        <w:br/>
      </w:r>
      <w:r>
        <w:rPr>
          <w:rStyle w:val="VerbatimChar"/>
        </w:rPr>
        <w:t xml:space="preserve">│   shape-matching service │──draft▶│   ops.py interpreter      │</w:t>
      </w:r>
      <w:r>
        <w:br/>
      </w:r>
      <w:r>
        <w:rPr>
          <w:rStyle w:val="VerbatimChar"/>
        </w:rPr>
        <w:t xml:space="preserve">│   (compare/generate-yaml)│  YAML  │   (7 ops, both directions)│</w:t>
      </w:r>
      <w:r>
        <w:br/>
      </w:r>
      <w:r>
        <w:rPr>
          <w:rStyle w:val="VerbatimChar"/>
        </w:rPr>
        <w:t xml:space="preserve">└─────────────────────────┘        └──────────────────────────┘</w:t>
      </w:r>
    </w:p>
    <w:p>
      <w:pPr>
        <w:pStyle w:val="FirstParagraph"/>
      </w:pPr>
      <w:r>
        <w:t xml:space="preserve">The Schema Builder holds the ontological ground truth and produces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for a correspondence; the ETL</w:t>
      </w:r>
      <w:r>
        <w:t xml:space="preserve"> </w:t>
      </w:r>
      <w:r>
        <w:t xml:space="preserve">scaffold consumes that evidence as a declarative spec. The two communicate through YAML, not shared code.</w:t>
      </w:r>
    </w:p>
    <w:bookmarkEnd w:id="14"/>
    <w:bookmarkStart w:id="15" w:name="pilot-results-completed"/>
    <w:p>
      <w:pPr>
        <w:pStyle w:val="Heading2"/>
      </w:pPr>
      <w:r>
        <w:t xml:space="preserve">7. Pilot results (completed)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OMOP CDM Schema</w:t>
      </w:r>
      <w:r>
        <w:t xml:space="preserve"> </w:t>
      </w:r>
      <w:r>
        <w:t xml:space="preserve">(22 classes/90 properties): HermiT found</w:t>
      </w:r>
      <w:r>
        <w:t xml:space="preserve"> </w:t>
      </w:r>
      <w:r>
        <w:rPr>
          <w:b/>
          <w:bCs/>
        </w:rPr>
        <w:t xml:space="preserve">44 unsatisfiable classes</w:t>
      </w:r>
      <w:r>
        <w:t xml:space="preserve"> </w:t>
      </w:r>
      <w:r>
        <w:t xml:space="preserve">across 25</w:t>
      </w:r>
      <w:r>
        <w:t xml:space="preserve"> </w:t>
      </w:r>
      <w:r>
        <w:t xml:space="preserve">mis-categorized mappings plus a property-name-reuse defect. All 42 resulting fixes applied → fully</w:t>
      </w:r>
      <w:r>
        <w:t xml:space="preserve"> </w:t>
      </w:r>
      <w:r>
        <w:t xml:space="preserve">consistent.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MIMIC-IV FHIR Demo Schema</w:t>
      </w:r>
      <w:r>
        <w:t xml:space="preserve"> </w:t>
      </w:r>
      <w:r>
        <w:t xml:space="preserve">(19/38): built from real MIMIC-IV-on-FHIR StructureDefinitions, consistent</w:t>
      </w:r>
      <w:r>
        <w:t xml:space="preserve"> </w:t>
      </w:r>
      <w:r>
        <w:t xml:space="preserve">by construction.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Shape matching</w:t>
      </w:r>
      <w:r>
        <w:t xml:space="preserve"> </w:t>
      </w:r>
      <w:r>
        <w:t xml:space="preserve">surfaced</w:t>
      </w:r>
      <w:r>
        <w:t xml:space="preserve"> </w:t>
      </w:r>
      <w:r>
        <w:rPr>
          <w:b/>
          <w:bCs/>
        </w:rPr>
        <w:t xml:space="preserve">18 verified correspondences</w:t>
      </w:r>
      <w:r>
        <w:t xml:space="preserve"> </w:t>
      </w:r>
      <w:r>
        <w:t xml:space="preserve">(patient linkage, encounter containment,</w:t>
      </w:r>
      <w:r>
        <w:t xml:space="preserve"> </w:t>
      </w:r>
      <w:r>
        <w:t xml:space="preserve">coded values, temporal fields, dose/unit composition) and located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several OMOP properties were</w:t>
      </w:r>
      <w:r>
        <w:t xml:space="preserve"> </w:t>
      </w:r>
      <w:r>
        <w:t xml:space="preserve">unsatisfiable in the first place (e.g. </w:t>
      </w:r>
      <w:r>
        <w:rPr>
          <w:rStyle w:val="VerbatimChar"/>
        </w:rPr>
        <w:t xml:space="preserve">hasParticipant</w:t>
      </w:r>
      <w:r>
        <w:t xml:space="preserve"> </w:t>
      </w:r>
      <w:r>
        <w:t xml:space="preserve">used from an</w:t>
      </w:r>
      <w:r>
        <w:t xml:space="preserve"> </w:t>
      </w:r>
      <w:r>
        <w:rPr>
          <w:rStyle w:val="VerbatimChar"/>
        </w:rPr>
        <w:t xml:space="preserve">InformationObject</w:t>
      </w:r>
      <w:r>
        <w:t xml:space="preserve"> </w:t>
      </w:r>
      <w:r>
        <w:t xml:space="preserve">table, where the</w:t>
      </w:r>
      <w:r>
        <w:t xml:space="preserve"> </w:t>
      </w:r>
      <w:r>
        <w:t xml:space="preserve">relation strictly requires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Declarative ETL</w:t>
      </w:r>
      <w:r>
        <w:t xml:space="preserve"> </w:t>
      </w:r>
      <w:r>
        <w:t xml:space="preserve">for Condition, Observation, Medication: fixtures, CLI,</w:t>
      </w:r>
      <w:r>
        <w:t xml:space="preserve"> </w:t>
      </w:r>
      <w:r>
        <w:rPr>
          <w:b/>
          <w:bCs/>
        </w:rPr>
        <w:t xml:space="preserve">22 passing tests</w:t>
      </w:r>
      <w:r>
        <w:t xml:space="preserve">, including</w:t>
      </w:r>
      <w:r>
        <w:t xml:space="preserve"> </w:t>
      </w:r>
      <w:r>
        <w:t xml:space="preserve">round-trip diffs quantifying exactly what survives losslessly vs. what’s approximated.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draft generator</w:t>
      </w:r>
      <w:r>
        <w:t xml:space="preserve">, tried on a resource pair (Medication) it hadn’t seen hand-finished: auto-completed</w:t>
      </w:r>
      <w:r>
        <w:t xml:space="preserve"> </w:t>
      </w:r>
      <w:r>
        <w:t xml:space="preserve">~⅓ of fields correctly, correctly self-flagged another ⅓ as needing a human tie-break (one of its own</w:t>
      </w:r>
      <w:r>
        <w:t xml:space="preserve"> </w:t>
      </w:r>
      <w:r>
        <w:t xml:space="preserve">arbitrary picks was in fact wrong — the exact case the flag exists for), and correctly binned the rest as</w:t>
      </w:r>
      <w:r>
        <w:t xml:space="preserve"> </w:t>
      </w:r>
      <w:r>
        <w:t xml:space="preserve">one-sided gaps. It also surfaced a real limitation: a correspondence needing one hop of indirection (a</w:t>
      </w:r>
      <w:r>
        <w:t xml:space="preserve"> </w:t>
      </w:r>
      <w:r>
        <w:t xml:space="preserve">field describing the entity a target reference points to, not the record it sits on) is invisible to</w:t>
      </w:r>
      <w:r>
        <w:t xml:space="preserve"> </w:t>
      </w:r>
      <w:r>
        <w:t xml:space="preserve">per-property shape comparison.</w:t>
      </w:r>
    </w:p>
    <w:bookmarkEnd w:id="15"/>
    <w:bookmarkStart w:id="16" w:name="contributions"/>
    <w:p>
      <w:pPr>
        <w:pStyle w:val="Heading2"/>
      </w:pPr>
      <w:r>
        <w:t xml:space="preserve">8. Contributions</w:t>
      </w:r>
    </w:p>
    <w:p>
      <w:pPr>
        <w:pStyle w:val="Compact"/>
        <w:numPr>
          <w:ilvl w:val="0"/>
          <w:numId w:val="1003"/>
        </w:numPr>
      </w:pPr>
      <w:r>
        <w:t xml:space="preserve">An upper ontology + DL reasoner as a</w:t>
      </w:r>
      <w:r>
        <w:t xml:space="preserve"> </w:t>
      </w:r>
      <w:r>
        <w:rPr>
          <w:b/>
          <w:bCs/>
        </w:rPr>
        <w:t xml:space="preserve">verification substrate for cross-schema correspondence</w:t>
      </w:r>
      <w:r>
        <w:t xml:space="preserve">, not</w:t>
      </w:r>
      <w:r>
        <w:t xml:space="preserve"> </w:t>
      </w:r>
      <w:r>
        <w:t xml:space="preserve">just single-schema alignment.</w:t>
      </w:r>
    </w:p>
    <w:p>
      <w:pPr>
        <w:pStyle w:val="Compact"/>
        <w:numPr>
          <w:ilvl w:val="0"/>
          <w:numId w:val="1003"/>
        </w:numPr>
      </w:pPr>
      <w:r>
        <w:t xml:space="preserve">A reusable, implemented</w:t>
      </w:r>
      <w:r>
        <w:t xml:space="preserve"> </w:t>
      </w:r>
      <w:r>
        <w:rPr>
          <w:b/>
          <w:bCs/>
        </w:rPr>
        <w:t xml:space="preserve">shape-matching algorithm</w:t>
      </w:r>
      <w:r>
        <w:t xml:space="preserve">, productized in-app rather than a one-off script.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declarative, audit-trail-preserving mapping language</w:t>
      </w:r>
      <w:r>
        <w:t xml:space="preserve"> </w:t>
      </w:r>
      <w:r>
        <w:t xml:space="preserve">(7 ops) covering three clinical domains with</w:t>
      </w:r>
      <w:r>
        <w:t xml:space="preserve"> </w:t>
      </w:r>
      <w:r>
        <w:t xml:space="preserve">no custom code, every human override recorded inline.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empirical account of automation’s boundary</w:t>
      </w:r>
      <w:r>
        <w:t xml:space="preserve">: structural correspondence is automatable; path</w:t>
      </w:r>
      <w:r>
        <w:t xml:space="preserve"> </w:t>
      </w:r>
      <w:r>
        <w:t xml:space="preserve">naming, resource-type choice, and cross-entity indirection are not — shown, not asserted.</w:t>
      </w:r>
    </w:p>
    <w:bookmarkEnd w:id="16"/>
    <w:bookmarkStart w:id="17" w:name="evaluation"/>
    <w:p>
      <w:pPr>
        <w:pStyle w:val="Heading2"/>
      </w:pPr>
      <w:r>
        <w:t xml:space="preserve">9. Evaluation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(HermiT unsatisfiable classes = 0)</w:t>
            </w:r>
          </w:p>
        </w:tc>
        <w:tc>
          <w:tcPr/>
          <w:p>
            <w:pPr>
              <w:pStyle w:val="Compact"/>
            </w:pPr>
            <w:r>
              <w:t xml:space="preserve">Achieved both pilot schemas; proposed as a standing regression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(correct/correctly-flagged fields)</w:t>
            </w:r>
          </w:p>
        </w:tc>
        <w:tc>
          <w:tcPr/>
          <w:p>
            <w:pPr>
              <w:pStyle w:val="Compact"/>
            </w:pPr>
            <w:r>
              <w:t xml:space="preserve">~⅔ in the Medication trial; broader measurement 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Fidelity (round-trip survival, by loss reason)</w:t>
            </w:r>
          </w:p>
        </w:tc>
        <w:tc>
          <w:tcPr/>
          <w:p>
            <w:pPr>
              <w:pStyle w:val="Compact"/>
            </w:pPr>
            <w:r>
              <w:t xml:space="preserve">Quantified per resource; proposed as a standard report going 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reduction (draft vs. from-scratch)</w:t>
            </w:r>
          </w:p>
        </w:tc>
        <w:tc>
          <w:tcPr/>
          <w:p>
            <w:pPr>
              <w:pStyle w:val="Compact"/>
            </w:pPr>
            <w:r>
              <w:t xml:space="preserve">Observed qualitatively; formal measurement proposed</w:t>
            </w:r>
          </w:p>
        </w:tc>
      </w:tr>
    </w:tbl>
    <w:bookmarkEnd w:id="17"/>
    <w:bookmarkStart w:id="18" w:name="limitations"/>
    <w:p>
      <w:pPr>
        <w:pStyle w:val="Heading2"/>
      </w:pPr>
      <w:r>
        <w:t xml:space="preserve">10. Limitations</w:t>
      </w:r>
    </w:p>
    <w:p>
      <w:pPr>
        <w:pStyle w:val="Compact"/>
        <w:numPr>
          <w:ilvl w:val="0"/>
          <w:numId w:val="1004"/>
        </w:numPr>
      </w:pPr>
      <w:r>
        <w:t xml:space="preserve">Terminology mapping (ICD ↔ SNOMED, etc.) is out of scope — a content question, not the structural one</w:t>
      </w:r>
      <w:r>
        <w:t xml:space="preserve"> </w:t>
      </w:r>
      <w:r>
        <w:t xml:space="preserve">this tool addresses.</w:t>
      </w:r>
    </w:p>
    <w:p>
      <w:pPr>
        <w:pStyle w:val="Compact"/>
        <w:numPr>
          <w:ilvl w:val="0"/>
          <w:numId w:val="1004"/>
        </w:numPr>
      </w:pPr>
      <w:r>
        <w:t xml:space="preserve">Shape-matching is per-domain-class; one-hop-indirection correspondences aren’t caught automatically (§7).</w:t>
      </w:r>
    </w:p>
    <w:p>
      <w:pPr>
        <w:pStyle w:val="Compact"/>
        <w:numPr>
          <w:ilvl w:val="0"/>
          <w:numId w:val="1004"/>
        </w:numPr>
      </w:pPr>
      <w:r>
        <w:t xml:space="preserve">Target serialization is</w:t>
      </w:r>
      <w:r>
        <w:t xml:space="preserve"> </w:t>
      </w:r>
      <w:r>
        <w:t xml:space="preserve">“close enough,”</w:t>
      </w:r>
      <w:r>
        <w:t xml:space="preserve"> </w:t>
      </w:r>
      <w:r>
        <w:t xml:space="preserve">not certified against a real FHIR validator.</w:t>
      </w:r>
    </w:p>
    <w:p>
      <w:pPr>
        <w:pStyle w:val="Compact"/>
        <w:numPr>
          <w:ilvl w:val="0"/>
          <w:numId w:val="1004"/>
        </w:numPr>
      </w:pPr>
      <w:r>
        <w:t xml:space="preserve">Only three domains piloted; full resource-catalog generalization is future work.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Operational risk, unrelated to the methodology</w:t>
      </w:r>
      <w:r>
        <w:t xml:space="preserve">: the Schema Builder’s triple store did not durably</w:t>
      </w:r>
      <w:r>
        <w:t xml:space="preserve"> </w:t>
      </w:r>
      <w:r>
        <w:t xml:space="preserve">persist across a process restart, losing all working schemas mid-project — a host-application issue any</w:t>
      </w:r>
      <w:r>
        <w:t xml:space="preserve"> </w:t>
      </w:r>
      <w:r>
        <w:t xml:space="preserve">deployment of this tool currently inherits.</w:t>
      </w:r>
    </w:p>
    <w:bookmarkEnd w:id="18"/>
    <w:bookmarkStart w:id="19" w:name="future-work"/>
    <w:p>
      <w:pPr>
        <w:pStyle w:val="Heading2"/>
      </w:pPr>
      <w:r>
        <w:t xml:space="preserve">11. Future work</w:t>
      </w:r>
    </w:p>
    <w:p>
      <w:pPr>
        <w:pStyle w:val="Compact"/>
        <w:numPr>
          <w:ilvl w:val="0"/>
          <w:numId w:val="1005"/>
        </w:numPr>
      </w:pPr>
      <w:r>
        <w:t xml:space="preserve">More FHIR resource types (Procedure, Encounter/Visit, DeviceExposure).</w:t>
      </w:r>
    </w:p>
    <w:p>
      <w:pPr>
        <w:pStyle w:val="Compact"/>
        <w:numPr>
          <w:ilvl w:val="0"/>
          <w:numId w:val="1005"/>
        </w:numPr>
      </w:pPr>
      <w:r>
        <w:t xml:space="preserve">Real terminology-service integration.</w:t>
      </w:r>
    </w:p>
    <w:p>
      <w:pPr>
        <w:pStyle w:val="Compact"/>
        <w:numPr>
          <w:ilvl w:val="0"/>
          <w:numId w:val="1005"/>
        </w:numPr>
      </w:pPr>
      <w:r>
        <w:t xml:space="preserve">Interactive ambiguity resolution in the UI (currently YAML-comment-only).</w:t>
      </w:r>
    </w:p>
    <w:p>
      <w:pPr>
        <w:pStyle w:val="Compact"/>
        <w:numPr>
          <w:ilvl w:val="0"/>
          <w:numId w:val="1005"/>
        </w:numPr>
      </w:pPr>
      <w:r>
        <w:t xml:space="preserve">An entity-indirection matching pass.</w:t>
      </w:r>
    </w:p>
    <w:p>
      <w:pPr>
        <w:pStyle w:val="Compact"/>
        <w:numPr>
          <w:ilvl w:val="0"/>
          <w:numId w:val="1005"/>
        </w:numPr>
      </w:pPr>
      <w:r>
        <w:t xml:space="preserve">FHIR-validator-certified output.</w:t>
      </w:r>
    </w:p>
    <w:p>
      <w:pPr>
        <w:pStyle w:val="Compact"/>
        <w:numPr>
          <w:ilvl w:val="0"/>
          <w:numId w:val="1005"/>
        </w:numPr>
      </w:pPr>
      <w:r>
        <w:t xml:space="preserve">Fix the storage-layer durability gap.</w:t>
      </w:r>
    </w:p>
    <w:bookmarkEnd w:id="19"/>
    <w:bookmarkStart w:id="20" w:name="work-plan"/>
    <w:p>
      <w:pPr>
        <w:pStyle w:val="Heading2"/>
      </w:pPr>
      <w:r>
        <w:t xml:space="preserve">12. Work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SULO grounding + HermiT verification/remediation, both schemas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Shape-matching service + comparison 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Draft generation, op interpreter, 3 resource mappings +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Round-trip fidelity + SHACL 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(proposed)</w:t>
            </w:r>
          </w:p>
        </w:tc>
        <w:tc>
          <w:tcPr/>
          <w:p>
            <w:pPr>
              <w:pStyle w:val="Compact"/>
            </w:pPr>
            <w:r>
              <w:t xml:space="preserve">§11 items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bookmarkEnd w:id="20"/>
    <w:bookmarkStart w:id="21" w:name="references"/>
    <w:p>
      <w:pPr>
        <w:pStyle w:val="Heading2"/>
      </w:pPr>
      <w:r>
        <w:t xml:space="preserve">13. References</w:t>
      </w:r>
    </w:p>
    <w:p>
      <w:pPr>
        <w:pStyle w:val="Compact"/>
        <w:numPr>
          <w:ilvl w:val="0"/>
          <w:numId w:val="1006"/>
        </w:numPr>
      </w:pPr>
      <w:r>
        <w:t xml:space="preserve">Çelebi R, Martínez-Costa C, Schulz S, Dumontier M.</w:t>
      </w:r>
      <w:r>
        <w:t xml:space="preserve"> </w:t>
      </w:r>
      <w:r>
        <w:rPr>
          <w:i/>
          <w:iCs/>
        </w:rPr>
        <w:t xml:space="preserve">SULO — a Simplified Upper-Level Ontology.</w:t>
      </w:r>
      <w:r>
        <w:t xml:space="preserve"> </w:t>
      </w:r>
      <w:r>
        <w:t xml:space="preserve">JOWO</w:t>
      </w:r>
      <w:r>
        <w:t xml:space="preserve"> </w:t>
      </w:r>
      <w:r>
        <w:t xml:space="preserve">Episode XI, co-located with FOIS 2025, Catania, Italy.</w:t>
      </w:r>
    </w:p>
    <w:p>
      <w:pPr>
        <w:pStyle w:val="Compact"/>
        <w:numPr>
          <w:ilvl w:val="0"/>
          <w:numId w:val="1006"/>
        </w:numPr>
      </w:pPr>
      <w:r>
        <w:t xml:space="preserve">OHDSI.</w:t>
      </w:r>
      <w:r>
        <w:t xml:space="preserve"> </w:t>
      </w:r>
      <w:r>
        <w:rPr>
          <w:i/>
          <w:iCs/>
        </w:rPr>
        <w:t xml:space="preserve">OMOP Common Data Model</w:t>
      </w:r>
      <w:r>
        <w:t xml:space="preserve">, v5.4. https://ohdsi.github.io/CommonDataModel/</w:t>
      </w:r>
    </w:p>
    <w:p>
      <w:pPr>
        <w:pStyle w:val="Compact"/>
        <w:numPr>
          <w:ilvl w:val="0"/>
          <w:numId w:val="1006"/>
        </w:numPr>
      </w:pPr>
      <w:r>
        <w:t xml:space="preserve">Kind Lab.</w:t>
      </w:r>
      <w:r>
        <w:t xml:space="preserve"> </w:t>
      </w:r>
      <w:r>
        <w:rPr>
          <w:i/>
          <w:iCs/>
        </w:rPr>
        <w:t xml:space="preserve">MIMIC-IV Clinical Database Demo on FHIR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mimic-profiles</w:t>
      </w:r>
      <w:r>
        <w:t xml:space="preserve">.</w:t>
      </w:r>
      <w:r>
        <w:t xml:space="preserve"> </w:t>
      </w:r>
      <w:r>
        <w:t xml:space="preserve">https://github.com/kind-lab/mimic-fhir, https://github.com/kind-lab/mimic-profiles</w:t>
      </w:r>
    </w:p>
    <w:p>
      <w:pPr>
        <w:pStyle w:val="Compact"/>
        <w:numPr>
          <w:ilvl w:val="0"/>
          <w:numId w:val="1006"/>
        </w:numPr>
      </w:pPr>
      <w:r>
        <w:t xml:space="preserve">HL7 FHIR R4 specification. https://hl7.org/fhir/R4/</w:t>
      </w:r>
    </w:p>
    <w:p>
      <w:pPr>
        <w:pStyle w:val="Compact"/>
        <w:numPr>
          <w:ilvl w:val="0"/>
          <w:numId w:val="1006"/>
        </w:numPr>
      </w:pPr>
      <w:r>
        <w:t xml:space="preserve">Glimm, Horrocks, Motik, Stoilos, Wang.</w:t>
      </w:r>
      <w:r>
        <w:t xml:space="preserve"> </w:t>
      </w:r>
      <w:r>
        <w:rPr>
          <w:i/>
          <w:iCs/>
        </w:rPr>
        <w:t xml:space="preserve">HermiT: An OWL 2 Reasoner.</w:t>
      </w:r>
      <w:r>
        <w:t xml:space="preserve"> </w:t>
      </w:r>
      <w:r>
        <w:t xml:space="preserve">J. Automated Reasoning, 2014.</w:t>
      </w:r>
    </w:p>
    <w:p>
      <w:pPr>
        <w:pStyle w:val="Compact"/>
        <w:numPr>
          <w:ilvl w:val="0"/>
          <w:numId w:val="1006"/>
        </w:numPr>
      </w:pPr>
      <w:r>
        <w:t xml:space="preserve">ONTODEV.</w:t>
      </w:r>
      <w:r>
        <w:t xml:space="preserve"> </w:t>
      </w:r>
      <w:r>
        <w:rPr>
          <w:i/>
          <w:iCs/>
        </w:rPr>
        <w:t xml:space="preserve">ROBOT.</w:t>
      </w:r>
      <w:r>
        <w:t xml:space="preserve"> </w:t>
      </w:r>
      <w:r>
        <w:t xml:space="preserve">https://robot.obolibrary.org/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SULO-Verified Schema Mapping for OMOP CDM ⇄ FHIR Conversion</dc:title>
  <dc:creator/>
  <cp:keywords/>
  <dcterms:created xsi:type="dcterms:W3CDTF">2026-07-29T15:16:06Z</dcterms:created>
  <dcterms:modified xsi:type="dcterms:W3CDTF">2026-07-29T15:16:06Z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