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Times New Roman" w:hAnsi="Times New Roman"/>
          <w:b/>
          <w:color w:val="1A1A8A"/>
          <w:sz w:val="32"/>
        </w:rPr>
        <w:t>Bridging RDF Schemas and Formal Ontologies: A Web-Based Schema Builder with SULO Alignment and Bidirectional Mapping Patterns</w:t>
      </w:r>
    </w:p>
    <w:p>
      <w:pPr>
        <w:spacing w:before="40" w:after="120"/>
        <w:jc w:val="both"/>
      </w:pPr>
      <w:r>
        <w:rPr>
          <w:rFonts w:ascii="Times New Roman" w:hAnsi="Times New Roman"/>
          <w:b/>
          <w:i w:val="0"/>
          <w:sz w:val="24"/>
        </w:rPr>
        <w:t>Remzi Celebi¹, Michel Dumontier¹</w:t>
      </w:r>
    </w:p>
    <w:p>
      <w:pPr>
        <w:spacing w:before="40" w:after="120"/>
        <w:jc w:val="both"/>
      </w:pPr>
      <w:r>
        <w:rPr>
          <w:rFonts w:ascii="Times New Roman" w:hAnsi="Times New Roman"/>
          <w:b w:val="0"/>
          <w:i w:val="0"/>
          <w:sz w:val="24"/>
        </w:rPr>
        <w:t xml:space="preserve">¹ Institute of Data Science, Maastricht University, Maastricht, The Netherlands  </w:t>
      </w:r>
    </w:p>
    <w:p>
      <w:pPr>
        <w:spacing w:before="40" w:after="120"/>
        <w:jc w:val="both"/>
      </w:pPr>
      <w:r>
        <w:rPr>
          <w:rFonts w:ascii="Times New Roman" w:hAnsi="Times New Roman"/>
          <w:b w:val="0"/>
          <w:i w:val="0"/>
          <w:sz w:val="24"/>
        </w:rPr>
        <w:t>{r.celebi, m.dumontier}@maastrichtuniversity.nl</w:t>
      </w:r>
    </w:p>
    <w:p>
      <w:pPr>
        <w:spacing w:before="120" w:after="120"/>
      </w:pPr>
      <w:r>
        <w:rPr>
          <w:color w:val="CCCCCC"/>
          <w:sz w:val="16"/>
        </w:rPr>
        <w:t>────────────────────────────────────────────────────────────</w:t>
      </w:r>
    </w:p>
    <w:p>
      <w:pPr>
        <w:spacing w:before="200" w:after="80"/>
      </w:pPr>
      <w:r>
        <w:rPr>
          <w:rFonts w:ascii="Times New Roman" w:hAnsi="Times New Roman"/>
          <w:b/>
          <w:sz w:val="28"/>
        </w:rPr>
        <w:t>Abstract</w:t>
      </w:r>
    </w:p>
    <w:p>
      <w:pPr>
        <w:spacing w:before="40" w:after="120"/>
        <w:jc w:val="both"/>
      </w:pPr>
      <w:r>
        <w:rPr>
          <w:rFonts w:ascii="Times New Roman" w:hAnsi="Times New Roman"/>
          <w:b w:val="0"/>
          <w:i w:val="0"/>
          <w:sz w:val="24"/>
        </w:rPr>
        <w:t xml:space="preserve">A persistent divide separates practitioners who design data schemas (relational modellers, FHIR architects, OMOP curators) from ontologists who formalise domain semantics in OWL. Bridging these two worlds requires a tool that speaks both languages simultaneously — one that lets users design familiar class-and-property schemas while transparently generating formal ontology artefacts aligned to an upper-level ontology. This paper presents the </w:t>
      </w:r>
      <w:r>
        <w:rPr>
          <w:rFonts w:ascii="Times New Roman" w:hAnsi="Times New Roman"/>
          <w:b/>
          <w:i w:val="0"/>
          <w:sz w:val="24"/>
        </w:rPr>
        <w:t>SULO-Compliant Schema Builder</w:t>
      </w:r>
      <w:r>
        <w:rPr>
          <w:rFonts w:ascii="Times New Roman" w:hAnsi="Times New Roman"/>
          <w:b w:val="0"/>
          <w:i w:val="0"/>
          <w:sz w:val="24"/>
        </w:rPr>
        <w:t xml:space="preserve">, an open-source web application that addresses three interrelated research questions: (1) how to bridge RDF schemas and formal OWL ontologies through a graphical interface with upper-ontology alignment; (2) how mapping patterns — declarative triple templates attached to each property — can express and evaluate bidirectional transformations between clinical standards such as FHIR and OMOP and a target model such as SULO; and (3) how the tool can serve as an educational instrument for demonstrating the expressive advantages of formal ontologies over lightweight schemas. The tool stores schemas as RDF triples in a SPARQL triplestore, exports plain RDF/Turtle, OWL with SULO-grounded </w:t>
      </w:r>
      <w:r>
        <w:rPr>
          <w:rFonts w:ascii="Courier New" w:hAnsi="Courier New"/>
          <w:b w:val="0"/>
          <w:i w:val="0"/>
          <w:sz w:val="24"/>
        </w:rPr>
        <w:t>owl:equivalentClass</w:t>
      </w:r>
      <w:r>
        <w:rPr>
          <w:rFonts w:ascii="Times New Roman" w:hAnsi="Times New Roman"/>
          <w:b w:val="0"/>
          <w:i w:val="0"/>
          <w:sz w:val="24"/>
        </w:rPr>
        <w:t xml:space="preserve"> restrictions, SHACL node shapes with union-range support, and Mermaid UML diagrams — all from a single web interface. A clinical health record case study covering 28 classes, including the AIDAVA/SPHN </w:t>
      </w:r>
      <w:r>
        <w:rPr>
          <w:rFonts w:ascii="Courier New" w:hAnsi="Courier New"/>
          <w:b w:val="0"/>
          <w:i w:val="0"/>
          <w:sz w:val="24"/>
        </w:rPr>
        <w:t>Code</w:t>
      </w:r>
      <w:r>
        <w:rPr>
          <w:rFonts w:ascii="Times New Roman" w:hAnsi="Times New Roman"/>
          <w:b w:val="0"/>
          <w:i w:val="0"/>
          <w:sz w:val="24"/>
        </w:rPr>
        <w:t xml:space="preserve"> pattern and SNOMED CT concept alignments, demonstrates the practical viability of the approach.</w:t>
      </w:r>
    </w:p>
    <w:p>
      <w:pPr>
        <w:spacing w:before="40" w:after="120"/>
        <w:jc w:val="both"/>
      </w:pPr>
      <w:r>
        <w:rPr>
          <w:rFonts w:ascii="Times New Roman" w:hAnsi="Times New Roman"/>
          <w:b/>
          <w:i w:val="0"/>
          <w:sz w:val="24"/>
        </w:rPr>
        <w:t>Keywords:</w:t>
      </w:r>
      <w:r>
        <w:rPr>
          <w:rFonts w:ascii="Times New Roman" w:hAnsi="Times New Roman"/>
          <w:b w:val="0"/>
          <w:i w:val="0"/>
          <w:sz w:val="24"/>
        </w:rPr>
        <w:t xml:space="preserve"> ontology alignment, upper-level ontology, SULO, SHACL, OWL, RDF schema, mapping patterns, FHIR, OMOP, schema design</w:t>
      </w:r>
    </w:p>
    <w:p>
      <w:pPr>
        <w:spacing w:before="120" w:after="120"/>
      </w:pPr>
      <w:r>
        <w:rPr>
          <w:color w:val="CCCCCC"/>
          <w:sz w:val="16"/>
        </w:rPr>
        <w:t>────────────────────────────────────────────────────────────</w:t>
      </w:r>
    </w:p>
    <w:p>
      <w:pPr>
        <w:spacing w:before="200" w:after="80"/>
      </w:pPr>
      <w:r>
        <w:rPr>
          <w:rFonts w:ascii="Times New Roman" w:hAnsi="Times New Roman"/>
          <w:b/>
          <w:sz w:val="28"/>
        </w:rPr>
        <w:t>1. Introduction</w:t>
      </w:r>
    </w:p>
    <w:p>
      <w:pPr>
        <w:spacing w:before="40" w:after="120"/>
        <w:jc w:val="both"/>
      </w:pPr>
      <w:r>
        <w:rPr>
          <w:rFonts w:ascii="Times New Roman" w:hAnsi="Times New Roman"/>
          <w:b w:val="0"/>
          <w:i w:val="0"/>
          <w:sz w:val="24"/>
        </w:rPr>
        <w:t>The biomedical informatics landscape is populated by a collection of well-established data standards — FHIR, OMOP CDM, openEHR, HL7 v2 — each designed by practitioners who think in terms of tables, resources, and attributes rather than formal logic and description language axioms. At the same time, the semantic web and biomedical ontology communities have invested decades in constructing rigorous upper-level frameworks — BFO [1], DOLCE [2], SULO [3] — that provide principled, interoperable grounding for any domain concept. The gap between these two worlds is real and well-documented [4, 5]: schema designers regard ontologies as unnecessarily complex, while ontologists find flat schemas semantically impoverished and ambiguous.</w:t>
      </w:r>
    </w:p>
    <w:p>
      <w:pPr>
        <w:spacing w:before="40" w:after="120"/>
        <w:jc w:val="both"/>
      </w:pPr>
      <w:r>
        <w:rPr>
          <w:rFonts w:ascii="Times New Roman" w:hAnsi="Times New Roman"/>
          <w:b w:val="0"/>
          <w:i w:val="0"/>
          <w:sz w:val="24"/>
        </w:rPr>
        <w:t xml:space="preserve">Several initiatives have attempted to narrow this divide. LinkML [6] provides a YAML-based schema language that supports </w:t>
      </w:r>
      <w:r>
        <w:rPr>
          <w:rFonts w:ascii="Courier New" w:hAnsi="Courier New"/>
          <w:b w:val="0"/>
          <w:i w:val="0"/>
          <w:sz w:val="24"/>
        </w:rPr>
        <w:t>class_uri</w:t>
      </w:r>
      <w:r>
        <w:rPr>
          <w:rFonts w:ascii="Times New Roman" w:hAnsi="Times New Roman"/>
          <w:b w:val="0"/>
          <w:i w:val="0"/>
          <w:sz w:val="24"/>
        </w:rPr>
        <w:t xml:space="preserve"> alignment to external ontology terms and can generate OWL and SHACL artefacts from the same source. Chowlk [7] converts UML diagrams drawn in diagrams.net into OWL Turtle. Model2owl [8] transforms UML XMI models into OWL and SHACL for the European Union's OP-TED publication framework. Astrea [9] generates SHACL shapes automatically from existing OWL ontologies. Yet none of these tools provides an integrated, browser-based experience that combines (a) interactive schema design, (b) live upper-ontology concept alignment, (c) OWL export with formal axioms derived from per-property mapping patterns, and (d) SHACL export with union-range support — from a single coherent model.</w:t>
      </w:r>
    </w:p>
    <w:p>
      <w:pPr>
        <w:spacing w:before="40" w:after="120"/>
        <w:jc w:val="both"/>
      </w:pPr>
      <w:r>
        <w:rPr>
          <w:rFonts w:ascii="Times New Roman" w:hAnsi="Times New Roman"/>
          <w:b w:val="0"/>
          <w:i w:val="0"/>
          <w:sz w:val="24"/>
        </w:rPr>
        <w:t xml:space="preserve">This paper describes the </w:t>
      </w:r>
      <w:r>
        <w:rPr>
          <w:rFonts w:ascii="Times New Roman" w:hAnsi="Times New Roman"/>
          <w:b/>
          <w:i w:val="0"/>
          <w:sz w:val="24"/>
        </w:rPr>
        <w:t>SULO-Compliant Schema Builder</w:t>
      </w:r>
      <w:r>
        <w:rPr>
          <w:rFonts w:ascii="Times New Roman" w:hAnsi="Times New Roman"/>
          <w:b w:val="0"/>
          <w:i w:val="0"/>
          <w:sz w:val="24"/>
        </w:rPr>
        <w:t>, an open-source web application built to fill this gap. It is motivated by three research questions that emerged from practical work on multi-standard biomedical data integration:</w:t>
      </w:r>
    </w:p>
    <w:p>
      <w:pPr>
        <w:pStyle w:val="ListBullet"/>
        <w:spacing w:before="20" w:after="20"/>
        <w:ind w:left="360"/>
      </w:pPr>
      <w:r>
        <w:rPr>
          <w:rFonts w:ascii="Times New Roman" w:hAnsi="Times New Roman"/>
          <w:b/>
          <w:i w:val="0"/>
          <w:sz w:val="24"/>
        </w:rPr>
        <w:t>RQ1</w:t>
      </w:r>
      <w:r>
        <w:rPr>
          <w:rFonts w:ascii="Times New Roman" w:hAnsi="Times New Roman"/>
          <w:b w:val="0"/>
          <w:i w:val="0"/>
          <w:sz w:val="24"/>
        </w:rPr>
        <w:t>: How can the gap between RDF schemas and formal ontologies be bridged in a way that preserves the familiar schema vocabulary while generating formally grounded OWL artefacts?</w:t>
      </w:r>
    </w:p>
    <w:p>
      <w:pPr>
        <w:pStyle w:val="ListBullet"/>
        <w:spacing w:before="20" w:after="20"/>
        <w:ind w:left="360"/>
      </w:pPr>
      <w:r>
        <w:rPr>
          <w:rFonts w:ascii="Times New Roman" w:hAnsi="Times New Roman"/>
          <w:b/>
          <w:i w:val="0"/>
          <w:sz w:val="24"/>
        </w:rPr>
        <w:t>RQ2</w:t>
      </w:r>
      <w:r>
        <w:rPr>
          <w:rFonts w:ascii="Times New Roman" w:hAnsi="Times New Roman"/>
          <w:b w:val="0"/>
          <w:i w:val="0"/>
          <w:sz w:val="24"/>
        </w:rPr>
        <w:t>: Can property-level mapping patterns — declarative triple templates — facilitate bidirectional transformation between clinical data standards (FHIR, OMOP) and a shared upper-level model (SULO)?</w:t>
      </w:r>
    </w:p>
    <w:p>
      <w:pPr>
        <w:pStyle w:val="ListBullet"/>
        <w:spacing w:before="20" w:after="20"/>
        <w:ind w:left="360"/>
      </w:pPr>
      <w:r>
        <w:rPr>
          <w:rFonts w:ascii="Times New Roman" w:hAnsi="Times New Roman"/>
          <w:b/>
          <w:i w:val="0"/>
          <w:sz w:val="24"/>
        </w:rPr>
        <w:t>RQ3</w:t>
      </w:r>
      <w:r>
        <w:rPr>
          <w:rFonts w:ascii="Times New Roman" w:hAnsi="Times New Roman"/>
          <w:b w:val="0"/>
          <w:i w:val="0"/>
          <w:sz w:val="24"/>
        </w:rPr>
        <w:t>: How can a tool serve as an educational instrument that makes the expressive advantages of formal ontologies tangible to practitioners who are fluent in schemas but unfamiliar with OWL?</w:t>
      </w:r>
    </w:p>
    <w:p>
      <w:pPr>
        <w:spacing w:before="40" w:after="120"/>
        <w:jc w:val="both"/>
      </w:pPr>
      <w:r>
        <w:rPr>
          <w:rFonts w:ascii="Times New Roman" w:hAnsi="Times New Roman"/>
          <w:b w:val="0"/>
          <w:i w:val="0"/>
          <w:sz w:val="24"/>
        </w:rPr>
        <w:t>The remainder of this paper is structured as follows. Section 2 provides background on the relevant formalisms and related tools. Section 3 describes the architecture and feature set of the Schema Builder. Sections 4, 5, and 6 address RQ1, RQ2, and RQ3 respectively, illustrated with a clinical case study. Section 7 discusses limitations and future work. Section 8 concludes.</w:t>
      </w:r>
    </w:p>
    <w:p>
      <w:pPr>
        <w:spacing w:before="120" w:after="120"/>
      </w:pPr>
      <w:r>
        <w:rPr>
          <w:color w:val="CCCCCC"/>
          <w:sz w:val="16"/>
        </w:rPr>
        <w:t>────────────────────────────────────────────────────────────</w:t>
      </w:r>
    </w:p>
    <w:p>
      <w:pPr>
        <w:spacing w:before="200" w:after="80"/>
      </w:pPr>
      <w:r>
        <w:rPr>
          <w:rFonts w:ascii="Times New Roman" w:hAnsi="Times New Roman"/>
          <w:b/>
          <w:sz w:val="28"/>
        </w:rPr>
        <w:t>2. Background and Related Work</w:t>
      </w:r>
    </w:p>
    <w:p>
      <w:pPr>
        <w:spacing w:before="200" w:after="80"/>
      </w:pPr>
      <w:r>
        <w:rPr>
          <w:rFonts w:ascii="Times New Roman" w:hAnsi="Times New Roman"/>
          <w:b/>
          <w:sz w:val="24"/>
        </w:rPr>
        <w:t>2.1 Upper-Level Ontologies in Biomedical Informatics</w:t>
      </w:r>
    </w:p>
    <w:p>
      <w:pPr>
        <w:spacing w:before="40" w:after="120"/>
        <w:jc w:val="both"/>
      </w:pPr>
      <w:r>
        <w:rPr>
          <w:rFonts w:ascii="Times New Roman" w:hAnsi="Times New Roman"/>
          <w:b w:val="0"/>
          <w:i w:val="0"/>
          <w:sz w:val="24"/>
        </w:rPr>
        <w:t xml:space="preserve">Upper-level ontologies (ULOs) provide a domain-neutral framework of foundational categories — processes, objects, qualities, roles, information artefacts — that ground domain-specific classes in shared semantics. The </w:t>
      </w:r>
      <w:r>
        <w:rPr>
          <w:rFonts w:ascii="Times New Roman" w:hAnsi="Times New Roman"/>
          <w:b/>
          <w:i w:val="0"/>
          <w:sz w:val="24"/>
        </w:rPr>
        <w:t>Basic Formal Ontology</w:t>
      </w:r>
      <w:r>
        <w:rPr>
          <w:rFonts w:ascii="Times New Roman" w:hAnsi="Times New Roman"/>
          <w:b w:val="0"/>
          <w:i w:val="0"/>
          <w:sz w:val="24"/>
        </w:rPr>
        <w:t xml:space="preserve"> (BFO) [1] is widely adopted in biomedical ontologies including the Gene Ontology and the OBO Foundry suite. </w:t>
      </w:r>
      <w:r>
        <w:rPr>
          <w:rFonts w:ascii="Times New Roman" w:hAnsi="Times New Roman"/>
          <w:b/>
          <w:i w:val="0"/>
          <w:sz w:val="24"/>
        </w:rPr>
        <w:t>DOLCE</w:t>
      </w:r>
      <w:r>
        <w:rPr>
          <w:rFonts w:ascii="Times New Roman" w:hAnsi="Times New Roman"/>
          <w:b w:val="0"/>
          <w:i w:val="0"/>
          <w:sz w:val="24"/>
        </w:rPr>
        <w:t xml:space="preserve"> [2] offers an alternative cognitive orientation. The </w:t>
      </w:r>
      <w:r>
        <w:rPr>
          <w:rFonts w:ascii="Times New Roman" w:hAnsi="Times New Roman"/>
          <w:b/>
          <w:i w:val="0"/>
          <w:sz w:val="24"/>
        </w:rPr>
        <w:t>Simple Upper-Level Ontology</w:t>
      </w:r>
      <w:r>
        <w:rPr>
          <w:rFonts w:ascii="Times New Roman" w:hAnsi="Times New Roman"/>
          <w:b w:val="0"/>
          <w:i w:val="0"/>
          <w:sz w:val="24"/>
        </w:rPr>
        <w:t xml:space="preserve"> (SULO) [3], developed at Maastricht University, extends this tradition with a focus on biomedical data integration and cross-standard interoperability. SULO categories include </w:t>
      </w:r>
      <w:r>
        <w:rPr>
          <w:rFonts w:ascii="Courier New" w:hAnsi="Courier New"/>
          <w:b w:val="0"/>
          <w:i w:val="0"/>
          <w:sz w:val="24"/>
        </w:rPr>
        <w:t>Process</w:t>
      </w:r>
      <w:r>
        <w:rPr>
          <w:rFonts w:ascii="Times New Roman" w:hAnsi="Times New Roman"/>
          <w:b w:val="0"/>
          <w:i w:val="0"/>
          <w:sz w:val="24"/>
        </w:rPr>
        <w:t xml:space="preserve">, </w:t>
      </w:r>
      <w:r>
        <w:rPr>
          <w:rFonts w:ascii="Courier New" w:hAnsi="Courier New"/>
          <w:b w:val="0"/>
          <w:i w:val="0"/>
          <w:sz w:val="24"/>
        </w:rPr>
        <w:t>Role</w:t>
      </w:r>
      <w:r>
        <w:rPr>
          <w:rFonts w:ascii="Times New Roman" w:hAnsi="Times New Roman"/>
          <w:b w:val="0"/>
          <w:i w:val="0"/>
          <w:sz w:val="24"/>
        </w:rPr>
        <w:t xml:space="preserve">, </w:t>
      </w:r>
      <w:r>
        <w:rPr>
          <w:rFonts w:ascii="Courier New" w:hAnsi="Courier New"/>
          <w:b w:val="0"/>
          <w:i w:val="0"/>
          <w:sz w:val="24"/>
        </w:rPr>
        <w:t>Quality</w:t>
      </w:r>
      <w:r>
        <w:rPr>
          <w:rFonts w:ascii="Times New Roman" w:hAnsi="Times New Roman"/>
          <w:b w:val="0"/>
          <w:i w:val="0"/>
          <w:sz w:val="24"/>
        </w:rPr>
        <w:t xml:space="preserve">, </w:t>
      </w:r>
      <w:r>
        <w:rPr>
          <w:rFonts w:ascii="Courier New" w:hAnsi="Courier New"/>
          <w:b w:val="0"/>
          <w:i w:val="0"/>
          <w:sz w:val="24"/>
        </w:rPr>
        <w:t>SpatialObject</w:t>
      </w:r>
      <w:r>
        <w:rPr>
          <w:rFonts w:ascii="Times New Roman" w:hAnsi="Times New Roman"/>
          <w:b w:val="0"/>
          <w:i w:val="0"/>
          <w:sz w:val="24"/>
        </w:rPr>
        <w:t xml:space="preserve">, </w:t>
      </w:r>
      <w:r>
        <w:rPr>
          <w:rFonts w:ascii="Courier New" w:hAnsi="Courier New"/>
          <w:b w:val="0"/>
          <w:i w:val="0"/>
          <w:sz w:val="24"/>
        </w:rPr>
        <w:t>InformationObject</w:t>
      </w:r>
      <w:r>
        <w:rPr>
          <w:rFonts w:ascii="Times New Roman" w:hAnsi="Times New Roman"/>
          <w:b w:val="0"/>
          <w:i w:val="0"/>
          <w:sz w:val="24"/>
        </w:rPr>
        <w:t xml:space="preserve">, and </w:t>
      </w:r>
      <w:r>
        <w:rPr>
          <w:rFonts w:ascii="Courier New" w:hAnsi="Courier New"/>
          <w:b w:val="0"/>
          <w:i w:val="0"/>
          <w:sz w:val="24"/>
        </w:rPr>
        <w:t>Quantity</w:t>
      </w:r>
      <w:r>
        <w:rPr>
          <w:rFonts w:ascii="Times New Roman" w:hAnsi="Times New Roman"/>
          <w:b w:val="0"/>
          <w:i w:val="0"/>
          <w:sz w:val="24"/>
        </w:rPr>
        <w:t>, among others.</w:t>
      </w:r>
    </w:p>
    <w:p>
      <w:pPr>
        <w:spacing w:before="40" w:after="120"/>
        <w:jc w:val="both"/>
      </w:pPr>
      <w:r>
        <w:rPr>
          <w:rFonts w:ascii="Times New Roman" w:hAnsi="Times New Roman"/>
          <w:b w:val="0"/>
          <w:i w:val="0"/>
          <w:sz w:val="24"/>
        </w:rPr>
        <w:t>Aligning a domain schema to an ULO is recognised as non-trivial. Surveys of foundational ontology matching [4] confirm that existing alignment tools are typically offline, command-line-driven processes applied after the schema is complete, not integrated into the design workflow. SSSOM [10] standardises the mapping predicate vocabulary (</w:t>
      </w:r>
      <w:r>
        <w:rPr>
          <w:rFonts w:ascii="Courier New" w:hAnsi="Courier New"/>
          <w:b w:val="0"/>
          <w:i w:val="0"/>
          <w:sz w:val="24"/>
        </w:rPr>
        <w:t>skos:exactMatch</w:t>
      </w:r>
      <w:r>
        <w:rPr>
          <w:rFonts w:ascii="Times New Roman" w:hAnsi="Times New Roman"/>
          <w:b w:val="0"/>
          <w:i w:val="0"/>
          <w:sz w:val="24"/>
        </w:rPr>
        <w:t xml:space="preserve">, </w:t>
      </w:r>
      <w:r>
        <w:rPr>
          <w:rFonts w:ascii="Courier New" w:hAnsi="Courier New"/>
          <w:b w:val="0"/>
          <w:i w:val="0"/>
          <w:sz w:val="24"/>
        </w:rPr>
        <w:t>skos:broadMatch</w:t>
      </w:r>
      <w:r>
        <w:rPr>
          <w:rFonts w:ascii="Times New Roman" w:hAnsi="Times New Roman"/>
          <w:b w:val="0"/>
          <w:i w:val="0"/>
          <w:sz w:val="24"/>
        </w:rPr>
        <w:t>, etc.) but is a file format, not an interactive tool.</w:t>
      </w:r>
    </w:p>
    <w:p>
      <w:pPr>
        <w:spacing w:before="200" w:after="80"/>
      </w:pPr>
      <w:r>
        <w:rPr>
          <w:rFonts w:ascii="Times New Roman" w:hAnsi="Times New Roman"/>
          <w:b/>
          <w:sz w:val="24"/>
        </w:rPr>
        <w:t>2.2 Schema Languages and Their Limits</w:t>
      </w:r>
    </w:p>
    <w:p>
      <w:pPr>
        <w:spacing w:before="40" w:after="120"/>
        <w:jc w:val="both"/>
      </w:pPr>
      <w:r>
        <w:rPr>
          <w:rFonts w:ascii="Times New Roman" w:hAnsi="Times New Roman"/>
          <w:b/>
          <w:i w:val="0"/>
          <w:sz w:val="24"/>
        </w:rPr>
        <w:t>RDFS</w:t>
      </w:r>
      <w:r>
        <w:rPr>
          <w:rFonts w:ascii="Times New Roman" w:hAnsi="Times New Roman"/>
          <w:b w:val="0"/>
          <w:i w:val="0"/>
          <w:sz w:val="24"/>
        </w:rPr>
        <w:t xml:space="preserve"> provides basic vocabulary description but no formal constraints. </w:t>
      </w:r>
      <w:r>
        <w:rPr>
          <w:rFonts w:ascii="Times New Roman" w:hAnsi="Times New Roman"/>
          <w:b/>
          <w:i w:val="0"/>
          <w:sz w:val="24"/>
        </w:rPr>
        <w:t>OWL 2</w:t>
      </w:r>
      <w:r>
        <w:rPr>
          <w:rFonts w:ascii="Times New Roman" w:hAnsi="Times New Roman"/>
          <w:b w:val="0"/>
          <w:i w:val="0"/>
          <w:sz w:val="24"/>
        </w:rPr>
        <w:t xml:space="preserve"> [11] adds description logic axioms — property restrictions, cardinality, disjointness, equivalence — but is notoriously difficult for non-logicians to author directly. </w:t>
      </w:r>
      <w:r>
        <w:rPr>
          <w:rFonts w:ascii="Times New Roman" w:hAnsi="Times New Roman"/>
          <w:b/>
          <w:i w:val="0"/>
          <w:sz w:val="24"/>
        </w:rPr>
        <w:t>SHACL</w:t>
      </w:r>
      <w:r>
        <w:rPr>
          <w:rFonts w:ascii="Times New Roman" w:hAnsi="Times New Roman"/>
          <w:b w:val="0"/>
          <w:i w:val="0"/>
          <w:sz w:val="24"/>
        </w:rPr>
        <w:t xml:space="preserve"> [12] is a W3C recommendation for expressing structural constraints over RDF graphs; it is closer in spirit to database schema languages and is increasingly adopted for data validation in clinical informatics [13]. </w:t>
      </w:r>
      <w:r>
        <w:rPr>
          <w:rFonts w:ascii="Times New Roman" w:hAnsi="Times New Roman"/>
          <w:b/>
          <w:i w:val="0"/>
          <w:sz w:val="24"/>
        </w:rPr>
        <w:t>ShEx</w:t>
      </w:r>
      <w:r>
        <w:rPr>
          <w:rFonts w:ascii="Times New Roman" w:hAnsi="Times New Roman"/>
          <w:b w:val="0"/>
          <w:i w:val="0"/>
          <w:sz w:val="24"/>
        </w:rPr>
        <w:t xml:space="preserve"> [14] offers an alternative constraint language with similar expressivity. LinkML [6] bridges the gap by compiling a YAML schema to JSON Schema, SQL, OWL, SHACL, and ShEx simultaneously, but requires command-line tooling for each export.</w:t>
      </w:r>
    </w:p>
    <w:p>
      <w:pPr>
        <w:spacing w:before="200" w:after="80"/>
      </w:pPr>
      <w:r>
        <w:rPr>
          <w:rFonts w:ascii="Times New Roman" w:hAnsi="Times New Roman"/>
          <w:b/>
          <w:sz w:val="24"/>
        </w:rPr>
        <w:t>2.3 Visual Ontology Design Tools</w:t>
      </w:r>
    </w:p>
    <w:p>
      <w:pPr>
        <w:spacing w:before="40" w:after="120"/>
        <w:jc w:val="both"/>
      </w:pPr>
      <w:r>
        <w:rPr>
          <w:rFonts w:ascii="Times New Roman" w:hAnsi="Times New Roman"/>
          <w:b w:val="0"/>
          <w:i w:val="0"/>
          <w:sz w:val="24"/>
        </w:rPr>
        <w:t xml:space="preserve">The leading desktop tool is </w:t>
      </w:r>
      <w:r>
        <w:rPr>
          <w:rFonts w:ascii="Times New Roman" w:hAnsi="Times New Roman"/>
          <w:b/>
          <w:i w:val="0"/>
          <w:sz w:val="24"/>
        </w:rPr>
        <w:t>Protégé</w:t>
      </w:r>
      <w:r>
        <w:rPr>
          <w:rFonts w:ascii="Times New Roman" w:hAnsi="Times New Roman"/>
          <w:b w:val="0"/>
          <w:i w:val="0"/>
          <w:sz w:val="24"/>
        </w:rPr>
        <w:t xml:space="preserve"> [15], supported by a rich plugin ecosystem including SHACL4P for constraint validation. </w:t>
      </w:r>
      <w:r>
        <w:rPr>
          <w:rFonts w:ascii="Times New Roman" w:hAnsi="Times New Roman"/>
          <w:b/>
          <w:i w:val="0"/>
          <w:sz w:val="24"/>
        </w:rPr>
        <w:t>TopBraid Composer</w:t>
      </w:r>
      <w:r>
        <w:rPr>
          <w:rFonts w:ascii="Times New Roman" w:hAnsi="Times New Roman"/>
          <w:b w:val="0"/>
          <w:i w:val="0"/>
          <w:sz w:val="24"/>
        </w:rPr>
        <w:t xml:space="preserve"> (proprietary) provides the most complete commercial equivalent with integrated SPARQL, visual diagrams, and SHACL. </w:t>
      </w:r>
      <w:r>
        <w:rPr>
          <w:rFonts w:ascii="Times New Roman" w:hAnsi="Times New Roman"/>
          <w:b/>
          <w:i w:val="0"/>
          <w:sz w:val="24"/>
        </w:rPr>
        <w:t>OWLGrEd</w:t>
      </w:r>
      <w:r>
        <w:rPr>
          <w:rFonts w:ascii="Times New Roman" w:hAnsi="Times New Roman"/>
          <w:b w:val="0"/>
          <w:i w:val="0"/>
          <w:sz w:val="24"/>
        </w:rPr>
        <w:t xml:space="preserve"> [16] offers a clean web-based UML-style editor but lacks upper-ontology alignment support. </w:t>
      </w:r>
      <w:r>
        <w:rPr>
          <w:rFonts w:ascii="Times New Roman" w:hAnsi="Times New Roman"/>
          <w:b/>
          <w:i w:val="0"/>
          <w:sz w:val="24"/>
        </w:rPr>
        <w:t>Chowlk</w:t>
      </w:r>
      <w:r>
        <w:rPr>
          <w:rFonts w:ascii="Times New Roman" w:hAnsi="Times New Roman"/>
          <w:b w:val="0"/>
          <w:i w:val="0"/>
          <w:sz w:val="24"/>
        </w:rPr>
        <w:t xml:space="preserve"> [7] and </w:t>
      </w:r>
      <w:r>
        <w:rPr>
          <w:rFonts w:ascii="Times New Roman" w:hAnsi="Times New Roman"/>
          <w:b/>
          <w:i w:val="0"/>
          <w:sz w:val="24"/>
        </w:rPr>
        <w:t>model2owl</w:t>
      </w:r>
      <w:r>
        <w:rPr>
          <w:rFonts w:ascii="Times New Roman" w:hAnsi="Times New Roman"/>
          <w:b w:val="0"/>
          <w:i w:val="0"/>
          <w:sz w:val="24"/>
        </w:rPr>
        <w:t xml:space="preserve"> [8] convert UML drawings to OWL/SHACL but are one-directional converters, not interactive designers. None of these tools provides an inline, per-class upper-ontology alignment picker backed by live SPARQL autocomplete, nor do they expose property-level mapping patterns as a first-class design concept.</w:t>
      </w:r>
    </w:p>
    <w:p>
      <w:pPr>
        <w:spacing w:before="200" w:after="80"/>
      </w:pPr>
      <w:r>
        <w:rPr>
          <w:rFonts w:ascii="Times New Roman" w:hAnsi="Times New Roman"/>
          <w:b/>
          <w:sz w:val="24"/>
        </w:rPr>
        <w:t>2.4 Clinical Data Standards Interoperability</w:t>
      </w:r>
    </w:p>
    <w:p>
      <w:pPr>
        <w:spacing w:before="40" w:after="120"/>
        <w:jc w:val="both"/>
      </w:pPr>
      <w:r>
        <w:rPr>
          <w:rFonts w:ascii="Times New Roman" w:hAnsi="Times New Roman"/>
          <w:b/>
          <w:i w:val="0"/>
          <w:sz w:val="24"/>
        </w:rPr>
        <w:t>FHIR</w:t>
      </w:r>
      <w:r>
        <w:rPr>
          <w:rFonts w:ascii="Times New Roman" w:hAnsi="Times New Roman"/>
          <w:b w:val="0"/>
          <w:i w:val="0"/>
          <w:sz w:val="24"/>
        </w:rPr>
        <w:t xml:space="preserve"> (Fast Healthcare Interoperability Resources) [17] and </w:t>
      </w:r>
      <w:r>
        <w:rPr>
          <w:rFonts w:ascii="Times New Roman" w:hAnsi="Times New Roman"/>
          <w:b/>
          <w:i w:val="0"/>
          <w:sz w:val="24"/>
        </w:rPr>
        <w:t>OMOP CDM</w:t>
      </w:r>
      <w:r>
        <w:rPr>
          <w:rFonts w:ascii="Times New Roman" w:hAnsi="Times New Roman"/>
          <w:b w:val="0"/>
          <w:i w:val="0"/>
          <w:sz w:val="24"/>
        </w:rPr>
        <w:t xml:space="preserve"> [18] are the two dominant standards for clinical data exchange and analysis respectively. Both use flat relational/JSON schemas with controlled vocabularies (SNOMED CT, LOINC, RxNorm) for coded values. Considerable effort has been invested in bridging them [19], typically through ad hoc SQL or Python transformation scripts. Formal semantic approaches — expressing FHIR resources or OMOP tables as OWL classes aligned to BFO or SULO — exist in research prototypes [20] but lack tooling that a clinical data manager could operate without deep ontology expertise.</w:t>
      </w:r>
    </w:p>
    <w:p>
      <w:pPr>
        <w:spacing w:before="40" w:after="120"/>
        <w:jc w:val="both"/>
      </w:pPr>
      <w:r>
        <w:rPr>
          <w:rFonts w:ascii="Times New Roman" w:hAnsi="Times New Roman"/>
          <w:b w:val="0"/>
          <w:i w:val="0"/>
          <w:sz w:val="24"/>
        </w:rPr>
        <w:t xml:space="preserve">The </w:t>
      </w:r>
      <w:r>
        <w:rPr>
          <w:rFonts w:ascii="Times New Roman" w:hAnsi="Times New Roman"/>
          <w:b/>
          <w:i w:val="0"/>
          <w:sz w:val="24"/>
        </w:rPr>
        <w:t>AIDAVA</w:t>
      </w:r>
      <w:r>
        <w:rPr>
          <w:rFonts w:ascii="Times New Roman" w:hAnsi="Times New Roman"/>
          <w:b w:val="0"/>
          <w:i w:val="0"/>
          <w:sz w:val="24"/>
        </w:rPr>
        <w:t xml:space="preserve"> project and its </w:t>
      </w:r>
      <w:r>
        <w:rPr>
          <w:rFonts w:ascii="Times New Roman" w:hAnsi="Times New Roman"/>
          <w:b/>
          <w:i w:val="0"/>
          <w:sz w:val="24"/>
        </w:rPr>
        <w:t>SPHN</w:t>
      </w:r>
      <w:r>
        <w:rPr>
          <w:rFonts w:ascii="Times New Roman" w:hAnsi="Times New Roman"/>
          <w:b w:val="0"/>
          <w:i w:val="0"/>
          <w:sz w:val="24"/>
        </w:rPr>
        <w:t xml:space="preserve"> ontology [21] model coded clinical values as instances of a </w:t>
      </w:r>
      <w:r>
        <w:rPr>
          <w:rFonts w:ascii="Courier New" w:hAnsi="Courier New"/>
          <w:b w:val="0"/>
          <w:i w:val="0"/>
          <w:sz w:val="24"/>
        </w:rPr>
        <w:t>sphn:Code</w:t>
      </w:r>
      <w:r>
        <w:rPr>
          <w:rFonts w:ascii="Times New Roman" w:hAnsi="Times New Roman"/>
          <w:b w:val="0"/>
          <w:i w:val="0"/>
          <w:sz w:val="24"/>
        </w:rPr>
        <w:t xml:space="preserve"> class carrying an identifier, a coding system/version, and an optional display name — a pattern that directly inspired the </w:t>
      </w:r>
      <w:r>
        <w:rPr>
          <w:rFonts w:ascii="Courier New" w:hAnsi="Courier New"/>
          <w:b w:val="0"/>
          <w:i w:val="0"/>
          <w:sz w:val="24"/>
        </w:rPr>
        <w:t>Code</w:t>
      </w:r>
      <w:r>
        <w:rPr>
          <w:rFonts w:ascii="Times New Roman" w:hAnsi="Times New Roman"/>
          <w:b w:val="0"/>
          <w:i w:val="0"/>
          <w:sz w:val="24"/>
        </w:rPr>
        <w:t xml:space="preserve"> class in our clinical case study.</w:t>
      </w:r>
    </w:p>
    <w:p>
      <w:pPr>
        <w:spacing w:before="120" w:after="120"/>
      </w:pPr>
      <w:r>
        <w:rPr>
          <w:color w:val="CCCCCC"/>
          <w:sz w:val="16"/>
        </w:rPr>
        <w:t>────────────────────────────────────────────────────────────</w:t>
      </w:r>
    </w:p>
    <w:p>
      <w:pPr>
        <w:spacing w:before="200" w:after="80"/>
      </w:pPr>
      <w:r>
        <w:rPr>
          <w:rFonts w:ascii="Times New Roman" w:hAnsi="Times New Roman"/>
          <w:b/>
          <w:sz w:val="28"/>
        </w:rPr>
        <w:t>3. The SULO-Compliant Schema Builder</w:t>
      </w:r>
    </w:p>
    <w:p>
      <w:pPr>
        <w:spacing w:before="200" w:after="80"/>
      </w:pPr>
      <w:r>
        <w:rPr>
          <w:rFonts w:ascii="Times New Roman" w:hAnsi="Times New Roman"/>
          <w:b/>
          <w:sz w:val="24"/>
        </w:rPr>
        <w:t>3.1 System Architecture</w:t>
      </w:r>
    </w:p>
    <w:p>
      <w:pPr>
        <w:spacing w:before="40" w:after="120"/>
        <w:jc w:val="both"/>
      </w:pPr>
      <w:r>
        <w:rPr>
          <w:rFonts w:ascii="Times New Roman" w:hAnsi="Times New Roman"/>
          <w:b w:val="0"/>
          <w:i w:val="0"/>
          <w:sz w:val="24"/>
        </w:rPr>
        <w:t>The Schema Builder is a three-tier web application (Figure 1):</w:t>
      </w:r>
    </w:p>
    <w:p>
      <w:pPr>
        <w:spacing w:before="80" w:after="80"/>
        <w:ind w:left="576"/>
        <w:shd w:val="clear" w:color="auto" w:fill="F2F2F2"/>
      </w:pPr>
      <w:r>
        <w:rPr>
          <w:rFonts w:ascii="Courier New" w:hAnsi="Courier New"/>
          <w:sz w:val="18"/>
        </w:rPr>
        <w:t>Browser  →  React SPA (Vite / Tailwind CSS / React Flow)</w:t>
        <w:br/>
        <w:t xml:space="preserve">                ↕  REST /api/v1</w:t>
        <w:br/>
        <w:t>API      →  Fastify 5 / TypeScript</w:t>
        <w:br/>
        <w:t xml:space="preserve">                ↕  SPARQL UPDATE / SELECT</w:t>
        <w:br/>
        <w:t>Store    →  QLever SPARQL triplestore</w:t>
      </w:r>
    </w:p>
    <w:p>
      <w:pPr>
        <w:spacing w:before="120" w:after="0"/>
      </w:pPr>
    </w:p>
    <w:p>
      <w:pPr>
        <w:spacing w:before="40" w:after="40"/>
        <w:jc w:val="center"/>
      </w:pPr>
      <w:r>
        <w:drawing>
          <wp:inline xmlns:a="http://schemas.openxmlformats.org/drawingml/2006/main" xmlns:pic="http://schemas.openxmlformats.org/drawingml/2006/picture">
            <wp:extent cx="5029200" cy="3233057"/>
            <wp:docPr id="1" name="Picture 1"/>
            <wp:cNvGraphicFramePr>
              <a:graphicFrameLocks noChangeAspect="1"/>
            </wp:cNvGraphicFramePr>
            <a:graphic>
              <a:graphicData uri="http://schemas.openxmlformats.org/drawingml/2006/picture">
                <pic:pic>
                  <pic:nvPicPr>
                    <pic:cNvPr id="0" name="01_schema_list.png"/>
                    <pic:cNvPicPr/>
                  </pic:nvPicPr>
                  <pic:blipFill>
                    <a:blip r:embed="rId9"/>
                    <a:stretch>
                      <a:fillRect/>
                    </a:stretch>
                  </pic:blipFill>
                  <pic:spPr>
                    <a:xfrm>
                      <a:off x="0" y="0"/>
                      <a:ext cx="5029200" cy="3233057"/>
                    </a:xfrm>
                    <a:prstGeom prst="rect"/>
                  </pic:spPr>
                </pic:pic>
              </a:graphicData>
            </a:graphic>
          </wp:inline>
        </w:drawing>
      </w:r>
    </w:p>
    <w:p>
      <w:pPr>
        <w:spacing w:before="40" w:after="200"/>
        <w:jc w:val="center"/>
      </w:pPr>
      <w:r>
        <w:rPr>
          <w:rFonts w:ascii="Times New Roman" w:hAnsi="Times New Roman"/>
          <w:i/>
          <w:color w:val="444444"/>
          <w:sz w:val="20"/>
        </w:rPr>
        <w:t>Figure 1: Schema list landing page — each card shows a stored schema with class and property counts.</w:t>
      </w:r>
    </w:p>
    <w:p>
      <w:pPr>
        <w:spacing w:before="120" w:after="0"/>
      </w:pPr>
    </w:p>
    <w:p>
      <w:pPr>
        <w:spacing w:before="40" w:after="40"/>
        <w:jc w:val="center"/>
      </w:pPr>
      <w:r>
        <w:drawing>
          <wp:inline xmlns:a="http://schemas.openxmlformats.org/drawingml/2006/main" xmlns:pic="http://schemas.openxmlformats.org/drawingml/2006/picture">
            <wp:extent cx="5029200" cy="3233057"/>
            <wp:docPr id="2" name="Picture 2"/>
            <wp:cNvGraphicFramePr>
              <a:graphicFrameLocks noChangeAspect="1"/>
            </wp:cNvGraphicFramePr>
            <a:graphic>
              <a:graphicData uri="http://schemas.openxmlformats.org/drawingml/2006/picture">
                <pic:pic>
                  <pic:nvPicPr>
                    <pic:cNvPr id="0" name="02_schema_overview.png"/>
                    <pic:cNvPicPr/>
                  </pic:nvPicPr>
                  <pic:blipFill>
                    <a:blip r:embed="rId10"/>
                    <a:stretch>
                      <a:fillRect/>
                    </a:stretch>
                  </pic:blipFill>
                  <pic:spPr>
                    <a:xfrm>
                      <a:off x="0" y="0"/>
                      <a:ext cx="5029200" cy="3233057"/>
                    </a:xfrm>
                    <a:prstGeom prst="rect"/>
                  </pic:spPr>
                </pic:pic>
              </a:graphicData>
            </a:graphic>
          </wp:inline>
        </w:drawing>
      </w:r>
    </w:p>
    <w:p>
      <w:pPr>
        <w:spacing w:before="40" w:after="200"/>
        <w:jc w:val="center"/>
      </w:pPr>
      <w:r>
        <w:rPr>
          <w:rFonts w:ascii="Times New Roman" w:hAnsi="Times New Roman"/>
          <w:i/>
          <w:color w:val="444444"/>
          <w:sz w:val="20"/>
        </w:rPr>
        <w:t>Figure 2: Full schema overview for the Clinical Health Record example (28 classes, 34 properties, 62 mapped concepts).</w:t>
      </w:r>
    </w:p>
    <w:p>
      <w:pPr>
        <w:spacing w:before="40" w:after="120"/>
        <w:jc w:val="both"/>
      </w:pPr>
      <w:r>
        <w:rPr>
          <w:rFonts w:ascii="Times New Roman" w:hAnsi="Times New Roman"/>
          <w:b w:val="0"/>
          <w:i w:val="0"/>
          <w:sz w:val="24"/>
        </w:rPr>
        <w:t xml:space="preserve">All schema data are stored as RDF triples in QLever [22] under the base namespace </w:t>
      </w:r>
      <w:r>
        <w:rPr>
          <w:rFonts w:ascii="Courier New" w:hAnsi="Courier New"/>
          <w:b w:val="0"/>
          <w:i w:val="0"/>
          <w:sz w:val="24"/>
        </w:rPr>
        <w:t>https://w3id.org/sulo/schema/</w:t>
      </w:r>
      <w:r>
        <w:rPr>
          <w:rFonts w:ascii="Times New Roman" w:hAnsi="Times New Roman"/>
          <w:b w:val="0"/>
          <w:i w:val="0"/>
          <w:sz w:val="24"/>
        </w:rPr>
        <w:t>. The API translates every CRUD operation into standard SPARQL 1.1 UPDATE and SELECT queries, meaning the store can be replaced with any SPARQL-compliant triplestore. The frontend is a single-page React application with no framework-level state management beyond React Query for server-state synchronisation.</w:t>
      </w:r>
    </w:p>
    <w:p>
      <w:pPr>
        <w:spacing w:before="200" w:after="80"/>
      </w:pPr>
      <w:r>
        <w:rPr>
          <w:rFonts w:ascii="Times New Roman" w:hAnsi="Times New Roman"/>
          <w:b/>
          <w:sz w:val="24"/>
        </w:rPr>
        <w:t>3.2 Core Data Model</w:t>
      </w:r>
    </w:p>
    <w:p>
      <w:pPr>
        <w:spacing w:before="40" w:after="120"/>
        <w:jc w:val="both"/>
      </w:pPr>
      <w:r>
        <w:rPr>
          <w:rFonts w:ascii="Times New Roman" w:hAnsi="Times New Roman"/>
          <w:b w:val="0"/>
          <w:i w:val="0"/>
          <w:sz w:val="24"/>
        </w:rPr>
        <w:t xml:space="preserve">A </w:t>
      </w:r>
      <w:r>
        <w:rPr>
          <w:rFonts w:ascii="Times New Roman" w:hAnsi="Times New Roman"/>
          <w:b/>
          <w:i w:val="0"/>
          <w:sz w:val="24"/>
        </w:rPr>
        <w:t>Schema</w:t>
      </w:r>
      <w:r>
        <w:rPr>
          <w:rFonts w:ascii="Times New Roman" w:hAnsi="Times New Roman"/>
          <w:b w:val="0"/>
          <w:i w:val="0"/>
          <w:sz w:val="24"/>
        </w:rPr>
        <w:t xml:space="preserve"> (</w:t>
      </w:r>
      <w:r>
        <w:rPr>
          <w:rFonts w:ascii="Courier New" w:hAnsi="Courier New"/>
          <w:b w:val="0"/>
          <w:i w:val="0"/>
          <w:sz w:val="24"/>
        </w:rPr>
        <w:t>suloschema:OntologySchema</w:t>
      </w:r>
      <w:r>
        <w:rPr>
          <w:rFonts w:ascii="Times New Roman" w:hAnsi="Times New Roman"/>
          <w:b w:val="0"/>
          <w:i w:val="0"/>
          <w:sz w:val="24"/>
        </w:rPr>
        <w:t xml:space="preserve">) contains an ordered set of </w:t>
      </w:r>
      <w:r>
        <w:rPr>
          <w:rFonts w:ascii="Times New Roman" w:hAnsi="Times New Roman"/>
          <w:b/>
          <w:i w:val="0"/>
          <w:sz w:val="24"/>
        </w:rPr>
        <w:t>Classes</w:t>
      </w:r>
      <w:r>
        <w:rPr>
          <w:rFonts w:ascii="Times New Roman" w:hAnsi="Times New Roman"/>
          <w:b w:val="0"/>
          <w:i w:val="0"/>
          <w:sz w:val="24"/>
        </w:rPr>
        <w:t xml:space="preserve"> (</w:t>
      </w:r>
      <w:r>
        <w:rPr>
          <w:rFonts w:ascii="Courier New" w:hAnsi="Courier New"/>
          <w:b w:val="0"/>
          <w:i w:val="0"/>
          <w:sz w:val="24"/>
        </w:rPr>
        <w:t>suloschema:OntologyClass</w:t>
      </w:r>
      <w:r>
        <w:rPr>
          <w:rFonts w:ascii="Times New Roman" w:hAnsi="Times New Roman"/>
          <w:b w:val="0"/>
          <w:i w:val="0"/>
          <w:sz w:val="24"/>
        </w:rPr>
        <w:t xml:space="preserve">) and </w:t>
      </w:r>
      <w:r>
        <w:rPr>
          <w:rFonts w:ascii="Times New Roman" w:hAnsi="Times New Roman"/>
          <w:b/>
          <w:i w:val="0"/>
          <w:sz w:val="24"/>
        </w:rPr>
        <w:t>Properties</w:t>
      </w:r>
      <w:r>
        <w:rPr>
          <w:rFonts w:ascii="Times New Roman" w:hAnsi="Times New Roman"/>
          <w:b w:val="0"/>
          <w:i w:val="0"/>
          <w:sz w:val="24"/>
        </w:rPr>
        <w:t xml:space="preserve"> (</w:t>
      </w:r>
      <w:r>
        <w:rPr>
          <w:rFonts w:ascii="Courier New" w:hAnsi="Courier New"/>
          <w:b w:val="0"/>
          <w:i w:val="0"/>
          <w:sz w:val="24"/>
        </w:rPr>
        <w:t>suloschema:OntologyProperty</w:t>
      </w:r>
      <w:r>
        <w:rPr>
          <w:rFonts w:ascii="Times New Roman" w:hAnsi="Times New Roman"/>
          <w:b w:val="0"/>
          <w:i w:val="0"/>
          <w:sz w:val="24"/>
        </w:rPr>
        <w:t>).</w:t>
      </w:r>
    </w:p>
    <w:p>
      <w:pPr>
        <w:spacing w:before="40" w:after="120"/>
        <w:jc w:val="both"/>
      </w:pPr>
      <w:r>
        <w:rPr>
          <w:rFonts w:ascii="Times New Roman" w:hAnsi="Times New Roman"/>
          <w:b w:val="0"/>
          <w:i w:val="0"/>
          <w:sz w:val="24"/>
        </w:rPr>
        <w:t xml:space="preserve">Each </w:t>
      </w:r>
      <w:r>
        <w:rPr>
          <w:rFonts w:ascii="Times New Roman" w:hAnsi="Times New Roman"/>
          <w:b/>
          <w:i w:val="0"/>
          <w:sz w:val="24"/>
        </w:rPr>
        <w:t>Class</w:t>
      </w:r>
      <w:r>
        <w:rPr>
          <w:rFonts w:ascii="Times New Roman" w:hAnsi="Times New Roman"/>
          <w:b w:val="0"/>
          <w:i w:val="0"/>
          <w:sz w:val="24"/>
        </w:rPr>
        <w:t xml:space="preserve"> carries:</w:t>
      </w:r>
    </w:p>
    <w:p>
      <w:pPr>
        <w:pStyle w:val="ListBullet"/>
        <w:spacing w:before="20" w:after="20"/>
        <w:ind w:left="360"/>
      </w:pPr>
      <w:r>
        <w:rPr>
          <w:rFonts w:ascii="Times New Roman" w:hAnsi="Times New Roman"/>
          <w:b w:val="0"/>
          <w:i w:val="0"/>
          <w:sz w:val="24"/>
        </w:rPr>
        <w:t>A local name used as the IRI fragment (</w:t>
      </w:r>
      <w:r>
        <w:rPr>
          <w:rFonts w:ascii="Courier New" w:hAnsi="Courier New"/>
          <w:b w:val="0"/>
          <w:i w:val="0"/>
          <w:sz w:val="24"/>
        </w:rPr>
        <w:t>:ClinicalVisit</w:t>
      </w:r>
      <w:r>
        <w:rPr>
          <w:rFonts w:ascii="Times New Roman" w:hAnsi="Times New Roman"/>
          <w:b w:val="0"/>
          <w:i w:val="0"/>
          <w:sz w:val="24"/>
        </w:rPr>
        <w:t>)</w:t>
      </w:r>
    </w:p>
    <w:p>
      <w:pPr>
        <w:pStyle w:val="ListBullet"/>
        <w:spacing w:before="20" w:after="20"/>
        <w:ind w:left="360"/>
      </w:pPr>
      <w:r>
        <w:rPr>
          <w:rFonts w:ascii="Times New Roman" w:hAnsi="Times New Roman"/>
          <w:b w:val="0"/>
          <w:i w:val="0"/>
          <w:sz w:val="24"/>
        </w:rPr>
        <w:t>A human-readable label and description</w:t>
      </w:r>
    </w:p>
    <w:p>
      <w:pPr>
        <w:pStyle w:val="ListBullet"/>
        <w:spacing w:before="20" w:after="20"/>
        <w:ind w:left="360"/>
      </w:pPr>
      <w:r>
        <w:rPr>
          <w:rFonts w:ascii="Times New Roman" w:hAnsi="Times New Roman"/>
          <w:b w:val="0"/>
          <w:i w:val="0"/>
          <w:sz w:val="24"/>
        </w:rPr>
        <w:t xml:space="preserve">An optional </w:t>
      </w:r>
      <w:r>
        <w:rPr>
          <w:rFonts w:ascii="Courier New" w:hAnsi="Courier New"/>
          <w:b w:val="0"/>
          <w:i w:val="0"/>
          <w:sz w:val="24"/>
        </w:rPr>
        <w:t>mapsToConceptIri</w:t>
      </w:r>
      <w:r>
        <w:rPr>
          <w:rFonts w:ascii="Times New Roman" w:hAnsi="Times New Roman"/>
          <w:b w:val="0"/>
          <w:i w:val="0"/>
          <w:sz w:val="24"/>
        </w:rPr>
        <w:t xml:space="preserve"> — the IRI of the upper-ontology concept this class is aligned to (e.g. </w:t>
      </w:r>
      <w:r>
        <w:rPr>
          <w:rFonts w:ascii="Courier New" w:hAnsi="Courier New"/>
          <w:b w:val="0"/>
          <w:i w:val="0"/>
          <w:sz w:val="24"/>
        </w:rPr>
        <w:t>https://w3id.org/sulo/Process</w:t>
      </w:r>
      <w:r>
        <w:rPr>
          <w:rFonts w:ascii="Times New Roman" w:hAnsi="Times New Roman"/>
          <w:b w:val="0"/>
          <w:i w:val="0"/>
          <w:sz w:val="24"/>
        </w:rPr>
        <w:t>)</w:t>
      </w:r>
    </w:p>
    <w:p>
      <w:pPr>
        <w:pStyle w:val="ListBullet"/>
        <w:spacing w:before="20" w:after="20"/>
        <w:ind w:left="360"/>
      </w:pPr>
      <w:r>
        <w:rPr>
          <w:rFonts w:ascii="Times New Roman" w:hAnsi="Times New Roman"/>
          <w:b w:val="0"/>
          <w:i w:val="0"/>
          <w:sz w:val="24"/>
        </w:rPr>
        <w:t xml:space="preserve">An optional </w:t>
      </w:r>
      <w:r>
        <w:rPr>
          <w:rFonts w:ascii="Courier New" w:hAnsi="Courier New"/>
          <w:b w:val="0"/>
          <w:i w:val="0"/>
          <w:sz w:val="24"/>
        </w:rPr>
        <w:t>superClassId</w:t>
      </w:r>
      <w:r>
        <w:rPr>
          <w:rFonts w:ascii="Times New Roman" w:hAnsi="Times New Roman"/>
          <w:b w:val="0"/>
          <w:i w:val="0"/>
          <w:sz w:val="24"/>
        </w:rPr>
        <w:t xml:space="preserve"> for intra-schema inheritance (</w:t>
      </w:r>
      <w:r>
        <w:rPr>
          <w:rFonts w:ascii="Courier New" w:hAnsi="Courier New"/>
          <w:b w:val="0"/>
          <w:i w:val="0"/>
          <w:sz w:val="24"/>
        </w:rPr>
        <w:t>rdfs:subClassOf</w:t>
      </w:r>
      <w:r>
        <w:rPr>
          <w:rFonts w:ascii="Times New Roman" w:hAnsi="Times New Roman"/>
          <w:b w:val="0"/>
          <w:i w:val="0"/>
          <w:sz w:val="24"/>
        </w:rPr>
        <w:t>)</w:t>
      </w:r>
    </w:p>
    <w:p>
      <w:pPr>
        <w:spacing w:before="40" w:after="120"/>
        <w:jc w:val="both"/>
      </w:pPr>
      <w:r>
        <w:rPr>
          <w:rFonts w:ascii="Times New Roman" w:hAnsi="Times New Roman"/>
          <w:b w:val="0"/>
          <w:i w:val="0"/>
          <w:sz w:val="24"/>
        </w:rPr>
        <w:t xml:space="preserve">Each </w:t>
      </w:r>
      <w:r>
        <w:rPr>
          <w:rFonts w:ascii="Times New Roman" w:hAnsi="Times New Roman"/>
          <w:b/>
          <w:i w:val="0"/>
          <w:sz w:val="24"/>
        </w:rPr>
        <w:t>Property</w:t>
      </w:r>
      <w:r>
        <w:rPr>
          <w:rFonts w:ascii="Times New Roman" w:hAnsi="Times New Roman"/>
          <w:b w:val="0"/>
          <w:i w:val="0"/>
          <w:sz w:val="24"/>
        </w:rPr>
        <w:t xml:space="preserve"> carries:</w:t>
      </w:r>
    </w:p>
    <w:p>
      <w:pPr>
        <w:pStyle w:val="ListBullet"/>
        <w:spacing w:before="20" w:after="20"/>
        <w:ind w:left="360"/>
      </w:pPr>
      <w:r>
        <w:rPr>
          <w:rFonts w:ascii="Times New Roman" w:hAnsi="Times New Roman"/>
          <w:b w:val="0"/>
          <w:i w:val="0"/>
          <w:sz w:val="24"/>
        </w:rPr>
        <w:t>A name, label, and type (</w:t>
      </w:r>
      <w:r>
        <w:rPr>
          <w:rFonts w:ascii="Courier New" w:hAnsi="Courier New"/>
          <w:b w:val="0"/>
          <w:i w:val="0"/>
          <w:sz w:val="24"/>
        </w:rPr>
        <w:t>object</w:t>
      </w:r>
      <w:r>
        <w:rPr>
          <w:rFonts w:ascii="Times New Roman" w:hAnsi="Times New Roman"/>
          <w:b w:val="0"/>
          <w:i w:val="0"/>
          <w:sz w:val="24"/>
        </w:rPr>
        <w:t xml:space="preserve"> or </w:t>
      </w:r>
      <w:r>
        <w:rPr>
          <w:rFonts w:ascii="Courier New" w:hAnsi="Courier New"/>
          <w:b w:val="0"/>
          <w:i w:val="0"/>
          <w:sz w:val="24"/>
        </w:rPr>
        <w:t>datatype</w:t>
      </w:r>
      <w:r>
        <w:rPr>
          <w:rFonts w:ascii="Times New Roman" w:hAnsi="Times New Roman"/>
          <w:b w:val="0"/>
          <w:i w:val="0"/>
          <w:sz w:val="24"/>
        </w:rPr>
        <w:t>)</w:t>
      </w:r>
    </w:p>
    <w:p>
      <w:pPr>
        <w:pStyle w:val="ListBullet"/>
        <w:spacing w:before="20" w:after="20"/>
        <w:ind w:left="360"/>
      </w:pPr>
      <w:r>
        <w:rPr>
          <w:rFonts w:ascii="Courier New" w:hAnsi="Courier New"/>
          <w:b w:val="0"/>
          <w:i w:val="0"/>
          <w:sz w:val="24"/>
        </w:rPr>
        <w:t>domainClassId</w:t>
      </w:r>
      <w:r>
        <w:rPr>
          <w:rFonts w:ascii="Times New Roman" w:hAnsi="Times New Roman"/>
          <w:b w:val="0"/>
          <w:i w:val="0"/>
          <w:sz w:val="24"/>
        </w:rPr>
        <w:t xml:space="preserve"> — the class in this schema that bears the property</w:t>
      </w:r>
    </w:p>
    <w:p>
      <w:pPr>
        <w:pStyle w:val="ListBullet"/>
        <w:spacing w:before="20" w:after="20"/>
        <w:ind w:left="360"/>
      </w:pPr>
      <w:r>
        <w:rPr>
          <w:rFonts w:ascii="Courier New" w:hAnsi="Courier New"/>
          <w:b w:val="0"/>
          <w:i w:val="0"/>
          <w:sz w:val="24"/>
        </w:rPr>
        <w:t>rangeClassIri</w:t>
      </w:r>
      <w:r>
        <w:rPr>
          <w:rFonts w:ascii="Times New Roman" w:hAnsi="Times New Roman"/>
          <w:b w:val="0"/>
          <w:i w:val="0"/>
          <w:sz w:val="24"/>
        </w:rPr>
        <w:t xml:space="preserve"> — the target class IRI (object) or XSD datatype (datatype)</w:t>
      </w:r>
    </w:p>
    <w:p>
      <w:pPr>
        <w:pStyle w:val="ListBullet"/>
        <w:spacing w:before="20" w:after="20"/>
        <w:ind w:left="360"/>
      </w:pPr>
      <w:r>
        <w:rPr>
          <w:rFonts w:ascii="Courier New" w:hAnsi="Courier New"/>
          <w:b w:val="0"/>
          <w:i w:val="0"/>
          <w:sz w:val="24"/>
        </w:rPr>
        <w:t>isRequired</w:t>
      </w:r>
      <w:r>
        <w:rPr>
          <w:rFonts w:ascii="Times New Roman" w:hAnsi="Times New Roman"/>
          <w:b w:val="0"/>
          <w:i w:val="0"/>
          <w:sz w:val="24"/>
        </w:rPr>
        <w:t xml:space="preserve"> — whether the property is mandatory</w:t>
      </w:r>
    </w:p>
    <w:p>
      <w:pPr>
        <w:pStyle w:val="ListBullet"/>
        <w:spacing w:before="20" w:after="20"/>
        <w:ind w:left="360"/>
      </w:pPr>
      <w:r>
        <w:rPr>
          <w:rFonts w:ascii="Times New Roman" w:hAnsi="Times New Roman"/>
          <w:b w:val="0"/>
          <w:i w:val="0"/>
          <w:sz w:val="24"/>
        </w:rPr>
        <w:t xml:space="preserve">A </w:t>
      </w:r>
      <w:r>
        <w:rPr>
          <w:rFonts w:ascii="Times New Roman" w:hAnsi="Times New Roman"/>
          <w:b/>
          <w:i w:val="0"/>
          <w:sz w:val="24"/>
        </w:rPr>
        <w:t>mapping pattern</w:t>
      </w:r>
      <w:r>
        <w:rPr>
          <w:rFonts w:ascii="Times New Roman" w:hAnsi="Times New Roman"/>
          <w:b w:val="0"/>
          <w:i w:val="0"/>
          <w:sz w:val="24"/>
        </w:rPr>
        <w:t xml:space="preserve"> — a list of </w:t>
      </w:r>
      <w:r>
        <w:rPr>
          <w:rFonts w:ascii="Courier New" w:hAnsi="Courier New"/>
          <w:b w:val="0"/>
          <w:i w:val="0"/>
          <w:sz w:val="24"/>
        </w:rPr>
        <w:t>TripleTemplate</w:t>
      </w:r>
      <w:r>
        <w:rPr>
          <w:rFonts w:ascii="Times New Roman" w:hAnsi="Times New Roman"/>
          <w:b w:val="0"/>
          <w:i w:val="0"/>
          <w:sz w:val="24"/>
        </w:rPr>
        <w:t xml:space="preserve"> objects, each with a </w:t>
      </w:r>
      <w:r>
        <w:rPr>
          <w:rFonts w:ascii="Courier New" w:hAnsi="Courier New"/>
          <w:b w:val="0"/>
          <w:i w:val="0"/>
          <w:sz w:val="24"/>
        </w:rPr>
        <w:t>subject</w:t>
      </w:r>
      <w:r>
        <w:rPr>
          <w:rFonts w:ascii="Times New Roman" w:hAnsi="Times New Roman"/>
          <w:b w:val="0"/>
          <w:i w:val="0"/>
          <w:sz w:val="24"/>
        </w:rPr>
        <w:t xml:space="preserve"> variable, a predicate IRI, and an </w:t>
      </w:r>
      <w:r>
        <w:rPr>
          <w:rFonts w:ascii="Courier New" w:hAnsi="Courier New"/>
          <w:b w:val="0"/>
          <w:i w:val="0"/>
          <w:sz w:val="24"/>
        </w:rPr>
        <w:t>object</w:t>
      </w:r>
      <w:r>
        <w:rPr>
          <w:rFonts w:ascii="Times New Roman" w:hAnsi="Times New Roman"/>
          <w:b w:val="0"/>
          <w:i w:val="0"/>
          <w:sz w:val="24"/>
        </w:rPr>
        <w:t xml:space="preserve"> (variable or IRI), expressing the SULO path this property corresponds to</w:t>
      </w:r>
    </w:p>
    <w:p>
      <w:pPr>
        <w:spacing w:before="200" w:after="80"/>
      </w:pPr>
      <w:r>
        <w:rPr>
          <w:rFonts w:ascii="Times New Roman" w:hAnsi="Times New Roman"/>
          <w:b/>
          <w:sz w:val="24"/>
        </w:rPr>
        <w:t>3.3 Export Pipeline</w:t>
      </w:r>
    </w:p>
    <w:p>
      <w:pPr>
        <w:spacing w:before="40" w:after="120"/>
        <w:jc w:val="both"/>
      </w:pPr>
      <w:r>
        <w:rPr>
          <w:rFonts w:ascii="Times New Roman" w:hAnsi="Times New Roman"/>
          <w:b w:val="0"/>
          <w:i w:val="0"/>
          <w:sz w:val="24"/>
        </w:rPr>
        <w:t>From a single schema model the tool generates four artefacts:</w:t>
      </w:r>
    </w:p>
    <w:p>
      <w:pPr>
        <w:spacing w:before="40" w:after="120"/>
        <w:jc w:val="both"/>
      </w:pPr>
      <w:r>
        <w:rPr>
          <w:rFonts w:ascii="Times New Roman" w:hAnsi="Times New Roman"/>
          <w:b/>
          <w:i w:val="0"/>
          <w:sz w:val="24"/>
        </w:rPr>
        <w:t>Plain RDF/Turtle</w:t>
      </w:r>
      <w:r>
        <w:rPr>
          <w:rFonts w:ascii="Times New Roman" w:hAnsi="Times New Roman"/>
          <w:b w:val="0"/>
          <w:i w:val="0"/>
          <w:sz w:val="24"/>
        </w:rPr>
        <w:t xml:space="preserve"> — RDFS vocabulary: </w:t>
      </w:r>
      <w:r>
        <w:rPr>
          <w:rFonts w:ascii="Courier New" w:hAnsi="Courier New"/>
          <w:b w:val="0"/>
          <w:i w:val="0"/>
          <w:sz w:val="24"/>
        </w:rPr>
        <w:t>owl:Class</w:t>
      </w:r>
      <w:r>
        <w:rPr>
          <w:rFonts w:ascii="Times New Roman" w:hAnsi="Times New Roman"/>
          <w:b w:val="0"/>
          <w:i w:val="0"/>
          <w:sz w:val="24"/>
        </w:rPr>
        <w:t xml:space="preserve">, </w:t>
      </w:r>
      <w:r>
        <w:rPr>
          <w:rFonts w:ascii="Courier New" w:hAnsi="Courier New"/>
          <w:b w:val="0"/>
          <w:i w:val="0"/>
          <w:sz w:val="24"/>
        </w:rPr>
        <w:t>rdfs:label</w:t>
      </w:r>
      <w:r>
        <w:rPr>
          <w:rFonts w:ascii="Times New Roman" w:hAnsi="Times New Roman"/>
          <w:b w:val="0"/>
          <w:i w:val="0"/>
          <w:sz w:val="24"/>
        </w:rPr>
        <w:t xml:space="preserve">, </w:t>
      </w:r>
      <w:r>
        <w:rPr>
          <w:rFonts w:ascii="Courier New" w:hAnsi="Courier New"/>
          <w:b w:val="0"/>
          <w:i w:val="0"/>
          <w:sz w:val="24"/>
        </w:rPr>
        <w:t>rdfs:comment</w:t>
      </w:r>
      <w:r>
        <w:rPr>
          <w:rFonts w:ascii="Times New Roman" w:hAnsi="Times New Roman"/>
          <w:b w:val="0"/>
          <w:i w:val="0"/>
          <w:sz w:val="24"/>
        </w:rPr>
        <w:t xml:space="preserve">, </w:t>
      </w:r>
      <w:r>
        <w:rPr>
          <w:rFonts w:ascii="Courier New" w:hAnsi="Courier New"/>
          <w:b w:val="0"/>
          <w:i w:val="0"/>
          <w:sz w:val="24"/>
        </w:rPr>
        <w:t>rdfs:subClassOf</w:t>
      </w:r>
      <w:r>
        <w:rPr>
          <w:rFonts w:ascii="Times New Roman" w:hAnsi="Times New Roman"/>
          <w:b w:val="0"/>
          <w:i w:val="0"/>
          <w:sz w:val="24"/>
        </w:rPr>
        <w:t xml:space="preserve">, </w:t>
      </w:r>
      <w:r>
        <w:rPr>
          <w:rFonts w:ascii="Courier New" w:hAnsi="Courier New"/>
          <w:b w:val="0"/>
          <w:i w:val="0"/>
          <w:sz w:val="24"/>
        </w:rPr>
        <w:t>rdfs:domain</w:t>
      </w:r>
      <w:r>
        <w:rPr>
          <w:rFonts w:ascii="Times New Roman" w:hAnsi="Times New Roman"/>
          <w:b w:val="0"/>
          <w:i w:val="0"/>
          <w:sz w:val="24"/>
        </w:rPr>
        <w:t xml:space="preserve">, </w:t>
      </w:r>
      <w:r>
        <w:rPr>
          <w:rFonts w:ascii="Courier New" w:hAnsi="Courier New"/>
          <w:b w:val="0"/>
          <w:i w:val="0"/>
          <w:sz w:val="24"/>
        </w:rPr>
        <w:t>rdfs:range</w:t>
      </w:r>
      <w:r>
        <w:rPr>
          <w:rFonts w:ascii="Times New Roman" w:hAnsi="Times New Roman"/>
          <w:b w:val="0"/>
          <w:i w:val="0"/>
          <w:sz w:val="24"/>
        </w:rPr>
        <w:t>. This is the "schema view" familiar to linked-data practitioners.</w:t>
      </w:r>
    </w:p>
    <w:p>
      <w:pPr>
        <w:spacing w:before="120" w:after="0"/>
      </w:pPr>
    </w:p>
    <w:p>
      <w:pPr>
        <w:spacing w:before="40" w:after="40"/>
        <w:jc w:val="center"/>
      </w:pPr>
      <w:r>
        <w:drawing>
          <wp:inline xmlns:a="http://schemas.openxmlformats.org/drawingml/2006/main" xmlns:pic="http://schemas.openxmlformats.org/drawingml/2006/picture">
            <wp:extent cx="5029200" cy="3233057"/>
            <wp:docPr id="3" name="Picture 3"/>
            <wp:cNvGraphicFramePr>
              <a:graphicFrameLocks noChangeAspect="1"/>
            </wp:cNvGraphicFramePr>
            <a:graphic>
              <a:graphicData uri="http://schemas.openxmlformats.org/drawingml/2006/picture">
                <pic:pic>
                  <pic:nvPicPr>
                    <pic:cNvPr id="0" name="09_export_owl.png"/>
                    <pic:cNvPicPr/>
                  </pic:nvPicPr>
                  <pic:blipFill>
                    <a:blip r:embed="rId11"/>
                    <a:stretch>
                      <a:fillRect/>
                    </a:stretch>
                  </pic:blipFill>
                  <pic:spPr>
                    <a:xfrm>
                      <a:off x="0" y="0"/>
                      <a:ext cx="5029200" cy="3233057"/>
                    </a:xfrm>
                    <a:prstGeom prst="rect"/>
                  </pic:spPr>
                </pic:pic>
              </a:graphicData>
            </a:graphic>
          </wp:inline>
        </w:drawing>
      </w:r>
    </w:p>
    <w:p>
      <w:pPr>
        <w:spacing w:before="40" w:after="200"/>
        <w:jc w:val="center"/>
      </w:pPr>
      <w:r>
        <w:rPr>
          <w:rFonts w:ascii="Times New Roman" w:hAnsi="Times New Roman"/>
          <w:i/>
          <w:color w:val="444444"/>
          <w:sz w:val="20"/>
        </w:rPr>
        <w:t>Figure 3: Export modal — OWL + SULO tab showing prefix declarations and owl:equivalentClass restrictions derived from mapping patterns.</w:t>
      </w:r>
    </w:p>
    <w:p>
      <w:pPr>
        <w:spacing w:before="120" w:after="0"/>
      </w:pPr>
    </w:p>
    <w:p>
      <w:pPr>
        <w:spacing w:before="40" w:after="40"/>
        <w:jc w:val="center"/>
      </w:pPr>
      <w:r>
        <w:drawing>
          <wp:inline xmlns:a="http://schemas.openxmlformats.org/drawingml/2006/main" xmlns:pic="http://schemas.openxmlformats.org/drawingml/2006/picture">
            <wp:extent cx="5029200" cy="3233057"/>
            <wp:docPr id="4" name="Picture 4"/>
            <wp:cNvGraphicFramePr>
              <a:graphicFrameLocks noChangeAspect="1"/>
            </wp:cNvGraphicFramePr>
            <a:graphic>
              <a:graphicData uri="http://schemas.openxmlformats.org/drawingml/2006/picture">
                <pic:pic>
                  <pic:nvPicPr>
                    <pic:cNvPr id="0" name="10_export_shacl.png"/>
                    <pic:cNvPicPr/>
                  </pic:nvPicPr>
                  <pic:blipFill>
                    <a:blip r:embed="rId12"/>
                    <a:stretch>
                      <a:fillRect/>
                    </a:stretch>
                  </pic:blipFill>
                  <pic:spPr>
                    <a:xfrm>
                      <a:off x="0" y="0"/>
                      <a:ext cx="5029200" cy="3233057"/>
                    </a:xfrm>
                    <a:prstGeom prst="rect"/>
                  </pic:spPr>
                </pic:pic>
              </a:graphicData>
            </a:graphic>
          </wp:inline>
        </w:drawing>
      </w:r>
    </w:p>
    <w:p>
      <w:pPr>
        <w:spacing w:before="40" w:after="200"/>
        <w:jc w:val="center"/>
      </w:pPr>
      <w:r>
        <w:rPr>
          <w:rFonts w:ascii="Times New Roman" w:hAnsi="Times New Roman"/>
          <w:i/>
          <w:color w:val="444444"/>
          <w:sz w:val="20"/>
        </w:rPr>
        <w:t>Figure 4: Export modal — SHACL tab with sh:NodeShape definitions and sh:or union-range blocks.</w:t>
      </w:r>
    </w:p>
    <w:p>
      <w:pPr>
        <w:spacing w:before="120" w:after="0"/>
      </w:pPr>
    </w:p>
    <w:p>
      <w:pPr>
        <w:spacing w:before="40" w:after="40"/>
        <w:jc w:val="center"/>
      </w:pPr>
      <w:r>
        <w:drawing>
          <wp:inline xmlns:a="http://schemas.openxmlformats.org/drawingml/2006/main" xmlns:pic="http://schemas.openxmlformats.org/drawingml/2006/picture">
            <wp:extent cx="5029200" cy="3233057"/>
            <wp:docPr id="5" name="Picture 5"/>
            <wp:cNvGraphicFramePr>
              <a:graphicFrameLocks noChangeAspect="1"/>
            </wp:cNvGraphicFramePr>
            <a:graphic>
              <a:graphicData uri="http://schemas.openxmlformats.org/drawingml/2006/picture">
                <pic:pic>
                  <pic:nvPicPr>
                    <pic:cNvPr id="0" name="11_export_uml.png"/>
                    <pic:cNvPicPr/>
                  </pic:nvPicPr>
                  <pic:blipFill>
                    <a:blip r:embed="rId13"/>
                    <a:stretch>
                      <a:fillRect/>
                    </a:stretch>
                  </pic:blipFill>
                  <pic:spPr>
                    <a:xfrm>
                      <a:off x="0" y="0"/>
                      <a:ext cx="5029200" cy="3233057"/>
                    </a:xfrm>
                    <a:prstGeom prst="rect"/>
                  </pic:spPr>
                </pic:pic>
              </a:graphicData>
            </a:graphic>
          </wp:inline>
        </w:drawing>
      </w:r>
    </w:p>
    <w:p>
      <w:pPr>
        <w:spacing w:before="40" w:after="200"/>
        <w:jc w:val="center"/>
      </w:pPr>
      <w:r>
        <w:rPr>
          <w:rFonts w:ascii="Times New Roman" w:hAnsi="Times New Roman"/>
          <w:i/>
          <w:color w:val="444444"/>
          <w:sz w:val="20"/>
        </w:rPr>
        <w:t>Figure 5: Export modal — Mermaid UML class diagram tab, suitable for embedding in GitHub Markdown.</w:t>
      </w:r>
    </w:p>
    <w:p>
      <w:pPr>
        <w:spacing w:before="40" w:after="120"/>
        <w:jc w:val="both"/>
      </w:pPr>
      <w:r>
        <w:rPr>
          <w:rFonts w:ascii="Times New Roman" w:hAnsi="Times New Roman"/>
          <w:b/>
          <w:i w:val="0"/>
          <w:sz w:val="24"/>
        </w:rPr>
        <w:t>OWL + SULO</w:t>
      </w:r>
      <w:r>
        <w:rPr>
          <w:rFonts w:ascii="Times New Roman" w:hAnsi="Times New Roman"/>
          <w:b w:val="0"/>
          <w:i w:val="0"/>
          <w:sz w:val="24"/>
        </w:rPr>
        <w:t xml:space="preserve"> — Extends the plain export with formal alignment axioms. For each class with a </w:t>
      </w:r>
      <w:r>
        <w:rPr>
          <w:rFonts w:ascii="Courier New" w:hAnsi="Courier New"/>
          <w:b w:val="0"/>
          <w:i w:val="0"/>
          <w:sz w:val="24"/>
        </w:rPr>
        <w:t>mapsToConceptIri</w:t>
      </w:r>
      <w:r>
        <w:rPr>
          <w:rFonts w:ascii="Times New Roman" w:hAnsi="Times New Roman"/>
          <w:b w:val="0"/>
          <w:i w:val="0"/>
          <w:sz w:val="24"/>
        </w:rPr>
        <w:t xml:space="preserve">, an </w:t>
      </w:r>
      <w:r>
        <w:rPr>
          <w:rFonts w:ascii="Courier New" w:hAnsi="Courier New"/>
          <w:b w:val="0"/>
          <w:i w:val="0"/>
          <w:sz w:val="24"/>
        </w:rPr>
        <w:t>owl:equivalentClass</w:t>
      </w:r>
      <w:r>
        <w:rPr>
          <w:rFonts w:ascii="Times New Roman" w:hAnsi="Times New Roman"/>
          <w:b w:val="0"/>
          <w:i w:val="0"/>
          <w:sz w:val="24"/>
        </w:rPr>
        <w:t xml:space="preserve"> restriction is generated expressing the class's identity in terms of SULO role chains (Section 4.2). Union ranges become </w:t>
      </w:r>
      <w:r>
        <w:rPr>
          <w:rFonts w:ascii="Courier New" w:hAnsi="Courier New"/>
          <w:b w:val="0"/>
          <w:i w:val="0"/>
          <w:sz w:val="24"/>
        </w:rPr>
        <w:t>owl:unionOf</w:t>
      </w:r>
      <w:r>
        <w:rPr>
          <w:rFonts w:ascii="Times New Roman" w:hAnsi="Times New Roman"/>
          <w:b w:val="0"/>
          <w:i w:val="0"/>
          <w:sz w:val="24"/>
        </w:rPr>
        <w:t xml:space="preserve"> constructs. External concept IRIs (e.g. SNOMED CT) are referenced as </w:t>
      </w:r>
      <w:r>
        <w:rPr>
          <w:rFonts w:ascii="Courier New" w:hAnsi="Courier New"/>
          <w:b w:val="0"/>
          <w:i w:val="0"/>
          <w:sz w:val="24"/>
        </w:rPr>
        <w:t>&lt;http://snomed.info/id/...&gt;</w:t>
      </w:r>
      <w:r>
        <w:rPr>
          <w:rFonts w:ascii="Times New Roman" w:hAnsi="Times New Roman"/>
          <w:b w:val="0"/>
          <w:i w:val="0"/>
          <w:sz w:val="24"/>
        </w:rPr>
        <w:t xml:space="preserve"> rather than local prefixes.</w:t>
      </w:r>
    </w:p>
    <w:p>
      <w:pPr>
        <w:spacing w:before="40" w:after="120"/>
        <w:jc w:val="both"/>
      </w:pPr>
      <w:r>
        <w:rPr>
          <w:rFonts w:ascii="Times New Roman" w:hAnsi="Times New Roman"/>
          <w:b/>
          <w:i w:val="0"/>
          <w:sz w:val="24"/>
        </w:rPr>
        <w:t>SHACL</w:t>
      </w:r>
      <w:r>
        <w:rPr>
          <w:rFonts w:ascii="Times New Roman" w:hAnsi="Times New Roman"/>
          <w:b w:val="0"/>
          <w:i w:val="0"/>
          <w:sz w:val="24"/>
        </w:rPr>
        <w:t xml:space="preserve"> — One </w:t>
      </w:r>
      <w:r>
        <w:rPr>
          <w:rFonts w:ascii="Courier New" w:hAnsi="Courier New"/>
          <w:b w:val="0"/>
          <w:i w:val="0"/>
          <w:sz w:val="24"/>
        </w:rPr>
        <w:t>sh:NodeShape</w:t>
      </w:r>
      <w:r>
        <w:rPr>
          <w:rFonts w:ascii="Times New Roman" w:hAnsi="Times New Roman"/>
          <w:b w:val="0"/>
          <w:i w:val="0"/>
          <w:sz w:val="24"/>
        </w:rPr>
        <w:t xml:space="preserve"> per class, using schema-native predicates as </w:t>
      </w:r>
      <w:r>
        <w:rPr>
          <w:rFonts w:ascii="Courier New" w:hAnsi="Courier New"/>
          <w:b w:val="0"/>
          <w:i w:val="0"/>
          <w:sz w:val="24"/>
        </w:rPr>
        <w:t>sh:path</w:t>
      </w:r>
      <w:r>
        <w:rPr>
          <w:rFonts w:ascii="Times New Roman" w:hAnsi="Times New Roman"/>
          <w:b w:val="0"/>
          <w:i w:val="0"/>
          <w:sz w:val="24"/>
        </w:rPr>
        <w:t xml:space="preserve"> values. Union ranges generate </w:t>
      </w:r>
      <w:r>
        <w:rPr>
          <w:rFonts w:ascii="Courier New" w:hAnsi="Courier New"/>
          <w:b w:val="0"/>
          <w:i w:val="0"/>
          <w:sz w:val="24"/>
        </w:rPr>
        <w:t>sh:or</w:t>
      </w:r>
      <w:r>
        <w:rPr>
          <w:rFonts w:ascii="Times New Roman" w:hAnsi="Times New Roman"/>
          <w:b w:val="0"/>
          <w:i w:val="0"/>
          <w:sz w:val="24"/>
        </w:rPr>
        <w:t xml:space="preserve"> blocks. Required properties set </w:t>
      </w:r>
      <w:r>
        <w:rPr>
          <w:rFonts w:ascii="Courier New" w:hAnsi="Courier New"/>
          <w:b w:val="0"/>
          <w:i w:val="0"/>
          <w:sz w:val="24"/>
        </w:rPr>
        <w:t>sh:minCount 1</w:t>
      </w:r>
      <w:r>
        <w:rPr>
          <w:rFonts w:ascii="Times New Roman" w:hAnsi="Times New Roman"/>
          <w:b w:val="0"/>
          <w:i w:val="0"/>
          <w:sz w:val="24"/>
        </w:rPr>
        <w:t>. This is intentionally free of SULO predicates so that the shapes validate instance data serialised with the schema's own vocabulary, not the upper-ontology paths.</w:t>
      </w:r>
    </w:p>
    <w:p>
      <w:pPr>
        <w:spacing w:before="40" w:after="120"/>
        <w:jc w:val="both"/>
      </w:pPr>
      <w:r>
        <w:rPr>
          <w:rFonts w:ascii="Times New Roman" w:hAnsi="Times New Roman"/>
          <w:b/>
          <w:i w:val="0"/>
          <w:sz w:val="24"/>
        </w:rPr>
        <w:t>Mermaid UML</w:t>
      </w:r>
      <w:r>
        <w:rPr>
          <w:rFonts w:ascii="Times New Roman" w:hAnsi="Times New Roman"/>
          <w:b w:val="0"/>
          <w:i w:val="0"/>
          <w:sz w:val="24"/>
        </w:rPr>
        <w:t xml:space="preserve"> — A </w:t>
      </w:r>
      <w:r>
        <w:rPr>
          <w:rFonts w:ascii="Courier New" w:hAnsi="Courier New"/>
          <w:b w:val="0"/>
          <w:i w:val="0"/>
          <w:sz w:val="24"/>
        </w:rPr>
        <w:t>classDiagram</w:t>
      </w:r>
      <w:r>
        <w:rPr>
          <w:rFonts w:ascii="Times New Roman" w:hAnsi="Times New Roman"/>
          <w:b w:val="0"/>
          <w:i w:val="0"/>
          <w:sz w:val="24"/>
        </w:rPr>
        <w:t xml:space="preserve"> in Mermaid syntax, pasteable into GitHub Markdown or mermaid.live. Inheritance and association relationships are rendered with appropriate arrow types.</w:t>
      </w:r>
    </w:p>
    <w:p>
      <w:pPr>
        <w:spacing w:before="120" w:after="120"/>
      </w:pPr>
      <w:r>
        <w:rPr>
          <w:color w:val="CCCCCC"/>
          <w:sz w:val="16"/>
        </w:rPr>
        <w:t>────────────────────────────────────────────────────────────</w:t>
      </w:r>
    </w:p>
    <w:p>
      <w:pPr>
        <w:spacing w:before="200" w:after="80"/>
      </w:pPr>
      <w:r>
        <w:rPr>
          <w:rFonts w:ascii="Times New Roman" w:hAnsi="Times New Roman"/>
          <w:b/>
          <w:sz w:val="28"/>
        </w:rPr>
        <w:t>4. RQ1 — Bridging RDF Schemas and Formal Ontologies</w:t>
      </w:r>
    </w:p>
    <w:p>
      <w:pPr>
        <w:spacing w:before="200" w:after="80"/>
      </w:pPr>
      <w:r>
        <w:rPr>
          <w:rFonts w:ascii="Times New Roman" w:hAnsi="Times New Roman"/>
          <w:b/>
          <w:sz w:val="24"/>
        </w:rPr>
        <w:t>4.1 The Two-Layer Architecture</w:t>
      </w:r>
    </w:p>
    <w:p>
      <w:pPr>
        <w:spacing w:before="40" w:after="120"/>
        <w:jc w:val="both"/>
      </w:pPr>
      <w:r>
        <w:rPr>
          <w:rFonts w:ascii="Times New Roman" w:hAnsi="Times New Roman"/>
          <w:b w:val="0"/>
          <w:i w:val="0"/>
          <w:sz w:val="24"/>
        </w:rPr>
        <w:t>The fundamental insight driving the tool's design is that a schema and an ontology are not competing artefacts but complementary views of the same domain model. A schema answers "what fields does a record have?"; an ontology answers "what does each field mean in terms of first-order logic?". The Schema Builder makes both views explicit simultaneously and keeps them synchronised.</w:t>
      </w:r>
    </w:p>
    <w:p>
      <w:pPr>
        <w:spacing w:before="40" w:after="120"/>
        <w:jc w:val="both"/>
      </w:pPr>
      <w:r>
        <w:rPr>
          <w:rFonts w:ascii="Times New Roman" w:hAnsi="Times New Roman"/>
          <w:b w:val="0"/>
          <w:i w:val="0"/>
          <w:sz w:val="24"/>
        </w:rPr>
        <w:t xml:space="preserve">The </w:t>
      </w:r>
      <w:r>
        <w:rPr>
          <w:rFonts w:ascii="Times New Roman" w:hAnsi="Times New Roman"/>
          <w:b/>
          <w:i w:val="0"/>
          <w:sz w:val="24"/>
        </w:rPr>
        <w:t>plain RDF/Turtle export</w:t>
      </w:r>
      <w:r>
        <w:rPr>
          <w:rFonts w:ascii="Times New Roman" w:hAnsi="Times New Roman"/>
          <w:b w:val="0"/>
          <w:i w:val="0"/>
          <w:sz w:val="24"/>
        </w:rPr>
        <w:t xml:space="preserve"> is the schema view. It defines </w:t>
      </w:r>
      <w:r>
        <w:rPr>
          <w:rFonts w:ascii="Courier New" w:hAnsi="Courier New"/>
          <w:b w:val="0"/>
          <w:i w:val="0"/>
          <w:sz w:val="24"/>
        </w:rPr>
        <w:t>:ClinicalVisit</w:t>
      </w:r>
      <w:r>
        <w:rPr>
          <w:rFonts w:ascii="Times New Roman" w:hAnsi="Times New Roman"/>
          <w:b w:val="0"/>
          <w:i w:val="0"/>
          <w:sz w:val="24"/>
        </w:rPr>
        <w:t xml:space="preserve"> as an </w:t>
      </w:r>
      <w:r>
        <w:rPr>
          <w:rFonts w:ascii="Courier New" w:hAnsi="Courier New"/>
          <w:b w:val="0"/>
          <w:i w:val="0"/>
          <w:sz w:val="24"/>
        </w:rPr>
        <w:t>owl:Class</w:t>
      </w:r>
      <w:r>
        <w:rPr>
          <w:rFonts w:ascii="Times New Roman" w:hAnsi="Times New Roman"/>
          <w:b w:val="0"/>
          <w:i w:val="0"/>
          <w:sz w:val="24"/>
        </w:rPr>
        <w:t xml:space="preserve"> with </w:t>
      </w:r>
      <w:r>
        <w:rPr>
          <w:rFonts w:ascii="Courier New" w:hAnsi="Courier New"/>
          <w:b w:val="0"/>
          <w:i w:val="0"/>
          <w:sz w:val="24"/>
        </w:rPr>
        <w:t>rdfs:subClassOf :MedicalProcedure</w:t>
      </w:r>
      <w:r>
        <w:rPr>
          <w:rFonts w:ascii="Times New Roman" w:hAnsi="Times New Roman"/>
          <w:b w:val="0"/>
          <w:i w:val="0"/>
          <w:sz w:val="24"/>
        </w:rPr>
        <w:t xml:space="preserve">, annotated with a label and comment, and declares </w:t>
      </w:r>
      <w:r>
        <w:rPr>
          <w:rFonts w:ascii="Courier New" w:hAnsi="Courier New"/>
          <w:b w:val="0"/>
          <w:i w:val="0"/>
          <w:sz w:val="24"/>
        </w:rPr>
        <w:t>:hasPatient</w:t>
      </w:r>
      <w:r>
        <w:rPr>
          <w:rFonts w:ascii="Times New Roman" w:hAnsi="Times New Roman"/>
          <w:b w:val="0"/>
          <w:i w:val="0"/>
          <w:sz w:val="24"/>
        </w:rPr>
        <w:t xml:space="preserve"> as an </w:t>
      </w:r>
      <w:r>
        <w:rPr>
          <w:rFonts w:ascii="Courier New" w:hAnsi="Courier New"/>
          <w:b w:val="0"/>
          <w:i w:val="0"/>
          <w:sz w:val="24"/>
        </w:rPr>
        <w:t>owl:ObjectProperty</w:t>
      </w:r>
      <w:r>
        <w:rPr>
          <w:rFonts w:ascii="Times New Roman" w:hAnsi="Times New Roman"/>
          <w:b w:val="0"/>
          <w:i w:val="0"/>
          <w:sz w:val="24"/>
        </w:rPr>
        <w:t xml:space="preserve"> with </w:t>
      </w:r>
      <w:r>
        <w:rPr>
          <w:rFonts w:ascii="Courier New" w:hAnsi="Courier New"/>
          <w:b w:val="0"/>
          <w:i w:val="0"/>
          <w:sz w:val="24"/>
        </w:rPr>
        <w:t>rdfs:domain :ClinicalVisit</w:t>
      </w:r>
      <w:r>
        <w:rPr>
          <w:rFonts w:ascii="Times New Roman" w:hAnsi="Times New Roman"/>
          <w:b w:val="0"/>
          <w:i w:val="0"/>
          <w:sz w:val="24"/>
        </w:rPr>
        <w:t xml:space="preserve"> and </w:t>
      </w:r>
      <w:r>
        <w:rPr>
          <w:rFonts w:ascii="Courier New" w:hAnsi="Courier New"/>
          <w:b w:val="0"/>
          <w:i w:val="0"/>
          <w:sz w:val="24"/>
        </w:rPr>
        <w:t>rdfs:range :Person</w:t>
      </w:r>
      <w:r>
        <w:rPr>
          <w:rFonts w:ascii="Times New Roman" w:hAnsi="Times New Roman"/>
          <w:b w:val="0"/>
          <w:i w:val="0"/>
          <w:sz w:val="24"/>
        </w:rPr>
        <w:t>. A FHIR architect or OMOP data manager can read and use this without any OWL knowledge.</w:t>
      </w:r>
    </w:p>
    <w:p>
      <w:pPr>
        <w:spacing w:before="40" w:after="120"/>
        <w:jc w:val="both"/>
      </w:pPr>
      <w:r>
        <w:rPr>
          <w:rFonts w:ascii="Times New Roman" w:hAnsi="Times New Roman"/>
          <w:b w:val="0"/>
          <w:i w:val="0"/>
          <w:sz w:val="24"/>
        </w:rPr>
        <w:t xml:space="preserve">The </w:t>
      </w:r>
      <w:r>
        <w:rPr>
          <w:rFonts w:ascii="Times New Roman" w:hAnsi="Times New Roman"/>
          <w:b/>
          <w:i w:val="0"/>
          <w:sz w:val="24"/>
        </w:rPr>
        <w:t>OWL + SULO export</w:t>
      </w:r>
      <w:r>
        <w:rPr>
          <w:rFonts w:ascii="Times New Roman" w:hAnsi="Times New Roman"/>
          <w:b w:val="0"/>
          <w:i w:val="0"/>
          <w:sz w:val="24"/>
        </w:rPr>
        <w:t xml:space="preserve"> is the ontology view of exactly the same schema. Each class's </w:t>
      </w:r>
      <w:r>
        <w:rPr>
          <w:rFonts w:ascii="Courier New" w:hAnsi="Courier New"/>
          <w:b w:val="0"/>
          <w:i w:val="0"/>
          <w:sz w:val="24"/>
        </w:rPr>
        <w:t>mapsToConceptIri</w:t>
      </w:r>
      <w:r>
        <w:rPr>
          <w:rFonts w:ascii="Times New Roman" w:hAnsi="Times New Roman"/>
          <w:b w:val="0"/>
          <w:i w:val="0"/>
          <w:sz w:val="24"/>
        </w:rPr>
        <w:t xml:space="preserve"> generates an </w:t>
      </w:r>
      <w:r>
        <w:rPr>
          <w:rFonts w:ascii="Courier New" w:hAnsi="Courier New"/>
          <w:b w:val="0"/>
          <w:i w:val="0"/>
          <w:sz w:val="24"/>
        </w:rPr>
        <w:t>owl:equivalentClass</w:t>
      </w:r>
      <w:r>
        <w:rPr>
          <w:rFonts w:ascii="Times New Roman" w:hAnsi="Times New Roman"/>
          <w:b w:val="0"/>
          <w:i w:val="0"/>
          <w:sz w:val="24"/>
        </w:rPr>
        <w:t xml:space="preserve"> axiom:</w:t>
      </w:r>
    </w:p>
    <w:p>
      <w:pPr>
        <w:spacing w:before="80" w:after="80"/>
        <w:ind w:left="576"/>
        <w:shd w:val="clear" w:color="auto" w:fill="F2F2F2"/>
      </w:pPr>
      <w:r>
        <w:rPr>
          <w:rFonts w:ascii="Courier New" w:hAnsi="Courier New"/>
          <w:sz w:val="18"/>
        </w:rPr>
        <w:t>:ClinicalVisit  owl:equivalentClass  sulo:Process .</w:t>
        <w:br/>
        <w:t>:Person         owl:equivalentClass  sulo:SpatialObject .</w:t>
      </w:r>
    </w:p>
    <w:p>
      <w:pPr>
        <w:spacing w:before="40" w:after="120"/>
        <w:jc w:val="both"/>
      </w:pPr>
      <w:r>
        <w:rPr>
          <w:rFonts w:ascii="Times New Roman" w:hAnsi="Times New Roman"/>
          <w:b w:val="0"/>
          <w:i w:val="0"/>
          <w:sz w:val="24"/>
        </w:rPr>
        <w:t xml:space="preserve">Property mapping patterns go further. The mapping pattern </w:t>
      </w:r>
      <w:r>
        <w:rPr>
          <w:rFonts w:ascii="Courier New" w:hAnsi="Courier New"/>
          <w:b w:val="0"/>
          <w:i w:val="0"/>
          <w:sz w:val="24"/>
        </w:rPr>
        <w:t>[?this, sulo:hasParticipant, ?role], [?role, rdf:type, sulo:SubjectOfCareRole], [?role, sulo:isRoleOf, ?value]</w:t>
      </w:r>
      <w:r>
        <w:rPr>
          <w:rFonts w:ascii="Times New Roman" w:hAnsi="Times New Roman"/>
          <w:b w:val="0"/>
          <w:i w:val="0"/>
          <w:sz w:val="24"/>
        </w:rPr>
        <w:t xml:space="preserve"> attached to </w:t>
      </w:r>
      <w:r>
        <w:rPr>
          <w:rFonts w:ascii="Courier New" w:hAnsi="Courier New"/>
          <w:b w:val="0"/>
          <w:i w:val="0"/>
          <w:sz w:val="24"/>
        </w:rPr>
        <w:t>:hasPatient</w:t>
      </w:r>
      <w:r>
        <w:rPr>
          <w:rFonts w:ascii="Times New Roman" w:hAnsi="Times New Roman"/>
          <w:b w:val="0"/>
          <w:i w:val="0"/>
          <w:sz w:val="24"/>
        </w:rPr>
        <w:t xml:space="preserve"> is compiled (by </w:t>
      </w:r>
      <w:r>
        <w:rPr>
          <w:rFonts w:ascii="Courier New" w:hAnsi="Courier New"/>
          <w:b w:val="0"/>
          <w:i w:val="0"/>
          <w:sz w:val="24"/>
        </w:rPr>
        <w:t>buildOwlExpr</w:t>
      </w:r>
      <w:r>
        <w:rPr>
          <w:rFonts w:ascii="Times New Roman" w:hAnsi="Times New Roman"/>
          <w:b w:val="0"/>
          <w:i w:val="0"/>
          <w:sz w:val="24"/>
        </w:rPr>
        <w:t>) into:</w:t>
      </w:r>
    </w:p>
    <w:p>
      <w:pPr>
        <w:spacing w:before="80" w:after="80"/>
        <w:ind w:left="576"/>
        <w:shd w:val="clear" w:color="auto" w:fill="F2F2F2"/>
      </w:pPr>
      <w:r>
        <w:rPr>
          <w:rFonts w:ascii="Courier New" w:hAnsi="Courier New"/>
          <w:sz w:val="18"/>
        </w:rPr>
        <w:t>_:domain_hasPatient  owl:equivalentClass  [</w:t>
        <w:br/>
        <w:t xml:space="preserve">  a owl:Class ;</w:t>
        <w:br/>
        <w:t xml:space="preserve">  owl:intersectionOf (</w:t>
        <w:br/>
        <w:t xml:space="preserve">    :ClinicalVisit</w:t>
        <w:br/>
        <w:t xml:space="preserve">    [ a owl:Restriction ;</w:t>
        <w:br/>
        <w:t xml:space="preserve">      owl:onProperty sulo:hasParticipant ;</w:t>
        <w:br/>
        <w:t xml:space="preserve">      owl:someValuesFrom [</w:t>
        <w:br/>
        <w:t xml:space="preserve">        a owl:Class ;</w:t>
        <w:br/>
        <w:t xml:space="preserve">        owl:intersectionOf (</w:t>
        <w:br/>
        <w:t xml:space="preserve">          sulo:SubjectOfCareRole</w:t>
        <w:br/>
        <w:t xml:space="preserve">          [ a owl:Restriction ;</w:t>
        <w:br/>
        <w:t xml:space="preserve">            owl:onProperty sulo:isRoleOf ;</w:t>
        <w:br/>
        <w:t xml:space="preserve">            owl:someValuesFrom :Person ]</w:t>
        <w:br/>
        <w:t xml:space="preserve">        )</w:t>
        <w:br/>
        <w:t xml:space="preserve">      ]</w:t>
        <w:br/>
        <w:t xml:space="preserve">    ]</w:t>
        <w:br/>
        <w:t xml:space="preserve">  )</w:t>
        <w:br/>
        <w:t>] .</w:t>
      </w:r>
    </w:p>
    <w:p>
      <w:pPr>
        <w:spacing w:before="40" w:after="120"/>
        <w:jc w:val="both"/>
      </w:pPr>
      <w:r>
        <w:rPr>
          <w:rFonts w:ascii="Times New Roman" w:hAnsi="Times New Roman"/>
          <w:b w:val="0"/>
          <w:i w:val="0"/>
          <w:sz w:val="24"/>
        </w:rPr>
        <w:t>This restriction formally states that a clinical visit has a participant that is a subject-of-care role which is the role of a person — capturing the SULO role-bearer pattern in full description logic. Crucially, the user who produced this expression never wrote a single OWL axiom; they filled in a triple-template form in the browser.</w:t>
      </w:r>
    </w:p>
    <w:p>
      <w:pPr>
        <w:spacing w:before="200" w:after="80"/>
      </w:pPr>
      <w:r>
        <w:rPr>
          <w:rFonts w:ascii="Times New Roman" w:hAnsi="Times New Roman"/>
          <w:b/>
          <w:sz w:val="24"/>
        </w:rPr>
        <w:t>4.2 The Mapping Pattern Compiler</w:t>
      </w:r>
    </w:p>
    <w:p>
      <w:pPr>
        <w:spacing w:before="40" w:after="120"/>
        <w:jc w:val="both"/>
      </w:pPr>
      <w:r>
        <w:rPr>
          <w:rFonts w:ascii="Times New Roman" w:hAnsi="Times New Roman"/>
          <w:b w:val="0"/>
          <w:i w:val="0"/>
          <w:sz w:val="24"/>
        </w:rPr>
        <w:t xml:space="preserve">The </w:t>
      </w:r>
      <w:r>
        <w:rPr>
          <w:rFonts w:ascii="Courier New" w:hAnsi="Courier New"/>
          <w:b w:val="0"/>
          <w:i w:val="0"/>
          <w:sz w:val="24"/>
        </w:rPr>
        <w:t>buildOwlExpr</w:t>
      </w:r>
      <w:r>
        <w:rPr>
          <w:rFonts w:ascii="Times New Roman" w:hAnsi="Times New Roman"/>
          <w:b w:val="0"/>
          <w:i w:val="0"/>
          <w:sz w:val="24"/>
        </w:rPr>
        <w:t xml:space="preserve"> function performs a recursive descent over the mapping pattern, treating each triple template as a graph edge. Starting from </w:t>
      </w:r>
      <w:r>
        <w:rPr>
          <w:rFonts w:ascii="Courier New" w:hAnsi="Courier New"/>
          <w:b w:val="0"/>
          <w:i w:val="0"/>
          <w:sz w:val="24"/>
        </w:rPr>
        <w:t>?this</w:t>
      </w:r>
      <w:r>
        <w:rPr>
          <w:rFonts w:ascii="Times New Roman" w:hAnsi="Times New Roman"/>
          <w:b w:val="0"/>
          <w:i w:val="0"/>
          <w:sz w:val="24"/>
        </w:rPr>
        <w:t xml:space="preserve"> (the domain class), it:</w:t>
      </w:r>
    </w:p>
    <w:p>
      <w:pPr>
        <w:pStyle w:val="ListNumber"/>
        <w:spacing w:before="20" w:after="20"/>
      </w:pPr>
      <w:r>
        <w:rPr>
          <w:rFonts w:ascii="Times New Roman" w:hAnsi="Times New Roman"/>
          <w:b w:val="0"/>
          <w:i w:val="0"/>
          <w:sz w:val="24"/>
        </w:rPr>
        <w:t>Collects all triples whose subject is the current variable</w:t>
      </w:r>
    </w:p>
    <w:p>
      <w:pPr>
        <w:pStyle w:val="ListNumber"/>
        <w:spacing w:before="20" w:after="20"/>
      </w:pPr>
      <w:r>
        <w:rPr>
          <w:rFonts w:ascii="Times New Roman" w:hAnsi="Times New Roman"/>
          <w:b w:val="0"/>
          <w:i w:val="0"/>
          <w:sz w:val="24"/>
        </w:rPr>
        <w:t xml:space="preserve">For </w:t>
      </w:r>
      <w:r>
        <w:rPr>
          <w:rFonts w:ascii="Courier New" w:hAnsi="Courier New"/>
          <w:b w:val="0"/>
          <w:i w:val="0"/>
          <w:sz w:val="24"/>
        </w:rPr>
        <w:t>rdf:type</w:t>
      </w:r>
      <w:r>
        <w:rPr>
          <w:rFonts w:ascii="Times New Roman" w:hAnsi="Times New Roman"/>
          <w:b w:val="0"/>
          <w:i w:val="0"/>
          <w:sz w:val="24"/>
        </w:rPr>
        <w:t xml:space="preserve"> triples with a constant object, adds the type as an </w:t>
      </w:r>
      <w:r>
        <w:rPr>
          <w:rFonts w:ascii="Courier New" w:hAnsi="Courier New"/>
          <w:b w:val="0"/>
          <w:i w:val="0"/>
          <w:sz w:val="24"/>
        </w:rPr>
        <w:t>owl:intersectionOf</w:t>
      </w:r>
      <w:r>
        <w:rPr>
          <w:rFonts w:ascii="Times New Roman" w:hAnsi="Times New Roman"/>
          <w:b w:val="0"/>
          <w:i w:val="0"/>
          <w:sz w:val="24"/>
        </w:rPr>
        <w:t xml:space="preserve"> member</w:t>
      </w:r>
    </w:p>
    <w:p>
      <w:pPr>
        <w:pStyle w:val="ListNumber"/>
        <w:spacing w:before="20" w:after="20"/>
      </w:pPr>
      <w:r>
        <w:rPr>
          <w:rFonts w:ascii="Times New Roman" w:hAnsi="Times New Roman"/>
          <w:b w:val="0"/>
          <w:i w:val="0"/>
          <w:sz w:val="24"/>
        </w:rPr>
        <w:t xml:space="preserve">For triples whose object is </w:t>
      </w:r>
      <w:r>
        <w:rPr>
          <w:rFonts w:ascii="Courier New" w:hAnsi="Courier New"/>
          <w:b w:val="0"/>
          <w:i w:val="0"/>
          <w:sz w:val="24"/>
        </w:rPr>
        <w:t>?value</w:t>
      </w:r>
      <w:r>
        <w:rPr>
          <w:rFonts w:ascii="Times New Roman" w:hAnsi="Times New Roman"/>
          <w:b w:val="0"/>
          <w:i w:val="0"/>
          <w:sz w:val="24"/>
        </w:rPr>
        <w:t xml:space="preserve"> (the terminal), emits </w:t>
      </w:r>
      <w:r>
        <w:rPr>
          <w:rFonts w:ascii="Courier New" w:hAnsi="Courier New"/>
          <w:b w:val="0"/>
          <w:i w:val="0"/>
          <w:sz w:val="24"/>
        </w:rPr>
        <w:t>owl:someValuesFrom</w:t>
      </w:r>
      <w:r>
        <w:rPr>
          <w:rFonts w:ascii="Times New Roman" w:hAnsi="Times New Roman"/>
          <w:b w:val="0"/>
          <w:i w:val="0"/>
          <w:sz w:val="24"/>
        </w:rPr>
        <w:t xml:space="preserve"> pointing at the range class IRI</w:t>
      </w:r>
    </w:p>
    <w:p>
      <w:pPr>
        <w:pStyle w:val="ListNumber"/>
        <w:spacing w:before="20" w:after="20"/>
      </w:pPr>
      <w:r>
        <w:rPr>
          <w:rFonts w:ascii="Times New Roman" w:hAnsi="Times New Roman"/>
          <w:b w:val="0"/>
          <w:i w:val="0"/>
          <w:sz w:val="24"/>
        </w:rPr>
        <w:t>For triples whose object is another variable, recurses to build the nested restriction</w:t>
      </w:r>
    </w:p>
    <w:p>
      <w:pPr>
        <w:spacing w:before="40" w:after="120"/>
        <w:jc w:val="both"/>
      </w:pPr>
      <w:r>
        <w:rPr>
          <w:rFonts w:ascii="Times New Roman" w:hAnsi="Times New Roman"/>
          <w:b w:val="0"/>
          <w:i w:val="0"/>
          <w:sz w:val="24"/>
        </w:rPr>
        <w:t xml:space="preserve">The </w:t>
      </w:r>
      <w:r>
        <w:rPr>
          <w:rFonts w:ascii="Courier New" w:hAnsi="Courier New"/>
          <w:b w:val="0"/>
          <w:i w:val="0"/>
          <w:sz w:val="24"/>
        </w:rPr>
        <w:t>buildReverseOwlExpr</w:t>
      </w:r>
      <w:r>
        <w:rPr>
          <w:rFonts w:ascii="Times New Roman" w:hAnsi="Times New Roman"/>
          <w:b w:val="0"/>
          <w:i w:val="0"/>
          <w:sz w:val="24"/>
        </w:rPr>
        <w:t xml:space="preserve"> function performs the same traversal in the inverse direction (from </w:t>
      </w:r>
      <w:r>
        <w:rPr>
          <w:rFonts w:ascii="Courier New" w:hAnsi="Courier New"/>
          <w:b w:val="0"/>
          <w:i w:val="0"/>
          <w:sz w:val="24"/>
        </w:rPr>
        <w:t>?value</w:t>
      </w:r>
      <w:r>
        <w:rPr>
          <w:rFonts w:ascii="Times New Roman" w:hAnsi="Times New Roman"/>
          <w:b w:val="0"/>
          <w:i w:val="0"/>
          <w:sz w:val="24"/>
        </w:rPr>
        <w:t xml:space="preserve"> toward </w:t>
      </w:r>
      <w:r>
        <w:rPr>
          <w:rFonts w:ascii="Courier New" w:hAnsi="Courier New"/>
          <w:b w:val="0"/>
          <w:i w:val="0"/>
          <w:sz w:val="24"/>
        </w:rPr>
        <w:t>?this</w:t>
      </w:r>
      <w:r>
        <w:rPr>
          <w:rFonts w:ascii="Times New Roman" w:hAnsi="Times New Roman"/>
          <w:b w:val="0"/>
          <w:i w:val="0"/>
          <w:sz w:val="24"/>
        </w:rPr>
        <w:t xml:space="preserve">), emitting </w:t>
      </w:r>
      <w:r>
        <w:rPr>
          <w:rFonts w:ascii="Courier New" w:hAnsi="Courier New"/>
          <w:b w:val="0"/>
          <w:i w:val="0"/>
          <w:sz w:val="24"/>
        </w:rPr>
        <w:t>owl:inverseOf</w:t>
      </w:r>
      <w:r>
        <w:rPr>
          <w:rFonts w:ascii="Times New Roman" w:hAnsi="Times New Roman"/>
          <w:b w:val="0"/>
          <w:i w:val="0"/>
          <w:sz w:val="24"/>
        </w:rPr>
        <w:t xml:space="preserve"> restrictions. This bidirectionality is the foundation for RQ2.</w:t>
      </w:r>
    </w:p>
    <w:p>
      <w:pPr>
        <w:spacing w:before="200" w:after="80"/>
      </w:pPr>
      <w:r>
        <w:rPr>
          <w:rFonts w:ascii="Times New Roman" w:hAnsi="Times New Roman"/>
          <w:b/>
          <w:sz w:val="24"/>
        </w:rPr>
        <w:t>4.3 The User Interface Bridge</w:t>
      </w:r>
    </w:p>
    <w:p>
      <w:pPr>
        <w:spacing w:before="40" w:after="120"/>
        <w:jc w:val="both"/>
      </w:pPr>
      <w:r>
        <w:rPr>
          <w:rFonts w:ascii="Times New Roman" w:hAnsi="Times New Roman"/>
          <w:b w:val="0"/>
          <w:i w:val="0"/>
          <w:sz w:val="24"/>
        </w:rPr>
        <w:t>The GUI makes the bridging concrete and visible in three ways:</w:t>
      </w:r>
    </w:p>
    <w:p>
      <w:pPr>
        <w:spacing w:before="40" w:after="120"/>
        <w:jc w:val="both"/>
      </w:pPr>
      <w:r>
        <w:rPr>
          <w:rFonts w:ascii="Times New Roman" w:hAnsi="Times New Roman"/>
          <w:b/>
          <w:i w:val="0"/>
          <w:sz w:val="24"/>
        </w:rPr>
        <w:t>Per-class alignment picker</w:t>
      </w:r>
      <w:r>
        <w:rPr>
          <w:rFonts w:ascii="Times New Roman" w:hAnsi="Times New Roman"/>
          <w:b w:val="0"/>
          <w:i w:val="0"/>
          <w:sz w:val="24"/>
        </w:rPr>
        <w:t xml:space="preserve"> — When adding or editing a class, the user types in the </w:t>
      </w:r>
      <w:r>
        <w:rPr>
          <w:rFonts w:ascii="Times New Roman" w:hAnsi="Times New Roman"/>
          <w:b w:val="0"/>
          <w:i/>
          <w:sz w:val="24"/>
        </w:rPr>
        <w:t>Maps to concept</w:t>
      </w:r>
      <w:r>
        <w:rPr>
          <w:rFonts w:ascii="Times New Roman" w:hAnsi="Times New Roman"/>
          <w:b w:val="0"/>
          <w:i w:val="0"/>
          <w:sz w:val="24"/>
        </w:rPr>
        <w:t xml:space="preserve"> field. The application issues a SPARQL query to the configured upper ontology endpoint and returns matching class labels and IRIs as autocomplete suggestions. The user selects one; the IRI is stored. The class is now "grounded" in the ULO without requiring the user to know the IRI by heart.</w:t>
      </w:r>
    </w:p>
    <w:p>
      <w:pPr>
        <w:spacing w:before="40" w:after="120"/>
        <w:jc w:val="both"/>
      </w:pPr>
      <w:r>
        <w:rPr>
          <w:rFonts w:ascii="Times New Roman" w:hAnsi="Times New Roman"/>
          <w:b/>
          <w:i w:val="0"/>
          <w:sz w:val="24"/>
        </w:rPr>
        <w:t>Dual export tabs</w:t>
      </w:r>
      <w:r>
        <w:rPr>
          <w:rFonts w:ascii="Times New Roman" w:hAnsi="Times New Roman"/>
          <w:b w:val="0"/>
          <w:i w:val="0"/>
          <w:sz w:val="24"/>
        </w:rPr>
        <w:t xml:space="preserve"> — The export modal shows both the plain RDF/Turtle and the OWL+SULO tabs side by side. A user can switch between them to observe concretely what the formal axioms say about a schema they designed intuitively.</w:t>
      </w:r>
    </w:p>
    <w:p>
      <w:pPr>
        <w:spacing w:before="40" w:after="120"/>
        <w:jc w:val="both"/>
      </w:pPr>
      <w:r>
        <w:rPr>
          <w:rFonts w:ascii="Times New Roman" w:hAnsi="Times New Roman"/>
          <w:b/>
          <w:i w:val="0"/>
          <w:sz w:val="24"/>
        </w:rPr>
        <w:t>Union range display</w:t>
      </w:r>
      <w:r>
        <w:rPr>
          <w:rFonts w:ascii="Times New Roman" w:hAnsi="Times New Roman"/>
          <w:b w:val="0"/>
          <w:i w:val="0"/>
          <w:sz w:val="24"/>
        </w:rPr>
        <w:t xml:space="preserve"> — When the same property name points to two range classes (e.g. </w:t>
      </w:r>
      <w:r>
        <w:rPr>
          <w:rFonts w:ascii="Courier New" w:hAnsi="Courier New"/>
          <w:b w:val="0"/>
          <w:i w:val="0"/>
          <w:sz w:val="24"/>
        </w:rPr>
        <w:t>:hasCode</w:t>
      </w:r>
      <w:r>
        <w:rPr>
          <w:rFonts w:ascii="Times New Roman" w:hAnsi="Times New Roman"/>
          <w:b w:val="0"/>
          <w:i w:val="0"/>
          <w:sz w:val="24"/>
        </w:rPr>
        <w:t xml:space="preserve"> pointing to both </w:t>
      </w:r>
      <w:r>
        <w:rPr>
          <w:rFonts w:ascii="Courier New" w:hAnsi="Courier New"/>
          <w:b w:val="0"/>
          <w:i w:val="0"/>
          <w:sz w:val="24"/>
        </w:rPr>
        <w:t>:Code</w:t>
      </w:r>
      <w:r>
        <w:rPr>
          <w:rFonts w:ascii="Times New Roman" w:hAnsi="Times New Roman"/>
          <w:b w:val="0"/>
          <w:i w:val="0"/>
          <w:sz w:val="24"/>
        </w:rPr>
        <w:t xml:space="preserve"> and </w:t>
      </w:r>
      <w:r>
        <w:rPr>
          <w:rFonts w:ascii="Courier New" w:hAnsi="Courier New"/>
          <w:b w:val="0"/>
          <w:i w:val="0"/>
          <w:sz w:val="24"/>
        </w:rPr>
        <w:t>&lt;http://snomed.info/id/363787002&gt;</w:t>
      </w:r>
      <w:r>
        <w:rPr>
          <w:rFonts w:ascii="Times New Roman" w:hAnsi="Times New Roman"/>
          <w:b w:val="0"/>
          <w:i w:val="0"/>
          <w:sz w:val="24"/>
        </w:rPr>
        <w:t xml:space="preserve">), the properties list and UML diagram show </w:t>
      </w:r>
      <w:r>
        <w:rPr>
          <w:rFonts w:ascii="Courier New" w:hAnsi="Courier New"/>
          <w:b w:val="0"/>
          <w:i w:val="0"/>
          <w:sz w:val="24"/>
        </w:rPr>
        <w:t>Code | ObservableEntity</w:t>
      </w:r>
      <w:r>
        <w:rPr>
          <w:rFonts w:ascii="Times New Roman" w:hAnsi="Times New Roman"/>
          <w:b w:val="0"/>
          <w:i w:val="0"/>
          <w:sz w:val="24"/>
        </w:rPr>
        <w:t xml:space="preserve"> in the range column. The OWL export renders this as </w:t>
      </w:r>
      <w:r>
        <w:rPr>
          <w:rFonts w:ascii="Courier New" w:hAnsi="Courier New"/>
          <w:b w:val="0"/>
          <w:i w:val="0"/>
          <w:sz w:val="24"/>
        </w:rPr>
        <w:t>owl:unionOf (:Code &lt;http://snomed.info/id/363787002&gt;)</w:t>
      </w:r>
      <w:r>
        <w:rPr>
          <w:rFonts w:ascii="Times New Roman" w:hAnsi="Times New Roman"/>
          <w:b w:val="0"/>
          <w:i w:val="0"/>
          <w:sz w:val="24"/>
        </w:rPr>
        <w:t>.</w:t>
      </w:r>
    </w:p>
    <w:p>
      <w:pPr>
        <w:spacing w:before="120" w:after="0"/>
      </w:pPr>
    </w:p>
    <w:p>
      <w:pPr>
        <w:spacing w:before="40" w:after="40"/>
        <w:jc w:val="center"/>
      </w:pPr>
      <w:r>
        <w:drawing>
          <wp:inline xmlns:a="http://schemas.openxmlformats.org/drawingml/2006/main" xmlns:pic="http://schemas.openxmlformats.org/drawingml/2006/picture">
            <wp:extent cx="5029200" cy="3233057"/>
            <wp:docPr id="6" name="Picture 6"/>
            <wp:cNvGraphicFramePr>
              <a:graphicFrameLocks noChangeAspect="1"/>
            </wp:cNvGraphicFramePr>
            <a:graphic>
              <a:graphicData uri="http://schemas.openxmlformats.org/drawingml/2006/picture">
                <pic:pic>
                  <pic:nvPicPr>
                    <pic:cNvPr id="0" name="04_add_class_dialog.png"/>
                    <pic:cNvPicPr/>
                  </pic:nvPicPr>
                  <pic:blipFill>
                    <a:blip r:embed="rId14"/>
                    <a:stretch>
                      <a:fillRect/>
                    </a:stretch>
                  </pic:blipFill>
                  <pic:spPr>
                    <a:xfrm>
                      <a:off x="0" y="0"/>
                      <a:ext cx="5029200" cy="3233057"/>
                    </a:xfrm>
                    <a:prstGeom prst="rect"/>
                  </pic:spPr>
                </pic:pic>
              </a:graphicData>
            </a:graphic>
          </wp:inline>
        </w:drawing>
      </w:r>
    </w:p>
    <w:p>
      <w:pPr>
        <w:spacing w:before="40" w:after="200"/>
        <w:jc w:val="center"/>
      </w:pPr>
      <w:r>
        <w:rPr>
          <w:rFonts w:ascii="Times New Roman" w:hAnsi="Times New Roman"/>
          <w:i/>
          <w:color w:val="444444"/>
          <w:sz w:val="20"/>
        </w:rPr>
        <w:t>Figure 6: Add class dialog — the "Maps to concept IRI" field supports live SPARQL autocomplete against the SULO endpoint.</w:t>
      </w:r>
    </w:p>
    <w:p>
      <w:pPr>
        <w:spacing w:before="120" w:after="0"/>
      </w:pPr>
    </w:p>
    <w:p>
      <w:pPr>
        <w:spacing w:before="40" w:after="40"/>
        <w:jc w:val="center"/>
      </w:pPr>
      <w:r>
        <w:drawing>
          <wp:inline xmlns:a="http://schemas.openxmlformats.org/drawingml/2006/main" xmlns:pic="http://schemas.openxmlformats.org/drawingml/2006/picture">
            <wp:extent cx="5029200" cy="3233057"/>
            <wp:docPr id="7" name="Picture 7"/>
            <wp:cNvGraphicFramePr>
              <a:graphicFrameLocks noChangeAspect="1"/>
            </wp:cNvGraphicFramePr>
            <a:graphic>
              <a:graphicData uri="http://schemas.openxmlformats.org/drawingml/2006/picture">
                <pic:pic>
                  <pic:nvPicPr>
                    <pic:cNvPr id="0" name="05_class_edit_panel.png"/>
                    <pic:cNvPicPr/>
                  </pic:nvPicPr>
                  <pic:blipFill>
                    <a:blip r:embed="rId15"/>
                    <a:stretch>
                      <a:fillRect/>
                    </a:stretch>
                  </pic:blipFill>
                  <pic:spPr>
                    <a:xfrm>
                      <a:off x="0" y="0"/>
                      <a:ext cx="5029200" cy="3233057"/>
                    </a:xfrm>
                    <a:prstGeom prst="rect"/>
                  </pic:spPr>
                </pic:pic>
              </a:graphicData>
            </a:graphic>
          </wp:inline>
        </w:drawing>
      </w:r>
    </w:p>
    <w:p>
      <w:pPr>
        <w:spacing w:before="40" w:after="200"/>
        <w:jc w:val="center"/>
      </w:pPr>
      <w:r>
        <w:rPr>
          <w:rFonts w:ascii="Times New Roman" w:hAnsi="Times New Roman"/>
          <w:i/>
          <w:color w:val="444444"/>
          <w:sz w:val="20"/>
        </w:rPr>
        <w:t>Figure 7: Classes panel — SULO alignment badges (↗Process, ↗Role, ↗InformationObject) displayed next to each class name.</w:t>
      </w:r>
    </w:p>
    <w:p>
      <w:pPr>
        <w:spacing w:before="120" w:after="120"/>
      </w:pPr>
      <w:r>
        <w:rPr>
          <w:color w:val="CCCCCC"/>
          <w:sz w:val="16"/>
        </w:rPr>
        <w:t>────────────────────────────────────────────────────────────</w:t>
      </w:r>
    </w:p>
    <w:p>
      <w:pPr>
        <w:spacing w:before="200" w:after="80"/>
      </w:pPr>
      <w:r>
        <w:rPr>
          <w:rFonts w:ascii="Times New Roman" w:hAnsi="Times New Roman"/>
          <w:b/>
          <w:sz w:val="28"/>
        </w:rPr>
        <w:t>5. RQ2 — Mapping Patterns for Bidirectional Transformation</w:t>
      </w:r>
    </w:p>
    <w:p>
      <w:pPr>
        <w:spacing w:before="200" w:after="80"/>
      </w:pPr>
      <w:r>
        <w:rPr>
          <w:rFonts w:ascii="Times New Roman" w:hAnsi="Times New Roman"/>
          <w:b/>
          <w:sz w:val="24"/>
        </w:rPr>
        <w:t>5.1 The Transformation Challenge</w:t>
      </w:r>
    </w:p>
    <w:p>
      <w:pPr>
        <w:spacing w:before="40" w:after="120"/>
        <w:jc w:val="both"/>
      </w:pPr>
      <w:r>
        <w:rPr>
          <w:rFonts w:ascii="Times New Roman" w:hAnsi="Times New Roman"/>
          <w:b w:val="0"/>
          <w:i w:val="0"/>
          <w:sz w:val="24"/>
        </w:rPr>
        <w:t xml:space="preserve">Consider a </w:t>
      </w:r>
      <w:r>
        <w:rPr>
          <w:rFonts w:ascii="Courier New" w:hAnsi="Courier New"/>
          <w:b w:val="0"/>
          <w:i w:val="0"/>
          <w:sz w:val="24"/>
        </w:rPr>
        <w:t>Measurement</w:t>
      </w:r>
      <w:r>
        <w:rPr>
          <w:rFonts w:ascii="Times New Roman" w:hAnsi="Times New Roman"/>
          <w:b w:val="0"/>
          <w:i w:val="0"/>
          <w:sz w:val="24"/>
        </w:rPr>
        <w:t xml:space="preserve"> resource in FHIR R4. It has a </w:t>
      </w:r>
      <w:r>
        <w:rPr>
          <w:rFonts w:ascii="Courier New" w:hAnsi="Courier New"/>
          <w:b w:val="0"/>
          <w:i w:val="0"/>
          <w:sz w:val="24"/>
        </w:rPr>
        <w:t>code</w:t>
      </w:r>
      <w:r>
        <w:rPr>
          <w:rFonts w:ascii="Times New Roman" w:hAnsi="Times New Roman"/>
          <w:b w:val="0"/>
          <w:i w:val="0"/>
          <w:sz w:val="24"/>
        </w:rPr>
        <w:t xml:space="preserve"> element (a CodeableConcept referencing LOINC or SNOMED CT) and a </w:t>
      </w:r>
      <w:r>
        <w:rPr>
          <w:rFonts w:ascii="Courier New" w:hAnsi="Courier New"/>
          <w:b w:val="0"/>
          <w:i w:val="0"/>
          <w:sz w:val="24"/>
        </w:rPr>
        <w:t>valueQuantity</w:t>
      </w:r>
      <w:r>
        <w:rPr>
          <w:rFonts w:ascii="Times New Roman" w:hAnsi="Times New Roman"/>
          <w:b w:val="0"/>
          <w:i w:val="0"/>
          <w:sz w:val="24"/>
        </w:rPr>
        <w:t xml:space="preserve"> element. The corresponding OMOP table is </w:t>
      </w:r>
      <w:r>
        <w:rPr>
          <w:rFonts w:ascii="Courier New" w:hAnsi="Courier New"/>
          <w:b w:val="0"/>
          <w:i w:val="0"/>
          <w:sz w:val="24"/>
        </w:rPr>
        <w:t>MEASUREMENT</w:t>
      </w:r>
      <w:r>
        <w:rPr>
          <w:rFonts w:ascii="Times New Roman" w:hAnsi="Times New Roman"/>
          <w:b w:val="0"/>
          <w:i w:val="0"/>
          <w:sz w:val="24"/>
        </w:rPr>
        <w:t xml:space="preserve">, with columns </w:t>
      </w:r>
      <w:r>
        <w:rPr>
          <w:rFonts w:ascii="Courier New" w:hAnsi="Courier New"/>
          <w:b w:val="0"/>
          <w:i w:val="0"/>
          <w:sz w:val="24"/>
        </w:rPr>
        <w:t>measurement_concept_id</w:t>
      </w:r>
      <w:r>
        <w:rPr>
          <w:rFonts w:ascii="Times New Roman" w:hAnsi="Times New Roman"/>
          <w:b w:val="0"/>
          <w:i w:val="0"/>
          <w:sz w:val="24"/>
        </w:rPr>
        <w:t xml:space="preserve"> and </w:t>
      </w:r>
      <w:r>
        <w:rPr>
          <w:rFonts w:ascii="Courier New" w:hAnsi="Courier New"/>
          <w:b w:val="0"/>
          <w:i w:val="0"/>
          <w:sz w:val="24"/>
        </w:rPr>
        <w:t>value_as_number</w:t>
      </w:r>
      <w:r>
        <w:rPr>
          <w:rFonts w:ascii="Times New Roman" w:hAnsi="Times New Roman"/>
          <w:b w:val="0"/>
          <w:i w:val="0"/>
          <w:sz w:val="24"/>
        </w:rPr>
        <w:t>. Both encode the same clinical observable — "a blood glucose reading with LOINC code 2339-0" — but in structurally incompatible ways.</w:t>
      </w:r>
    </w:p>
    <w:p>
      <w:pPr>
        <w:spacing w:before="40" w:after="120"/>
        <w:jc w:val="both"/>
      </w:pPr>
      <w:r>
        <w:rPr>
          <w:rFonts w:ascii="Times New Roman" w:hAnsi="Times New Roman"/>
          <w:b w:val="0"/>
          <w:i w:val="0"/>
          <w:sz w:val="24"/>
        </w:rPr>
        <w:t xml:space="preserve">A transformation pipeline that goes FHIR → SULO → OMOP requires two things: (a) a mapping from FHIR predicates to SULO path expressions, and (b) a mapping from SULO path expressions to OMOP predicates. If both mappings are expressed in the same formalism, the SULO representation acts as a </w:t>
      </w:r>
      <w:r>
        <w:rPr>
          <w:rFonts w:ascii="Times New Roman" w:hAnsi="Times New Roman"/>
          <w:b/>
          <w:i w:val="0"/>
          <w:sz w:val="24"/>
        </w:rPr>
        <w:t>pivot model</w:t>
      </w:r>
      <w:r>
        <w:rPr>
          <w:rFonts w:ascii="Times New Roman" w:hAnsi="Times New Roman"/>
          <w:b w:val="0"/>
          <w:i w:val="0"/>
          <w:sz w:val="24"/>
        </w:rPr>
        <w:t xml:space="preserve"> and the composition of the two mappings yields a FHIR → OMOP transformation without any direct, brittle FHIR-to-OMOP logic.</w:t>
      </w:r>
    </w:p>
    <w:p>
      <w:pPr>
        <w:spacing w:before="200" w:after="80"/>
      </w:pPr>
      <w:r>
        <w:rPr>
          <w:rFonts w:ascii="Times New Roman" w:hAnsi="Times New Roman"/>
          <w:b/>
          <w:sz w:val="24"/>
        </w:rPr>
        <w:t>5.2 Mapping Patterns as Pivot Bridges</w:t>
      </w:r>
    </w:p>
    <w:p>
      <w:pPr>
        <w:spacing w:before="40" w:after="120"/>
        <w:jc w:val="both"/>
      </w:pPr>
      <w:r>
        <w:rPr>
          <w:rFonts w:ascii="Times New Roman" w:hAnsi="Times New Roman"/>
          <w:b w:val="0"/>
          <w:i w:val="0"/>
          <w:sz w:val="24"/>
        </w:rPr>
        <w:t xml:space="preserve">In the Schema Builder, each property carries a mapping pattern that expresses its SULO semantics as a chain of triple templates. For the </w:t>
      </w:r>
      <w:r>
        <w:rPr>
          <w:rFonts w:ascii="Courier New" w:hAnsi="Courier New"/>
          <w:b w:val="0"/>
          <w:i w:val="0"/>
          <w:sz w:val="24"/>
        </w:rPr>
        <w:t>:hasCode</w:t>
      </w:r>
      <w:r>
        <w:rPr>
          <w:rFonts w:ascii="Times New Roman" w:hAnsi="Times New Roman"/>
          <w:b w:val="0"/>
          <w:i w:val="0"/>
          <w:sz w:val="24"/>
        </w:rPr>
        <w:t xml:space="preserve"> property on </w:t>
      </w:r>
      <w:r>
        <w:rPr>
          <w:rFonts w:ascii="Courier New" w:hAnsi="Courier New"/>
          <w:b w:val="0"/>
          <w:i w:val="0"/>
          <w:sz w:val="24"/>
        </w:rPr>
        <w:t>:Measurement</w:t>
      </w:r>
      <w:r>
        <w:rPr>
          <w:rFonts w:ascii="Times New Roman" w:hAnsi="Times New Roman"/>
          <w:b w:val="0"/>
          <w:i w:val="0"/>
          <w:sz w:val="24"/>
        </w:rPr>
        <w:t>, the mapping pattern is:</w:t>
      </w:r>
    </w:p>
    <w:p>
      <w:pPr>
        <w:spacing w:before="80" w:after="80"/>
        <w:ind w:left="576"/>
        <w:shd w:val="clear" w:color="auto" w:fill="F2F2F2"/>
      </w:pPr>
      <w:r>
        <w:rPr>
          <w:rFonts w:ascii="Courier New" w:hAnsi="Courier New"/>
          <w:sz w:val="18"/>
        </w:rPr>
        <w:t>?this  →  sulo:hasFeature  →  ?value</w:t>
      </w:r>
    </w:p>
    <w:p>
      <w:pPr>
        <w:spacing w:before="40" w:after="120"/>
        <w:jc w:val="both"/>
      </w:pPr>
      <w:r>
        <w:rPr>
          <w:rFonts w:ascii="Times New Roman" w:hAnsi="Times New Roman"/>
          <w:b w:val="0"/>
          <w:i w:val="0"/>
          <w:sz w:val="24"/>
        </w:rPr>
        <w:t xml:space="preserve">This single-step pattern asserts that a </w:t>
      </w:r>
      <w:r>
        <w:rPr>
          <w:rFonts w:ascii="Courier New" w:hAnsi="Courier New"/>
          <w:b w:val="0"/>
          <w:i w:val="0"/>
          <w:sz w:val="24"/>
        </w:rPr>
        <w:t>Measurement</w:t>
      </w:r>
      <w:r>
        <w:rPr>
          <w:rFonts w:ascii="Times New Roman" w:hAnsi="Times New Roman"/>
          <w:b w:val="0"/>
          <w:i w:val="0"/>
          <w:sz w:val="24"/>
        </w:rPr>
        <w:t xml:space="preserve"> instance is related to its </w:t>
      </w:r>
      <w:r>
        <w:rPr>
          <w:rFonts w:ascii="Courier New" w:hAnsi="Courier New"/>
          <w:b w:val="0"/>
          <w:i w:val="0"/>
          <w:sz w:val="24"/>
        </w:rPr>
        <w:t>Code</w:t>
      </w:r>
      <w:r>
        <w:rPr>
          <w:rFonts w:ascii="Times New Roman" w:hAnsi="Times New Roman"/>
          <w:b w:val="0"/>
          <w:i w:val="0"/>
          <w:sz w:val="24"/>
        </w:rPr>
        <w:t xml:space="preserve"> via the SULO </w:t>
      </w:r>
      <w:r>
        <w:rPr>
          <w:rFonts w:ascii="Courier New" w:hAnsi="Courier New"/>
          <w:b w:val="0"/>
          <w:i w:val="0"/>
          <w:sz w:val="24"/>
        </w:rPr>
        <w:t>hasFeature</w:t>
      </w:r>
      <w:r>
        <w:rPr>
          <w:rFonts w:ascii="Times New Roman" w:hAnsi="Times New Roman"/>
          <w:b w:val="0"/>
          <w:i w:val="0"/>
          <w:sz w:val="24"/>
        </w:rPr>
        <w:t xml:space="preserve"> relation. An OWL restriction expresses this as:</w:t>
      </w:r>
    </w:p>
    <w:p>
      <w:pPr>
        <w:spacing w:before="80" w:after="80"/>
        <w:ind w:left="576"/>
        <w:shd w:val="clear" w:color="auto" w:fill="F2F2F2"/>
      </w:pPr>
      <w:r>
        <w:rPr>
          <w:rFonts w:ascii="Courier New" w:hAnsi="Courier New"/>
          <w:sz w:val="18"/>
        </w:rPr>
        <w:t>_:domain_hasCode  owl:equivalentClass  [</w:t>
        <w:br/>
        <w:t xml:space="preserve">  a owl:Class ;</w:t>
        <w:br/>
        <w:t xml:space="preserve">  owl:intersectionOf (</w:t>
        <w:br/>
        <w:t xml:space="preserve">    :Measurement</w:t>
        <w:br/>
        <w:t xml:space="preserve">    [ a owl:Restriction ;</w:t>
        <w:br/>
        <w:t xml:space="preserve">      owl:onProperty sulo:hasFeature ;</w:t>
        <w:br/>
        <w:t xml:space="preserve">      owl:someValuesFrom :Code ]</w:t>
        <w:br/>
        <w:t xml:space="preserve">  )</w:t>
        <w:br/>
        <w:t>] .</w:t>
      </w:r>
    </w:p>
    <w:p>
      <w:pPr>
        <w:spacing w:before="40" w:after="120"/>
        <w:jc w:val="both"/>
      </w:pPr>
      <w:r>
        <w:rPr>
          <w:rFonts w:ascii="Times New Roman" w:hAnsi="Times New Roman"/>
          <w:b w:val="0"/>
          <w:i w:val="0"/>
          <w:sz w:val="24"/>
        </w:rPr>
        <w:t xml:space="preserve">A FHIR </w:t>
      </w:r>
      <w:r>
        <w:rPr>
          <w:rFonts w:ascii="Courier New" w:hAnsi="Courier New"/>
          <w:b w:val="0"/>
          <w:i w:val="0"/>
          <w:sz w:val="24"/>
        </w:rPr>
        <w:t>Observation.code</w:t>
      </w:r>
      <w:r>
        <w:rPr>
          <w:rFonts w:ascii="Times New Roman" w:hAnsi="Times New Roman"/>
          <w:b w:val="0"/>
          <w:i w:val="0"/>
          <w:sz w:val="24"/>
        </w:rPr>
        <w:t xml:space="preserve"> element, when mapped to SULO, would generate an equivalent restriction involving </w:t>
      </w:r>
      <w:r>
        <w:rPr>
          <w:rFonts w:ascii="Courier New" w:hAnsi="Courier New"/>
          <w:b w:val="0"/>
          <w:i w:val="0"/>
          <w:sz w:val="24"/>
        </w:rPr>
        <w:t>sulo:hasFeature</w:t>
      </w:r>
      <w:r>
        <w:rPr>
          <w:rFonts w:ascii="Times New Roman" w:hAnsi="Times New Roman"/>
          <w:b w:val="0"/>
          <w:i w:val="0"/>
          <w:sz w:val="24"/>
        </w:rPr>
        <w:t xml:space="preserve"> pointing at an </w:t>
      </w:r>
      <w:r>
        <w:rPr>
          <w:rFonts w:ascii="Courier New" w:hAnsi="Courier New"/>
          <w:b w:val="0"/>
          <w:i w:val="0"/>
          <w:sz w:val="24"/>
        </w:rPr>
        <w:t>InformationObject</w:t>
      </w:r>
      <w:r>
        <w:rPr>
          <w:rFonts w:ascii="Times New Roman" w:hAnsi="Times New Roman"/>
          <w:b w:val="0"/>
          <w:i w:val="0"/>
          <w:sz w:val="24"/>
        </w:rPr>
        <w:t xml:space="preserve"> bearing a </w:t>
      </w:r>
      <w:r>
        <w:rPr>
          <w:rFonts w:ascii="Courier New" w:hAnsi="Courier New"/>
          <w:b w:val="0"/>
          <w:i w:val="0"/>
          <w:sz w:val="24"/>
        </w:rPr>
        <w:t>sulo:hasValue</w:t>
      </w:r>
      <w:r>
        <w:rPr>
          <w:rFonts w:ascii="Times New Roman" w:hAnsi="Times New Roman"/>
          <w:b w:val="0"/>
          <w:i w:val="0"/>
          <w:sz w:val="24"/>
        </w:rPr>
        <w:t xml:space="preserve"> (the code string) and a </w:t>
      </w:r>
      <w:r>
        <w:rPr>
          <w:rFonts w:ascii="Courier New" w:hAnsi="Courier New"/>
          <w:b w:val="0"/>
          <w:i w:val="0"/>
          <w:sz w:val="24"/>
        </w:rPr>
        <w:t>sulo:hasLabel</w:t>
      </w:r>
      <w:r>
        <w:rPr>
          <w:rFonts w:ascii="Times New Roman" w:hAnsi="Times New Roman"/>
          <w:b w:val="0"/>
          <w:i w:val="0"/>
          <w:sz w:val="24"/>
        </w:rPr>
        <w:t xml:space="preserve"> (the display name). Since the Schema Builder stores both the FHIR-side and OMOP-side schemas — each with their own mapping patterns pointing at the same SULO predicates — the pivot transformation can be computed as a SPARQL CONSTRUCT query over the SULO graph.</w:t>
      </w:r>
    </w:p>
    <w:p>
      <w:pPr>
        <w:spacing w:before="200" w:after="80"/>
      </w:pPr>
      <w:r>
        <w:rPr>
          <w:rFonts w:ascii="Times New Roman" w:hAnsi="Times New Roman"/>
          <w:b/>
          <w:sz w:val="24"/>
        </w:rPr>
        <w:t>5.3 Intermediate Classes and Role Patterns</w:t>
      </w:r>
    </w:p>
    <w:p>
      <w:pPr>
        <w:spacing w:before="40" w:after="120"/>
        <w:jc w:val="both"/>
      </w:pPr>
      <w:r>
        <w:rPr>
          <w:rFonts w:ascii="Times New Roman" w:hAnsi="Times New Roman"/>
          <w:b w:val="0"/>
          <w:i w:val="0"/>
          <w:sz w:val="24"/>
        </w:rPr>
        <w:t xml:space="preserve">A recurring challenge in clinical standard alignment is that SULO — like BFO — uses </w:t>
      </w:r>
      <w:r>
        <w:rPr>
          <w:rFonts w:ascii="Times New Roman" w:hAnsi="Times New Roman"/>
          <w:b/>
          <w:i w:val="0"/>
          <w:sz w:val="24"/>
        </w:rPr>
        <w:t>role reification</w:t>
      </w:r>
      <w:r>
        <w:rPr>
          <w:rFonts w:ascii="Times New Roman" w:hAnsi="Times New Roman"/>
          <w:b w:val="0"/>
          <w:i w:val="0"/>
          <w:sz w:val="24"/>
        </w:rPr>
        <w:t xml:space="preserve">. A patient is not directly </w:t>
      </w:r>
      <w:r>
        <w:rPr>
          <w:rFonts w:ascii="Courier New" w:hAnsi="Courier New"/>
          <w:b w:val="0"/>
          <w:i w:val="0"/>
          <w:sz w:val="24"/>
        </w:rPr>
        <w:t>hasParticipant</w:t>
      </w:r>
      <w:r>
        <w:rPr>
          <w:rFonts w:ascii="Times New Roman" w:hAnsi="Times New Roman"/>
          <w:b w:val="0"/>
          <w:i w:val="0"/>
          <w:sz w:val="24"/>
        </w:rPr>
        <w:t xml:space="preserve"> of a clinical visit; rather, the visit </w:t>
      </w:r>
      <w:r>
        <w:rPr>
          <w:rFonts w:ascii="Courier New" w:hAnsi="Courier New"/>
          <w:b w:val="0"/>
          <w:i w:val="0"/>
          <w:sz w:val="24"/>
        </w:rPr>
        <w:t>hasParticipant</w:t>
      </w:r>
      <w:r>
        <w:rPr>
          <w:rFonts w:ascii="Times New Roman" w:hAnsi="Times New Roman"/>
          <w:b w:val="0"/>
          <w:i w:val="0"/>
          <w:sz w:val="24"/>
        </w:rPr>
        <w:t xml:space="preserve"> a </w:t>
      </w:r>
      <w:r>
        <w:rPr>
          <w:rFonts w:ascii="Courier New" w:hAnsi="Courier New"/>
          <w:b w:val="0"/>
          <w:i w:val="0"/>
          <w:sz w:val="24"/>
        </w:rPr>
        <w:t>SubjectOfCareRole</w:t>
      </w:r>
      <w:r>
        <w:rPr>
          <w:rFonts w:ascii="Times New Roman" w:hAnsi="Times New Roman"/>
          <w:b w:val="0"/>
          <w:i w:val="0"/>
          <w:sz w:val="24"/>
        </w:rPr>
        <w:t xml:space="preserve">, which </w:t>
      </w:r>
      <w:r>
        <w:rPr>
          <w:rFonts w:ascii="Courier New" w:hAnsi="Courier New"/>
          <w:b w:val="0"/>
          <w:i w:val="0"/>
          <w:sz w:val="24"/>
        </w:rPr>
        <w:t>isRoleOf</w:t>
      </w:r>
      <w:r>
        <w:rPr>
          <w:rFonts w:ascii="Times New Roman" w:hAnsi="Times New Roman"/>
          <w:b w:val="0"/>
          <w:i w:val="0"/>
          <w:sz w:val="24"/>
        </w:rPr>
        <w:t xml:space="preserve"> the patient. This indirection is ontologically correct (the patient's role in this visit may change; a person may play different roles in different visits) but foreign to schema designers.</w:t>
      </w:r>
    </w:p>
    <w:p>
      <w:pPr>
        <w:spacing w:before="40" w:after="120"/>
        <w:jc w:val="both"/>
      </w:pPr>
      <w:r>
        <w:rPr>
          <w:rFonts w:ascii="Times New Roman" w:hAnsi="Times New Roman"/>
          <w:b w:val="0"/>
          <w:i w:val="0"/>
          <w:sz w:val="24"/>
        </w:rPr>
        <w:t xml:space="preserve">The mapping pattern mechanism handles this gracefully. The user creates a </w:t>
      </w:r>
      <w:r>
        <w:rPr>
          <w:rFonts w:ascii="Courier New" w:hAnsi="Courier New"/>
          <w:b w:val="0"/>
          <w:i w:val="0"/>
          <w:sz w:val="24"/>
        </w:rPr>
        <w:t>:SubjectOfCareRole</w:t>
      </w:r>
      <w:r>
        <w:rPr>
          <w:rFonts w:ascii="Times New Roman" w:hAnsi="Times New Roman"/>
          <w:b w:val="0"/>
          <w:i w:val="0"/>
          <w:sz w:val="24"/>
        </w:rPr>
        <w:t xml:space="preserve"> class, maps it to </w:t>
      </w:r>
      <w:r>
        <w:rPr>
          <w:rFonts w:ascii="Courier New" w:hAnsi="Courier New"/>
          <w:b w:val="0"/>
          <w:i w:val="0"/>
          <w:sz w:val="24"/>
        </w:rPr>
        <w:t>sulo:Role</w:t>
      </w:r>
      <w:r>
        <w:rPr>
          <w:rFonts w:ascii="Times New Roman" w:hAnsi="Times New Roman"/>
          <w:b w:val="0"/>
          <w:i w:val="0"/>
          <w:sz w:val="24"/>
        </w:rPr>
        <w:t>, and defines the chain:</w:t>
      </w:r>
    </w:p>
    <w:p>
      <w:pPr>
        <w:spacing w:before="80" w:after="80"/>
        <w:ind w:left="576"/>
        <w:shd w:val="clear" w:color="auto" w:fill="F2F2F2"/>
      </w:pPr>
      <w:r>
        <w:rPr>
          <w:rFonts w:ascii="Courier New" w:hAnsi="Courier New"/>
          <w:sz w:val="18"/>
        </w:rPr>
        <w:t>?this  →  sulo:hasParticipant  →  ?role</w:t>
        <w:br/>
        <w:t>?role  →  rdf:type             →  sulo:SubjectOfCareRole</w:t>
        <w:br/>
        <w:t>?role  →  sulo:isRoleOf        →  ?value</w:t>
      </w:r>
    </w:p>
    <w:p>
      <w:pPr>
        <w:spacing w:before="40" w:after="120"/>
        <w:jc w:val="both"/>
      </w:pPr>
      <w:r>
        <w:rPr>
          <w:rFonts w:ascii="Times New Roman" w:hAnsi="Times New Roman"/>
          <w:b w:val="0"/>
          <w:i w:val="0"/>
          <w:sz w:val="24"/>
        </w:rPr>
        <w:t xml:space="preserve">The three-triple pattern is stored as three </w:t>
      </w:r>
      <w:r>
        <w:rPr>
          <w:rFonts w:ascii="Courier New" w:hAnsi="Courier New"/>
          <w:b w:val="0"/>
          <w:i w:val="0"/>
          <w:sz w:val="24"/>
        </w:rPr>
        <w:t>TripleTemplate</w:t>
      </w:r>
      <w:r>
        <w:rPr>
          <w:rFonts w:ascii="Times New Roman" w:hAnsi="Times New Roman"/>
          <w:b w:val="0"/>
          <w:i w:val="0"/>
          <w:sz w:val="24"/>
        </w:rPr>
        <w:t xml:space="preserve"> objects. </w:t>
      </w:r>
      <w:r>
        <w:rPr>
          <w:rFonts w:ascii="Courier New" w:hAnsi="Courier New"/>
          <w:b w:val="0"/>
          <w:i w:val="0"/>
          <w:sz w:val="24"/>
        </w:rPr>
        <w:t>buildOwlExpr</w:t>
      </w:r>
      <w:r>
        <w:rPr>
          <w:rFonts w:ascii="Times New Roman" w:hAnsi="Times New Roman"/>
          <w:b w:val="0"/>
          <w:i w:val="0"/>
          <w:sz w:val="24"/>
        </w:rPr>
        <w:t xml:space="preserve"> compiles this into the nested </w:t>
      </w:r>
      <w:r>
        <w:rPr>
          <w:rFonts w:ascii="Courier New" w:hAnsi="Courier New"/>
          <w:b w:val="0"/>
          <w:i w:val="0"/>
          <w:sz w:val="24"/>
        </w:rPr>
        <w:t>owl:someValuesFrom</w:t>
      </w:r>
      <w:r>
        <w:rPr>
          <w:rFonts w:ascii="Times New Roman" w:hAnsi="Times New Roman"/>
          <w:b w:val="0"/>
          <w:i w:val="0"/>
          <w:sz w:val="24"/>
        </w:rPr>
        <w:t xml:space="preserve"> chain shown in Section 4.1. Critically, this means the intermediate role class is visible in the schema (the user added it, labelled it, and aligned it) but need not appear as a direct property range — the mapping pattern expresses its role implicitly.</w:t>
      </w:r>
    </w:p>
    <w:p>
      <w:pPr>
        <w:spacing w:before="40" w:after="120"/>
        <w:jc w:val="both"/>
      </w:pPr>
      <w:r>
        <w:rPr>
          <w:rFonts w:ascii="Times New Roman" w:hAnsi="Times New Roman"/>
          <w:b w:val="0"/>
          <w:i w:val="0"/>
          <w:sz w:val="24"/>
        </w:rPr>
        <w:t xml:space="preserve">For a bidirectional mapping scenario, </w:t>
      </w:r>
      <w:r>
        <w:rPr>
          <w:rFonts w:ascii="Courier New" w:hAnsi="Courier New"/>
          <w:b w:val="0"/>
          <w:i w:val="0"/>
          <w:sz w:val="24"/>
        </w:rPr>
        <w:t>buildReverseOwlExpr</w:t>
      </w:r>
      <w:r>
        <w:rPr>
          <w:rFonts w:ascii="Times New Roman" w:hAnsi="Times New Roman"/>
          <w:b w:val="0"/>
          <w:i w:val="0"/>
          <w:sz w:val="24"/>
        </w:rPr>
        <w:t xml:space="preserve"> traverses the same pattern in reverse, emitting </w:t>
      </w:r>
      <w:r>
        <w:rPr>
          <w:rFonts w:ascii="Courier New" w:hAnsi="Courier New"/>
          <w:b w:val="0"/>
          <w:i w:val="0"/>
          <w:sz w:val="24"/>
        </w:rPr>
        <w:t>owl:inverseOf</w:t>
      </w:r>
      <w:r>
        <w:rPr>
          <w:rFonts w:ascii="Times New Roman" w:hAnsi="Times New Roman"/>
          <w:b w:val="0"/>
          <w:i w:val="0"/>
          <w:sz w:val="24"/>
        </w:rPr>
        <w:t xml:space="preserve"> restrictions. Given the SULO representation of a patient person, the reverse function can express "an individual is a SubjectOfCareRole if it is the isRoleOf-inverse-participant of a ClinicalVisit" — which is precisely what is needed to query for all visits given a patient IRI.</w:t>
      </w:r>
    </w:p>
    <w:p>
      <w:pPr>
        <w:spacing w:before="200" w:after="80"/>
      </w:pPr>
      <w:r>
        <w:rPr>
          <w:rFonts w:ascii="Times New Roman" w:hAnsi="Times New Roman"/>
          <w:b/>
          <w:sz w:val="24"/>
        </w:rPr>
        <w:t>5.4 The AIDAVA Code Pattern as a Case Study</w:t>
      </w:r>
    </w:p>
    <w:p>
      <w:pPr>
        <w:spacing w:before="40" w:after="120"/>
        <w:jc w:val="both"/>
      </w:pPr>
      <w:r>
        <w:rPr>
          <w:rFonts w:ascii="Times New Roman" w:hAnsi="Times New Roman"/>
          <w:b w:val="0"/>
          <w:i w:val="0"/>
          <w:sz w:val="24"/>
        </w:rPr>
        <w:t xml:space="preserve">The </w:t>
      </w:r>
      <w:r>
        <w:rPr>
          <w:rFonts w:ascii="Times New Roman" w:hAnsi="Times New Roman"/>
          <w:b/>
          <w:i w:val="0"/>
          <w:sz w:val="24"/>
        </w:rPr>
        <w:t>SPHN/AIDAVA</w:t>
      </w:r>
      <w:r>
        <w:rPr>
          <w:rFonts w:ascii="Times New Roman" w:hAnsi="Times New Roman"/>
          <w:b w:val="0"/>
          <w:i w:val="0"/>
          <w:sz w:val="24"/>
        </w:rPr>
        <w:t xml:space="preserve"> ontology [21] models coded clinical values with a </w:t>
      </w:r>
      <w:r>
        <w:rPr>
          <w:rFonts w:ascii="Courier New" w:hAnsi="Courier New"/>
          <w:b w:val="0"/>
          <w:i w:val="0"/>
          <w:sz w:val="24"/>
        </w:rPr>
        <w:t>sphn:Code</w:t>
      </w:r>
      <w:r>
        <w:rPr>
          <w:rFonts w:ascii="Times New Roman" w:hAnsi="Times New Roman"/>
          <w:b w:val="0"/>
          <w:i w:val="0"/>
          <w:sz w:val="24"/>
        </w:rPr>
        <w:t xml:space="preserve"> class carrying three properties: </w:t>
      </w:r>
      <w:r>
        <w:rPr>
          <w:rFonts w:ascii="Courier New" w:hAnsi="Courier New"/>
          <w:b w:val="0"/>
          <w:i w:val="0"/>
          <w:sz w:val="24"/>
        </w:rPr>
        <w:t>sphn:hasIdentifier</w:t>
      </w:r>
      <w:r>
        <w:rPr>
          <w:rFonts w:ascii="Times New Roman" w:hAnsi="Times New Roman"/>
          <w:b w:val="0"/>
          <w:i w:val="0"/>
          <w:sz w:val="24"/>
        </w:rPr>
        <w:t xml:space="preserve"> (the code string, e.g. "8480-6"), </w:t>
      </w:r>
      <w:r>
        <w:rPr>
          <w:rFonts w:ascii="Courier New" w:hAnsi="Courier New"/>
          <w:b w:val="0"/>
          <w:i w:val="0"/>
          <w:sz w:val="24"/>
        </w:rPr>
        <w:t>sphn:hasCodingSystemAndVersion</w:t>
      </w:r>
      <w:r>
        <w:rPr>
          <w:rFonts w:ascii="Times New Roman" w:hAnsi="Times New Roman"/>
          <w:b w:val="0"/>
          <w:i w:val="0"/>
          <w:sz w:val="24"/>
        </w:rPr>
        <w:t xml:space="preserve"> (the vocabulary and version, e.g. "LOINC 2.73"), and </w:t>
      </w:r>
      <w:r>
        <w:rPr>
          <w:rFonts w:ascii="Courier New" w:hAnsi="Courier New"/>
          <w:b w:val="0"/>
          <w:i w:val="0"/>
          <w:sz w:val="24"/>
        </w:rPr>
        <w:t>sphn:hasName</w:t>
      </w:r>
      <w:r>
        <w:rPr>
          <w:rFonts w:ascii="Times New Roman" w:hAnsi="Times New Roman"/>
          <w:b w:val="0"/>
          <w:i w:val="0"/>
          <w:sz w:val="24"/>
        </w:rPr>
        <w:t xml:space="preserve"> (a human-readable display name). This pattern recurs across all coded FHIR elements and OMOP concept columns.</w:t>
      </w:r>
    </w:p>
    <w:p>
      <w:pPr>
        <w:spacing w:before="40" w:after="120"/>
        <w:jc w:val="both"/>
      </w:pPr>
      <w:r>
        <w:rPr>
          <w:rFonts w:ascii="Times New Roman" w:hAnsi="Times New Roman"/>
          <w:b w:val="0"/>
          <w:i w:val="0"/>
          <w:sz w:val="24"/>
        </w:rPr>
        <w:t xml:space="preserve">In the Schema Builder, the </w:t>
      </w:r>
      <w:r>
        <w:rPr>
          <w:rFonts w:ascii="Courier New" w:hAnsi="Courier New"/>
          <w:b w:val="0"/>
          <w:i w:val="0"/>
          <w:sz w:val="24"/>
        </w:rPr>
        <w:t>Code</w:t>
      </w:r>
      <w:r>
        <w:rPr>
          <w:rFonts w:ascii="Times New Roman" w:hAnsi="Times New Roman"/>
          <w:b w:val="0"/>
          <w:i w:val="0"/>
          <w:sz w:val="24"/>
        </w:rPr>
        <w:t xml:space="preserve"> class is defined with </w:t>
      </w:r>
      <w:r>
        <w:rPr>
          <w:rFonts w:ascii="Courier New" w:hAnsi="Courier New"/>
          <w:b w:val="0"/>
          <w:i w:val="0"/>
          <w:sz w:val="24"/>
        </w:rPr>
        <w:t>mapsToConceptIri: sulo:InformationObject</w:t>
      </w:r>
      <w:r>
        <w:rPr>
          <w:rFonts w:ascii="Times New Roman" w:hAnsi="Times New Roman"/>
          <w:b w:val="0"/>
          <w:i w:val="0"/>
          <w:sz w:val="24"/>
        </w:rPr>
        <w:t xml:space="preserve"> and three datatype properties: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pPr>
              <w:jc w:val="center"/>
            </w:pPr>
            <w:r/>
            <w:r>
              <w:rPr>
                <w:rFonts w:ascii="Times New Roman" w:hAnsi="Times New Roman"/>
                <w:b/>
                <w:sz w:val="20"/>
              </w:rPr>
              <w:t>Property</w:t>
            </w:r>
          </w:p>
        </w:tc>
        <w:tc>
          <w:tcPr>
            <w:tcW w:type="dxa" w:w="2160"/>
            <w:shd w:val="clear" w:color="auto" w:fill="D9D9D9"/>
          </w:tcPr>
          <w:p>
            <w:pPr>
              <w:jc w:val="center"/>
            </w:pPr>
            <w:r/>
            <w:r>
              <w:rPr>
                <w:rFonts w:ascii="Times New Roman" w:hAnsi="Times New Roman"/>
                <w:b/>
                <w:sz w:val="20"/>
              </w:rPr>
              <w:t>Range</w:t>
            </w:r>
          </w:p>
        </w:tc>
        <w:tc>
          <w:tcPr>
            <w:tcW w:type="dxa" w:w="2160"/>
            <w:shd w:val="clear" w:color="auto" w:fill="D9D9D9"/>
          </w:tcPr>
          <w:p>
            <w:pPr>
              <w:jc w:val="center"/>
            </w:pPr>
            <w:r/>
            <w:r>
              <w:rPr>
                <w:rFonts w:ascii="Times New Roman" w:hAnsi="Times New Roman"/>
                <w:b/>
                <w:sz w:val="20"/>
              </w:rPr>
              <w:t>SULO mapping predicate</w:t>
            </w:r>
          </w:p>
        </w:tc>
        <w:tc>
          <w:tcPr>
            <w:tcW w:type="dxa" w:w="2160"/>
            <w:shd w:val="clear" w:color="auto" w:fill="D9D9D9"/>
          </w:tcPr>
          <w:p>
            <w:pPr>
              <w:jc w:val="center"/>
            </w:pPr>
            <w:r/>
            <w:r>
              <w:rPr>
                <w:rFonts w:ascii="Times New Roman" w:hAnsi="Times New Roman"/>
                <w:b/>
                <w:sz w:val="20"/>
              </w:rPr>
              <w:t>Required</w:t>
            </w:r>
          </w:p>
        </w:tc>
      </w:tr>
      <w:tr>
        <w:tc>
          <w:tcPr>
            <w:tcW w:type="dxa" w:w="2160"/>
          </w:tcPr>
          <w:p>
            <w:r>
              <w:rPr>
                <w:sz w:val="20"/>
              </w:rPr>
            </w:r>
            <w:r>
              <w:rPr>
                <w:rFonts w:ascii="Courier New" w:hAnsi="Courier New"/>
                <w:b w:val="0"/>
                <w:i w:val="0"/>
                <w:sz w:val="20"/>
              </w:rPr>
              <w:t>hasIdentifier</w:t>
            </w:r>
          </w:p>
        </w:tc>
        <w:tc>
          <w:tcPr>
            <w:tcW w:type="dxa" w:w="2160"/>
          </w:tcPr>
          <w:p>
            <w:r>
              <w:rPr>
                <w:sz w:val="20"/>
              </w:rPr>
            </w:r>
            <w:r>
              <w:rPr>
                <w:rFonts w:ascii="Courier New" w:hAnsi="Courier New"/>
                <w:b w:val="0"/>
                <w:i w:val="0"/>
                <w:sz w:val="20"/>
              </w:rPr>
              <w:t>xsd:string</w:t>
            </w:r>
          </w:p>
        </w:tc>
        <w:tc>
          <w:tcPr>
            <w:tcW w:type="dxa" w:w="2160"/>
          </w:tcPr>
          <w:p>
            <w:r>
              <w:rPr>
                <w:sz w:val="20"/>
              </w:rPr>
            </w:r>
            <w:r>
              <w:rPr>
                <w:rFonts w:ascii="Courier New" w:hAnsi="Courier New"/>
                <w:b w:val="0"/>
                <w:i w:val="0"/>
                <w:sz w:val="20"/>
              </w:rPr>
              <w:t>sulo:hasValue</w:t>
            </w:r>
          </w:p>
        </w:tc>
        <w:tc>
          <w:tcPr>
            <w:tcW w:type="dxa" w:w="2160"/>
          </w:tcPr>
          <w:p>
            <w:r>
              <w:rPr>
                <w:sz w:val="20"/>
              </w:rPr>
            </w:r>
            <w:r>
              <w:rPr>
                <w:rFonts w:ascii="Times New Roman" w:hAnsi="Times New Roman"/>
                <w:b w:val="0"/>
                <w:i w:val="0"/>
                <w:sz w:val="20"/>
              </w:rPr>
              <w:t>yes</w:t>
            </w:r>
          </w:p>
        </w:tc>
      </w:tr>
      <w:tr>
        <w:tc>
          <w:tcPr>
            <w:tcW w:type="dxa" w:w="2160"/>
          </w:tcPr>
          <w:p>
            <w:r>
              <w:rPr>
                <w:sz w:val="20"/>
              </w:rPr>
            </w:r>
            <w:r>
              <w:rPr>
                <w:rFonts w:ascii="Courier New" w:hAnsi="Courier New"/>
                <w:b w:val="0"/>
                <w:i w:val="0"/>
                <w:sz w:val="20"/>
              </w:rPr>
              <w:t>hasCodingSystemAndVersion</w:t>
            </w:r>
          </w:p>
        </w:tc>
        <w:tc>
          <w:tcPr>
            <w:tcW w:type="dxa" w:w="2160"/>
          </w:tcPr>
          <w:p>
            <w:r>
              <w:rPr>
                <w:sz w:val="20"/>
              </w:rPr>
            </w:r>
            <w:r>
              <w:rPr>
                <w:rFonts w:ascii="Courier New" w:hAnsi="Courier New"/>
                <w:b w:val="0"/>
                <w:i w:val="0"/>
                <w:sz w:val="20"/>
              </w:rPr>
              <w:t>xsd:string</w:t>
            </w:r>
          </w:p>
        </w:tc>
        <w:tc>
          <w:tcPr>
            <w:tcW w:type="dxa" w:w="2160"/>
          </w:tcPr>
          <w:p>
            <w:r>
              <w:rPr>
                <w:sz w:val="20"/>
              </w:rPr>
            </w:r>
            <w:r>
              <w:rPr>
                <w:rFonts w:ascii="Courier New" w:hAnsi="Courier New"/>
                <w:b w:val="0"/>
                <w:i w:val="0"/>
                <w:sz w:val="20"/>
              </w:rPr>
              <w:t>sulo:hasLabel</w:t>
            </w:r>
          </w:p>
        </w:tc>
        <w:tc>
          <w:tcPr>
            <w:tcW w:type="dxa" w:w="2160"/>
          </w:tcPr>
          <w:p>
            <w:r>
              <w:rPr>
                <w:sz w:val="20"/>
              </w:rPr>
            </w:r>
            <w:r>
              <w:rPr>
                <w:rFonts w:ascii="Times New Roman" w:hAnsi="Times New Roman"/>
                <w:b w:val="0"/>
                <w:i w:val="0"/>
                <w:sz w:val="20"/>
              </w:rPr>
              <w:t>yes</w:t>
            </w:r>
          </w:p>
        </w:tc>
      </w:tr>
      <w:tr>
        <w:tc>
          <w:tcPr>
            <w:tcW w:type="dxa" w:w="2160"/>
          </w:tcPr>
          <w:p>
            <w:r>
              <w:rPr>
                <w:sz w:val="20"/>
              </w:rPr>
            </w:r>
            <w:r>
              <w:rPr>
                <w:rFonts w:ascii="Courier New" w:hAnsi="Courier New"/>
                <w:b w:val="0"/>
                <w:i w:val="0"/>
                <w:sz w:val="20"/>
              </w:rPr>
              <w:t>hasName</w:t>
            </w:r>
          </w:p>
        </w:tc>
        <w:tc>
          <w:tcPr>
            <w:tcW w:type="dxa" w:w="2160"/>
          </w:tcPr>
          <w:p>
            <w:r>
              <w:rPr>
                <w:sz w:val="20"/>
              </w:rPr>
            </w:r>
            <w:r>
              <w:rPr>
                <w:rFonts w:ascii="Courier New" w:hAnsi="Courier New"/>
                <w:b w:val="0"/>
                <w:i w:val="0"/>
                <w:sz w:val="20"/>
              </w:rPr>
              <w:t>xsd:string</w:t>
            </w:r>
          </w:p>
        </w:tc>
        <w:tc>
          <w:tcPr>
            <w:tcW w:type="dxa" w:w="2160"/>
          </w:tcPr>
          <w:p>
            <w:r>
              <w:rPr>
                <w:sz w:val="20"/>
              </w:rPr>
            </w:r>
            <w:r>
              <w:rPr>
                <w:rFonts w:ascii="Courier New" w:hAnsi="Courier New"/>
                <w:b w:val="0"/>
                <w:i w:val="0"/>
                <w:sz w:val="20"/>
              </w:rPr>
              <w:t>sulo:hasLabel</w:t>
            </w:r>
          </w:p>
        </w:tc>
        <w:tc>
          <w:tcPr>
            <w:tcW w:type="dxa" w:w="2160"/>
          </w:tcPr>
          <w:p>
            <w:r>
              <w:rPr>
                <w:sz w:val="20"/>
              </w:rPr>
            </w:r>
            <w:r>
              <w:rPr>
                <w:rFonts w:ascii="Times New Roman" w:hAnsi="Times New Roman"/>
                <w:b w:val="0"/>
                <w:i w:val="0"/>
                <w:sz w:val="20"/>
              </w:rPr>
              <w:t>no</w:t>
            </w:r>
          </w:p>
        </w:tc>
      </w:tr>
    </w:tbl>
    <w:p/>
    <w:p>
      <w:pPr>
        <w:spacing w:before="40" w:after="120"/>
        <w:jc w:val="both"/>
      </w:pPr>
      <w:r>
        <w:rPr>
          <w:rFonts w:ascii="Times New Roman" w:hAnsi="Times New Roman"/>
          <w:b w:val="0"/>
          <w:i w:val="0"/>
          <w:sz w:val="24"/>
        </w:rPr>
        <w:t xml:space="preserve">The </w:t>
      </w:r>
      <w:r>
        <w:rPr>
          <w:rFonts w:ascii="Courier New" w:hAnsi="Courier New"/>
          <w:b w:val="0"/>
          <w:i w:val="0"/>
          <w:sz w:val="24"/>
        </w:rPr>
        <w:t>Code</w:t>
      </w:r>
      <w:r>
        <w:rPr>
          <w:rFonts w:ascii="Times New Roman" w:hAnsi="Times New Roman"/>
          <w:b w:val="0"/>
          <w:i w:val="0"/>
          <w:sz w:val="24"/>
        </w:rPr>
        <w:t xml:space="preserve"> class is then made a superclass of </w:t>
      </w:r>
      <w:r>
        <w:rPr>
          <w:rFonts w:ascii="Courier New" w:hAnsi="Courier New"/>
          <w:b w:val="0"/>
          <w:i w:val="0"/>
          <w:sz w:val="24"/>
        </w:rPr>
        <w:t>ObservableEntity</w:t>
      </w:r>
      <w:r>
        <w:rPr>
          <w:rFonts w:ascii="Times New Roman" w:hAnsi="Times New Roman"/>
          <w:b w:val="0"/>
          <w:i w:val="0"/>
          <w:sz w:val="24"/>
        </w:rPr>
        <w:t xml:space="preserve"> (</w:t>
      </w:r>
      <w:r>
        <w:rPr>
          <w:rFonts w:ascii="Courier New" w:hAnsi="Courier New"/>
          <w:b w:val="0"/>
          <w:i w:val="0"/>
          <w:sz w:val="24"/>
        </w:rPr>
        <w:t>mapsToConceptIri: http://snomed.info/id/363787002</w:t>
      </w:r>
      <w:r>
        <w:rPr>
          <w:rFonts w:ascii="Times New Roman" w:hAnsi="Times New Roman"/>
          <w:b w:val="0"/>
          <w:i w:val="0"/>
          <w:sz w:val="24"/>
        </w:rPr>
        <w:t xml:space="preserve">) and </w:t>
      </w:r>
      <w:r>
        <w:rPr>
          <w:rFonts w:ascii="Courier New" w:hAnsi="Courier New"/>
          <w:b w:val="0"/>
          <w:i w:val="0"/>
          <w:sz w:val="24"/>
        </w:rPr>
        <w:t>SCT_Procedure</w:t>
      </w:r>
      <w:r>
        <w:rPr>
          <w:rFonts w:ascii="Times New Roman" w:hAnsi="Times New Roman"/>
          <w:b w:val="0"/>
          <w:i w:val="0"/>
          <w:sz w:val="24"/>
        </w:rPr>
        <w:t xml:space="preserve"> (</w:t>
      </w:r>
      <w:r>
        <w:rPr>
          <w:rFonts w:ascii="Courier New" w:hAnsi="Courier New"/>
          <w:b w:val="0"/>
          <w:i w:val="0"/>
          <w:sz w:val="24"/>
        </w:rPr>
        <w:t>mapsToConceptIri: http://snomed.info/id/71388002</w:t>
      </w:r>
      <w:r>
        <w:rPr>
          <w:rFonts w:ascii="Times New Roman" w:hAnsi="Times New Roman"/>
          <w:b w:val="0"/>
          <w:i w:val="0"/>
          <w:sz w:val="24"/>
        </w:rPr>
        <w:t xml:space="preserve">) — both external SNOMED CT concept URIs. The </w:t>
      </w:r>
      <w:r>
        <w:rPr>
          <w:rFonts w:ascii="Courier New" w:hAnsi="Courier New"/>
          <w:b w:val="0"/>
          <w:i w:val="0"/>
          <w:sz w:val="24"/>
        </w:rPr>
        <w:t>:hasCode</w:t>
      </w:r>
      <w:r>
        <w:rPr>
          <w:rFonts w:ascii="Times New Roman" w:hAnsi="Times New Roman"/>
          <w:b w:val="0"/>
          <w:i w:val="0"/>
          <w:sz w:val="24"/>
        </w:rPr>
        <w:t xml:space="preserve"> property on </w:t>
      </w:r>
      <w:r>
        <w:rPr>
          <w:rFonts w:ascii="Courier New" w:hAnsi="Courier New"/>
          <w:b w:val="0"/>
          <w:i w:val="0"/>
          <w:sz w:val="24"/>
        </w:rPr>
        <w:t>:Measurement</w:t>
      </w:r>
      <w:r>
        <w:rPr>
          <w:rFonts w:ascii="Times New Roman" w:hAnsi="Times New Roman"/>
          <w:b w:val="0"/>
          <w:i w:val="0"/>
          <w:sz w:val="24"/>
        </w:rPr>
        <w:t xml:space="preserve"> has two range entries — </w:t>
      </w:r>
      <w:r>
        <w:rPr>
          <w:rFonts w:ascii="Courier New" w:hAnsi="Courier New"/>
          <w:b w:val="0"/>
          <w:i w:val="0"/>
          <w:sz w:val="24"/>
        </w:rPr>
        <w:t>:Code</w:t>
      </w:r>
      <w:r>
        <w:rPr>
          <w:rFonts w:ascii="Times New Roman" w:hAnsi="Times New Roman"/>
          <w:b w:val="0"/>
          <w:i w:val="0"/>
          <w:sz w:val="24"/>
        </w:rPr>
        <w:t xml:space="preserve"> and </w:t>
      </w:r>
      <w:r>
        <w:rPr>
          <w:rFonts w:ascii="Courier New" w:hAnsi="Courier New"/>
          <w:b w:val="0"/>
          <w:i w:val="0"/>
          <w:sz w:val="24"/>
        </w:rPr>
        <w:t>:ObservableEntity</w:t>
      </w:r>
      <w:r>
        <w:rPr>
          <w:rFonts w:ascii="Times New Roman" w:hAnsi="Times New Roman"/>
          <w:b w:val="0"/>
          <w:i w:val="0"/>
          <w:sz w:val="24"/>
        </w:rPr>
        <w:t xml:space="preserve"> — generating the following SHACL union shape:</w:t>
      </w:r>
    </w:p>
    <w:p>
      <w:pPr>
        <w:spacing w:before="80" w:after="80"/>
        <w:ind w:left="576"/>
        <w:shd w:val="clear" w:color="auto" w:fill="F2F2F2"/>
      </w:pPr>
      <w:r>
        <w:rPr>
          <w:rFonts w:ascii="Courier New" w:hAnsi="Courier New"/>
          <w:sz w:val="18"/>
        </w:rPr>
        <w:t>:MeasurementShape</w:t>
        <w:br/>
        <w:t xml:space="preserve">  a sh:NodeShape ;</w:t>
        <w:br/>
        <w:t xml:space="preserve">  sh:targetClass :Measurement ;</w:t>
        <w:br/>
        <w:t xml:space="preserve">  sh:property [</w:t>
        <w:br/>
        <w:t xml:space="preserve">    sh:path :hasCode ;</w:t>
        <w:br/>
        <w:t xml:space="preserve">    sh:or (</w:t>
        <w:br/>
        <w:t xml:space="preserve">      [ sh:class :Code ]</w:t>
        <w:br/>
        <w:t xml:space="preserve">      [ sh:class &lt;http://snomed.info/id/363787002&gt; ]</w:t>
        <w:br/>
        <w:t xml:space="preserve">    )</w:t>
        <w:br/>
        <w:t xml:space="preserve">  ] .</w:t>
      </w:r>
    </w:p>
    <w:p>
      <w:pPr>
        <w:spacing w:before="40" w:after="120"/>
        <w:jc w:val="both"/>
      </w:pPr>
      <w:r>
        <w:rPr>
          <w:rFonts w:ascii="Times New Roman" w:hAnsi="Times New Roman"/>
          <w:b w:val="0"/>
          <w:i w:val="0"/>
          <w:sz w:val="24"/>
        </w:rPr>
        <w:t>And the corresponding OWL axiom:</w:t>
      </w:r>
    </w:p>
    <w:p>
      <w:pPr>
        <w:spacing w:before="80" w:after="80"/>
        <w:ind w:left="576"/>
        <w:shd w:val="clear" w:color="auto" w:fill="F2F2F2"/>
      </w:pPr>
      <w:r>
        <w:rPr>
          <w:rFonts w:ascii="Courier New" w:hAnsi="Courier New"/>
          <w:sz w:val="18"/>
        </w:rPr>
        <w:t>:hasCode  rdfs:range  [</w:t>
        <w:br/>
        <w:t xml:space="preserve">  owl:unionOf ( :Code  &lt;http://snomed.info/id/363787002&gt; )</w:t>
        <w:br/>
        <w:t>] .</w:t>
      </w:r>
    </w:p>
    <w:p>
      <w:pPr>
        <w:spacing w:before="40" w:after="120"/>
        <w:jc w:val="both"/>
      </w:pPr>
      <w:r>
        <w:rPr>
          <w:rFonts w:ascii="Times New Roman" w:hAnsi="Times New Roman"/>
          <w:b w:val="0"/>
          <w:i w:val="0"/>
          <w:sz w:val="24"/>
        </w:rPr>
        <w:t xml:space="preserve">This demonstrates that external concept URIs (SNOMED CT, LOINC) can participate in union ranges alongside local schema classes, and that the tool correctly emits </w:t>
      </w:r>
      <w:r>
        <w:rPr>
          <w:rFonts w:ascii="Courier New" w:hAnsi="Courier New"/>
          <w:b w:val="0"/>
          <w:i w:val="0"/>
          <w:sz w:val="24"/>
        </w:rPr>
        <w:t>&lt;full-IRI&gt;</w:t>
      </w:r>
      <w:r>
        <w:rPr>
          <w:rFonts w:ascii="Times New Roman" w:hAnsi="Times New Roman"/>
          <w:b w:val="0"/>
          <w:i w:val="0"/>
          <w:sz w:val="24"/>
        </w:rPr>
        <w:t xml:space="preserve"> rather than a local prefix for non-SULO external concepts.</w:t>
      </w:r>
    </w:p>
    <w:p>
      <w:pPr>
        <w:spacing w:before="120" w:after="0"/>
      </w:pPr>
    </w:p>
    <w:p>
      <w:pPr>
        <w:spacing w:before="40" w:after="40"/>
        <w:jc w:val="center"/>
      </w:pPr>
      <w:r>
        <w:drawing>
          <wp:inline xmlns:a="http://schemas.openxmlformats.org/drawingml/2006/main" xmlns:pic="http://schemas.openxmlformats.org/drawingml/2006/picture">
            <wp:extent cx="5029200" cy="3233057"/>
            <wp:docPr id="8" name="Picture 8"/>
            <wp:cNvGraphicFramePr>
              <a:graphicFrameLocks noChangeAspect="1"/>
            </wp:cNvGraphicFramePr>
            <a:graphic>
              <a:graphicData uri="http://schemas.openxmlformats.org/drawingml/2006/picture">
                <pic:pic>
                  <pic:nvPicPr>
                    <pic:cNvPr id="0" name="07_properties_panel.png"/>
                    <pic:cNvPicPr/>
                  </pic:nvPicPr>
                  <pic:blipFill>
                    <a:blip r:embed="rId16"/>
                    <a:stretch>
                      <a:fillRect/>
                    </a:stretch>
                  </pic:blipFill>
                  <pic:spPr>
                    <a:xfrm>
                      <a:off x="0" y="0"/>
                      <a:ext cx="5029200" cy="3233057"/>
                    </a:xfrm>
                    <a:prstGeom prst="rect"/>
                  </pic:spPr>
                </pic:pic>
              </a:graphicData>
            </a:graphic>
          </wp:inline>
        </w:drawing>
      </w:r>
    </w:p>
    <w:p>
      <w:pPr>
        <w:spacing w:before="40" w:after="200"/>
        <w:jc w:val="center"/>
      </w:pPr>
      <w:r>
        <w:rPr>
          <w:rFonts w:ascii="Times New Roman" w:hAnsi="Times New Roman"/>
          <w:i/>
          <w:color w:val="444444"/>
          <w:sz w:val="20"/>
        </w:rPr>
        <w:t>Figure 8: Properties panel — union range "Code | ObservableEntity" displayed inline; each row shows the mapping pattern SULO predicates.</w:t>
      </w:r>
    </w:p>
    <w:p>
      <w:pPr>
        <w:spacing w:before="120" w:after="0"/>
      </w:pPr>
    </w:p>
    <w:p>
      <w:pPr>
        <w:spacing w:before="40" w:after="40"/>
        <w:jc w:val="center"/>
      </w:pPr>
      <w:r>
        <w:drawing>
          <wp:inline xmlns:a="http://schemas.openxmlformats.org/drawingml/2006/main" xmlns:pic="http://schemas.openxmlformats.org/drawingml/2006/picture">
            <wp:extent cx="5029200" cy="3233057"/>
            <wp:docPr id="9" name="Picture 9"/>
            <wp:cNvGraphicFramePr>
              <a:graphicFrameLocks noChangeAspect="1"/>
            </wp:cNvGraphicFramePr>
            <a:graphic>
              <a:graphicData uri="http://schemas.openxmlformats.org/drawingml/2006/picture">
                <pic:pic>
                  <pic:nvPicPr>
                    <pic:cNvPr id="0" name="06b_property_edit_mapping.png"/>
                    <pic:cNvPicPr/>
                  </pic:nvPicPr>
                  <pic:blipFill>
                    <a:blip r:embed="rId17"/>
                    <a:stretch>
                      <a:fillRect/>
                    </a:stretch>
                  </pic:blipFill>
                  <pic:spPr>
                    <a:xfrm>
                      <a:off x="0" y="0"/>
                      <a:ext cx="5029200" cy="3233057"/>
                    </a:xfrm>
                    <a:prstGeom prst="rect"/>
                  </pic:spPr>
                </pic:pic>
              </a:graphicData>
            </a:graphic>
          </wp:inline>
        </w:drawing>
      </w:r>
    </w:p>
    <w:p>
      <w:pPr>
        <w:spacing w:before="40" w:after="200"/>
        <w:jc w:val="center"/>
      </w:pPr>
      <w:r>
        <w:rPr>
          <w:rFonts w:ascii="Times New Roman" w:hAnsi="Times New Roman"/>
          <w:i/>
          <w:color w:val="444444"/>
          <w:sz w:val="20"/>
        </w:rPr>
        <w:t>Figure 9: Property edit form — mapping pattern triple-template editor showing a three-hop SULO path chain.</w:t>
      </w:r>
    </w:p>
    <w:p>
      <w:pPr>
        <w:spacing w:before="120" w:after="120"/>
      </w:pPr>
      <w:r>
        <w:rPr>
          <w:color w:val="CCCCCC"/>
          <w:sz w:val="16"/>
        </w:rPr>
        <w:t>────────────────────────────────────────────────────────────</w:t>
      </w:r>
    </w:p>
    <w:p>
      <w:pPr>
        <w:spacing w:before="200" w:after="80"/>
      </w:pPr>
      <w:r>
        <w:rPr>
          <w:rFonts w:ascii="Times New Roman" w:hAnsi="Times New Roman"/>
          <w:b/>
          <w:sz w:val="28"/>
        </w:rPr>
        <w:t>6. RQ3 — Educational Value of Formal Ontologies</w:t>
      </w:r>
    </w:p>
    <w:p>
      <w:pPr>
        <w:spacing w:before="200" w:after="80"/>
      </w:pPr>
      <w:r>
        <w:rPr>
          <w:rFonts w:ascii="Times New Roman" w:hAnsi="Times New Roman"/>
          <w:b/>
          <w:sz w:val="24"/>
        </w:rPr>
        <w:t>6.1 The Schema-Ontology Pedagogical Gap</w:t>
      </w:r>
    </w:p>
    <w:p>
      <w:pPr>
        <w:spacing w:before="40" w:after="120"/>
        <w:jc w:val="both"/>
      </w:pPr>
      <w:r>
        <w:rPr>
          <w:rFonts w:ascii="Times New Roman" w:hAnsi="Times New Roman"/>
          <w:b w:val="0"/>
          <w:i w:val="0"/>
          <w:sz w:val="24"/>
        </w:rPr>
        <w:t>A practitioner trained in relational databases or FHIR sees a schema as a complete specification. The notion that a schema "lacks semantics" is counterintuitive: their schemas have names, types, and controlled vocabularies — what more could semantics add? The standard ontology-community answer ("formal axioms enable reasoning and interoperability") is too abstract to be convincing in isolation.</w:t>
      </w:r>
    </w:p>
    <w:p>
      <w:pPr>
        <w:spacing w:before="40" w:after="120"/>
        <w:jc w:val="both"/>
      </w:pPr>
      <w:r>
        <w:rPr>
          <w:rFonts w:ascii="Times New Roman" w:hAnsi="Times New Roman"/>
          <w:b w:val="0"/>
          <w:i w:val="0"/>
          <w:sz w:val="24"/>
        </w:rPr>
        <w:t xml:space="preserve">The Schema Builder addresses this by making the two representations </w:t>
      </w:r>
      <w:r>
        <w:rPr>
          <w:rFonts w:ascii="Times New Roman" w:hAnsi="Times New Roman"/>
          <w:b/>
          <w:i w:val="0"/>
          <w:sz w:val="24"/>
        </w:rPr>
        <w:t>immediately comparable</w:t>
      </w:r>
      <w:r>
        <w:rPr>
          <w:rFonts w:ascii="Times New Roman" w:hAnsi="Times New Roman"/>
          <w:b w:val="0"/>
          <w:i w:val="0"/>
          <w:sz w:val="24"/>
        </w:rPr>
        <w:t xml:space="preserve"> within a single workflow. When a user designs a schema and clicks </w:t>
      </w:r>
      <w:r>
        <w:rPr>
          <w:rFonts w:ascii="Times New Roman" w:hAnsi="Times New Roman"/>
          <w:b w:val="0"/>
          <w:i/>
          <w:sz w:val="24"/>
        </w:rPr>
        <w:t>Generate</w:t>
      </w:r>
      <w:r>
        <w:rPr>
          <w:rFonts w:ascii="Times New Roman" w:hAnsi="Times New Roman"/>
          <w:b w:val="0"/>
          <w:i w:val="0"/>
          <w:sz w:val="24"/>
        </w:rPr>
        <w:t>, they can switch between the plain RDF/Turtle tab and the OWL+SULO tab without leaving the page. The difference is concrete and attributable to specific choices they made.</w:t>
      </w:r>
    </w:p>
    <w:p>
      <w:pPr>
        <w:spacing w:before="200" w:after="80"/>
      </w:pPr>
      <w:r>
        <w:rPr>
          <w:rFonts w:ascii="Times New Roman" w:hAnsi="Times New Roman"/>
          <w:b/>
          <w:sz w:val="24"/>
        </w:rPr>
        <w:t>6.2 Demonstrating What Ontologies Add</w:t>
      </w:r>
    </w:p>
    <w:p>
      <w:pPr>
        <w:spacing w:before="40" w:after="120"/>
        <w:jc w:val="both"/>
      </w:pPr>
      <w:r>
        <w:rPr>
          <w:rFonts w:ascii="Times New Roman" w:hAnsi="Times New Roman"/>
          <w:b w:val="0"/>
          <w:i w:val="0"/>
          <w:sz w:val="24"/>
        </w:rPr>
        <w:t>Three comparison points are particularly effective pedagogically:</w:t>
      </w:r>
    </w:p>
    <w:p>
      <w:pPr>
        <w:spacing w:before="40" w:after="120"/>
        <w:jc w:val="both"/>
      </w:pPr>
      <w:r>
        <w:rPr>
          <w:rFonts w:ascii="Times New Roman" w:hAnsi="Times New Roman"/>
          <w:b/>
          <w:i w:val="0"/>
          <w:sz w:val="24"/>
        </w:rPr>
        <w:t>Structural vs. semantic subsumption</w:t>
      </w:r>
      <w:r>
        <w:rPr>
          <w:rFonts w:ascii="Times New Roman" w:hAnsi="Times New Roman"/>
          <w:b w:val="0"/>
          <w:i w:val="0"/>
          <w:sz w:val="24"/>
        </w:rPr>
        <w:t xml:space="preserve"> — In the plain Turtle, </w:t>
      </w:r>
      <w:r>
        <w:rPr>
          <w:rFonts w:ascii="Courier New" w:hAnsi="Courier New"/>
          <w:b w:val="0"/>
          <w:i w:val="0"/>
          <w:sz w:val="24"/>
        </w:rPr>
        <w:t>:MeasurementProcess rdfs:subClassOf :MedicalProcedure</w:t>
      </w:r>
      <w:r>
        <w:rPr>
          <w:rFonts w:ascii="Times New Roman" w:hAnsi="Times New Roman"/>
          <w:b w:val="0"/>
          <w:i w:val="0"/>
          <w:sz w:val="24"/>
        </w:rPr>
        <w:t xml:space="preserve"> is a structural assertion. In the OWL+SULO export, both classes carry </w:t>
      </w:r>
      <w:r>
        <w:rPr>
          <w:rFonts w:ascii="Courier New" w:hAnsi="Courier New"/>
          <w:b w:val="0"/>
          <w:i w:val="0"/>
          <w:sz w:val="24"/>
        </w:rPr>
        <w:t>owl:equivalentClass sulo:Process</w:t>
      </w:r>
      <w:r>
        <w:rPr>
          <w:rFonts w:ascii="Times New Roman" w:hAnsi="Times New Roman"/>
          <w:b w:val="0"/>
          <w:i w:val="0"/>
          <w:sz w:val="24"/>
        </w:rPr>
        <w:t xml:space="preserve">, making their shared nature machine-inferrable. An OWL reasoner can deduce that any individual that is a </w:t>
      </w:r>
      <w:r>
        <w:rPr>
          <w:rFonts w:ascii="Courier New" w:hAnsi="Courier New"/>
          <w:b w:val="0"/>
          <w:i w:val="0"/>
          <w:sz w:val="24"/>
        </w:rPr>
        <w:t>MeasurementProcess</w:t>
      </w:r>
      <w:r>
        <w:rPr>
          <w:rFonts w:ascii="Times New Roman" w:hAnsi="Times New Roman"/>
          <w:b w:val="0"/>
          <w:i w:val="0"/>
          <w:sz w:val="24"/>
        </w:rPr>
        <w:t xml:space="preserve"> is also a </w:t>
      </w:r>
      <w:r>
        <w:rPr>
          <w:rFonts w:ascii="Courier New" w:hAnsi="Courier New"/>
          <w:b w:val="0"/>
          <w:i w:val="0"/>
          <w:sz w:val="24"/>
        </w:rPr>
        <w:t>Process</w:t>
      </w:r>
      <w:r>
        <w:rPr>
          <w:rFonts w:ascii="Times New Roman" w:hAnsi="Times New Roman"/>
          <w:b w:val="0"/>
          <w:i w:val="0"/>
          <w:sz w:val="24"/>
        </w:rPr>
        <w:t xml:space="preserve"> in the SULO sense — a query over the SULO graph will find it even if the querier does not know about the local </w:t>
      </w:r>
      <w:r>
        <w:rPr>
          <w:rFonts w:ascii="Courier New" w:hAnsi="Courier New"/>
          <w:b w:val="0"/>
          <w:i w:val="0"/>
          <w:sz w:val="24"/>
        </w:rPr>
        <w:t>:MedicalProcedure</w:t>
      </w:r>
      <w:r>
        <w:rPr>
          <w:rFonts w:ascii="Times New Roman" w:hAnsi="Times New Roman"/>
          <w:b w:val="0"/>
          <w:i w:val="0"/>
          <w:sz w:val="24"/>
        </w:rPr>
        <w:t xml:space="preserve"> class.</w:t>
      </w:r>
    </w:p>
    <w:p>
      <w:pPr>
        <w:spacing w:before="40" w:after="120"/>
        <w:jc w:val="both"/>
      </w:pPr>
      <w:r>
        <w:rPr>
          <w:rFonts w:ascii="Times New Roman" w:hAnsi="Times New Roman"/>
          <w:b/>
          <w:i w:val="0"/>
          <w:sz w:val="24"/>
        </w:rPr>
        <w:t>Role indirection vs. direct linking</w:t>
      </w:r>
      <w:r>
        <w:rPr>
          <w:rFonts w:ascii="Times New Roman" w:hAnsi="Times New Roman"/>
          <w:b w:val="0"/>
          <w:i w:val="0"/>
          <w:sz w:val="24"/>
        </w:rPr>
        <w:t xml:space="preserve"> — A schema designer's first instinct is to write </w:t>
      </w:r>
      <w:r>
        <w:rPr>
          <w:rFonts w:ascii="Courier New" w:hAnsi="Courier New"/>
          <w:b w:val="0"/>
          <w:i w:val="0"/>
          <w:sz w:val="24"/>
        </w:rPr>
        <w:t>:ClinicalVisit :hasPatient :Person</w:t>
      </w:r>
      <w:r>
        <w:rPr>
          <w:rFonts w:ascii="Times New Roman" w:hAnsi="Times New Roman"/>
          <w:b w:val="0"/>
          <w:i w:val="0"/>
          <w:sz w:val="24"/>
        </w:rPr>
        <w:t>. The SULO-aligned OWL export adds the intermediate role class, making it clear that the patient's participation in this specific visit is a distinct entity from the patient themselves. The educational value is the explanation: "if you want to record that the patient was the primary responsible contact in visit A but only an observer in visit B, you need this intermediate node."</w:t>
      </w:r>
    </w:p>
    <w:p>
      <w:pPr>
        <w:spacing w:before="40" w:after="120"/>
        <w:jc w:val="both"/>
      </w:pPr>
      <w:r>
        <w:rPr>
          <w:rFonts w:ascii="Times New Roman" w:hAnsi="Times New Roman"/>
          <w:b/>
          <w:i w:val="0"/>
          <w:sz w:val="24"/>
        </w:rPr>
        <w:t>Union ranges and disjunctions</w:t>
      </w:r>
      <w:r>
        <w:rPr>
          <w:rFonts w:ascii="Times New Roman" w:hAnsi="Times New Roman"/>
          <w:b w:val="0"/>
          <w:i w:val="0"/>
          <w:sz w:val="24"/>
        </w:rPr>
        <w:t xml:space="preserve"> — The </w:t>
      </w:r>
      <w:r>
        <w:rPr>
          <w:rFonts w:ascii="Courier New" w:hAnsi="Courier New"/>
          <w:b w:val="0"/>
          <w:i w:val="0"/>
          <w:sz w:val="24"/>
        </w:rPr>
        <w:t>:hasCode</w:t>
      </w:r>
      <w:r>
        <w:rPr>
          <w:rFonts w:ascii="Times New Roman" w:hAnsi="Times New Roman"/>
          <w:b w:val="0"/>
          <w:i w:val="0"/>
          <w:sz w:val="24"/>
        </w:rPr>
        <w:t xml:space="preserve"> union range on </w:t>
      </w:r>
      <w:r>
        <w:rPr>
          <w:rFonts w:ascii="Courier New" w:hAnsi="Courier New"/>
          <w:b w:val="0"/>
          <w:i w:val="0"/>
          <w:sz w:val="24"/>
        </w:rPr>
        <w:t>:Measurement</w:t>
      </w:r>
      <w:r>
        <w:rPr>
          <w:rFonts w:ascii="Times New Roman" w:hAnsi="Times New Roman"/>
          <w:b w:val="0"/>
          <w:i w:val="0"/>
          <w:sz w:val="24"/>
        </w:rPr>
        <w:t xml:space="preserve"> (</w:t>
      </w:r>
      <w:r>
        <w:rPr>
          <w:rFonts w:ascii="Courier New" w:hAnsi="Courier New"/>
          <w:b w:val="0"/>
          <w:i w:val="0"/>
          <w:sz w:val="24"/>
        </w:rPr>
        <w:t>Code | ObservableEntity</w:t>
      </w:r>
      <w:r>
        <w:rPr>
          <w:rFonts w:ascii="Times New Roman" w:hAnsi="Times New Roman"/>
          <w:b w:val="0"/>
          <w:i w:val="0"/>
          <w:sz w:val="24"/>
        </w:rPr>
        <w:t xml:space="preserve">) is displayed as a single property entry in the Properties panel. In the SHACL export, this becomes an </w:t>
      </w:r>
      <w:r>
        <w:rPr>
          <w:rFonts w:ascii="Courier New" w:hAnsi="Courier New"/>
          <w:b w:val="0"/>
          <w:i w:val="0"/>
          <w:sz w:val="24"/>
        </w:rPr>
        <w:t>sh:or</w:t>
      </w:r>
      <w:r>
        <w:rPr>
          <w:rFonts w:ascii="Times New Roman" w:hAnsi="Times New Roman"/>
          <w:b w:val="0"/>
          <w:i w:val="0"/>
          <w:sz w:val="24"/>
        </w:rPr>
        <w:t xml:space="preserve"> block; in OWL, an </w:t>
      </w:r>
      <w:r>
        <w:rPr>
          <w:rFonts w:ascii="Courier New" w:hAnsi="Courier New"/>
          <w:b w:val="0"/>
          <w:i w:val="0"/>
          <w:sz w:val="24"/>
        </w:rPr>
        <w:t>owl:unionOf</w:t>
      </w:r>
      <w:r>
        <w:rPr>
          <w:rFonts w:ascii="Times New Roman" w:hAnsi="Times New Roman"/>
          <w:b w:val="0"/>
          <w:i w:val="0"/>
          <w:sz w:val="24"/>
        </w:rPr>
        <w:t>. Switching between tabs makes visible that the same user intent ("this property can point to either of these two classes") requires syntactically different expressions in SHACL and OWL — motivating a discussion of why the two languages exist and what each is optimised for.</w:t>
      </w:r>
    </w:p>
    <w:p>
      <w:pPr>
        <w:spacing w:before="200" w:after="80"/>
      </w:pPr>
      <w:r>
        <w:rPr>
          <w:rFonts w:ascii="Times New Roman" w:hAnsi="Times New Roman"/>
          <w:b/>
          <w:sz w:val="24"/>
        </w:rPr>
        <w:t>6.3 The "Load Example" as a Teaching Artefact</w:t>
      </w:r>
    </w:p>
    <w:p>
      <w:pPr>
        <w:spacing w:before="40" w:after="120"/>
        <w:jc w:val="both"/>
      </w:pPr>
      <w:r>
        <w:rPr>
          <w:rFonts w:ascii="Times New Roman" w:hAnsi="Times New Roman"/>
          <w:b w:val="0"/>
          <w:i w:val="0"/>
          <w:sz w:val="24"/>
        </w:rPr>
        <w:t xml:space="preserve">The </w:t>
      </w:r>
      <w:r>
        <w:rPr>
          <w:rFonts w:ascii="Times New Roman" w:hAnsi="Times New Roman"/>
          <w:b w:val="0"/>
          <w:i/>
          <w:sz w:val="24"/>
        </w:rPr>
        <w:t>Load Example</w:t>
      </w:r>
      <w:r>
        <w:rPr>
          <w:rFonts w:ascii="Times New Roman" w:hAnsi="Times New Roman"/>
          <w:b w:val="0"/>
          <w:i w:val="0"/>
          <w:sz w:val="24"/>
        </w:rPr>
        <w:t xml:space="preserve"> button populates a complete Clinical Health Record Schema with 28 classes and over 80 properties in a single click. Figure 10 shows the interactive ReactFlow diagram generated from this schema. This ready-made schema is designed to serve as a teaching artefact:</w:t>
      </w:r>
    </w:p>
    <w:p>
      <w:pPr>
        <w:spacing w:before="120" w:after="0"/>
      </w:pPr>
    </w:p>
    <w:p>
      <w:pPr>
        <w:spacing w:before="40" w:after="40"/>
        <w:jc w:val="center"/>
      </w:pPr>
      <w:r>
        <w:drawing>
          <wp:inline xmlns:a="http://schemas.openxmlformats.org/drawingml/2006/main" xmlns:pic="http://schemas.openxmlformats.org/drawingml/2006/picture">
            <wp:extent cx="5029200" cy="3233057"/>
            <wp:docPr id="10" name="Picture 10"/>
            <wp:cNvGraphicFramePr>
              <a:graphicFrameLocks noChangeAspect="1"/>
            </wp:cNvGraphicFramePr>
            <a:graphic>
              <a:graphicData uri="http://schemas.openxmlformats.org/drawingml/2006/picture">
                <pic:pic>
                  <pic:nvPicPr>
                    <pic:cNvPr id="0" name="12_uml_diagram.png"/>
                    <pic:cNvPicPr/>
                  </pic:nvPicPr>
                  <pic:blipFill>
                    <a:blip r:embed="rId18"/>
                    <a:stretch>
                      <a:fillRect/>
                    </a:stretch>
                  </pic:blipFill>
                  <pic:spPr>
                    <a:xfrm>
                      <a:off x="0" y="0"/>
                      <a:ext cx="5029200" cy="3233057"/>
                    </a:xfrm>
                    <a:prstGeom prst="rect"/>
                  </pic:spPr>
                </pic:pic>
              </a:graphicData>
            </a:graphic>
          </wp:inline>
        </w:drawing>
      </w:r>
    </w:p>
    <w:p>
      <w:pPr>
        <w:spacing w:before="40" w:after="200"/>
        <w:jc w:val="center"/>
      </w:pPr>
      <w:r>
        <w:rPr>
          <w:rFonts w:ascii="Times New Roman" w:hAnsi="Times New Roman"/>
          <w:i/>
          <w:color w:val="444444"/>
          <w:sz w:val="20"/>
        </w:rPr>
        <w:t>Figure 10: Interactive ReactFlow UML class diagram for the Clinical Health Record schema — nodes are draggable; edges represent properties and inheritance.</w:t>
      </w:r>
    </w:p>
    <w:p>
      <w:pPr>
        <w:pStyle w:val="ListBullet"/>
        <w:spacing w:before="20" w:after="20"/>
        <w:ind w:left="360"/>
      </w:pPr>
      <w:r>
        <w:rPr>
          <w:rFonts w:ascii="Times New Roman" w:hAnsi="Times New Roman"/>
          <w:b w:val="0"/>
          <w:i w:val="0"/>
          <w:sz w:val="24"/>
        </w:rPr>
        <w:t>Instructors can demonstrate the full export pipeline without students needing to build a schema from scratch</w:t>
      </w:r>
    </w:p>
    <w:p>
      <w:pPr>
        <w:pStyle w:val="ListBullet"/>
        <w:spacing w:before="20" w:after="20"/>
        <w:ind w:left="360"/>
      </w:pPr>
      <w:r>
        <w:rPr>
          <w:rFonts w:ascii="Times New Roman" w:hAnsi="Times New Roman"/>
          <w:b w:val="0"/>
          <w:i w:val="0"/>
          <w:sz w:val="24"/>
        </w:rPr>
        <w:t xml:space="preserve">The </w:t>
      </w:r>
      <w:r>
        <w:rPr>
          <w:rFonts w:ascii="Courier New" w:hAnsi="Courier New"/>
          <w:b w:val="0"/>
          <w:i w:val="0"/>
          <w:sz w:val="24"/>
        </w:rPr>
        <w:t>Code</w:t>
      </w:r>
      <w:r>
        <w:rPr>
          <w:rFonts w:ascii="Times New Roman" w:hAnsi="Times New Roman"/>
          <w:b w:val="0"/>
          <w:i w:val="0"/>
          <w:sz w:val="24"/>
        </w:rPr>
        <w:t>/</w:t>
      </w:r>
      <w:r>
        <w:rPr>
          <w:rFonts w:ascii="Courier New" w:hAnsi="Courier New"/>
          <w:b w:val="0"/>
          <w:i w:val="0"/>
          <w:sz w:val="24"/>
        </w:rPr>
        <w:t>hasCode</w:t>
      </w:r>
      <w:r>
        <w:rPr>
          <w:rFonts w:ascii="Times New Roman" w:hAnsi="Times New Roman"/>
          <w:b w:val="0"/>
          <w:i w:val="0"/>
          <w:sz w:val="24"/>
        </w:rPr>
        <w:t xml:space="preserve"> pattern shows the AIDAVA/SPHN design pattern in a running, editable form</w:t>
      </w:r>
    </w:p>
    <w:p>
      <w:pPr>
        <w:pStyle w:val="ListBullet"/>
        <w:spacing w:before="20" w:after="20"/>
        <w:ind w:left="360"/>
      </w:pPr>
      <w:r>
        <w:rPr>
          <w:rFonts w:ascii="Times New Roman" w:hAnsi="Times New Roman"/>
          <w:b w:val="0"/>
          <w:i w:val="0"/>
          <w:sz w:val="24"/>
        </w:rPr>
        <w:t>The SNOMED CT class alignments (</w:t>
      </w:r>
      <w:r>
        <w:rPr>
          <w:rFonts w:ascii="Courier New" w:hAnsi="Courier New"/>
          <w:b w:val="0"/>
          <w:i w:val="0"/>
          <w:sz w:val="24"/>
        </w:rPr>
        <w:t>ObservableEntity</w:t>
      </w:r>
      <w:r>
        <w:rPr>
          <w:rFonts w:ascii="Times New Roman" w:hAnsi="Times New Roman"/>
          <w:b w:val="0"/>
          <w:i w:val="0"/>
          <w:sz w:val="24"/>
        </w:rPr>
        <w:t xml:space="preserve">, </w:t>
      </w:r>
      <w:r>
        <w:rPr>
          <w:rFonts w:ascii="Courier New" w:hAnsi="Courier New"/>
          <w:b w:val="0"/>
          <w:i w:val="0"/>
          <w:sz w:val="24"/>
        </w:rPr>
        <w:t>SCT_Procedure</w:t>
      </w:r>
      <w:r>
        <w:rPr>
          <w:rFonts w:ascii="Times New Roman" w:hAnsi="Times New Roman"/>
          <w:b w:val="0"/>
          <w:i w:val="0"/>
          <w:sz w:val="24"/>
        </w:rPr>
        <w:t>) show how external concept URIs can be integrated as first-class citizens of a schema</w:t>
      </w:r>
    </w:p>
    <w:p>
      <w:pPr>
        <w:pStyle w:val="ListBullet"/>
        <w:spacing w:before="20" w:after="20"/>
        <w:ind w:left="360"/>
      </w:pPr>
      <w:r>
        <w:rPr>
          <w:rFonts w:ascii="Times New Roman" w:hAnsi="Times New Roman"/>
          <w:b w:val="0"/>
          <w:i w:val="0"/>
          <w:sz w:val="24"/>
        </w:rPr>
        <w:t xml:space="preserve">The OMOP CDM example, also loadable via </w:t>
      </w:r>
      <w:r>
        <w:rPr>
          <w:rFonts w:ascii="Times New Roman" w:hAnsi="Times New Roman"/>
          <w:b w:val="0"/>
          <w:i/>
          <w:sz w:val="24"/>
        </w:rPr>
        <w:t>Load OMOP Example</w:t>
      </w:r>
      <w:r>
        <w:rPr>
          <w:rFonts w:ascii="Times New Roman" w:hAnsi="Times New Roman"/>
          <w:b w:val="0"/>
          <w:i w:val="0"/>
          <w:sz w:val="24"/>
        </w:rPr>
        <w:t>, provides a contrasting schema that covers the same clinical domain in a different structural style, enabling side-by-side comparison</w:t>
      </w:r>
    </w:p>
    <w:p>
      <w:pPr>
        <w:spacing w:before="200" w:after="80"/>
      </w:pPr>
      <w:r>
        <w:rPr>
          <w:rFonts w:ascii="Times New Roman" w:hAnsi="Times New Roman"/>
          <w:b/>
          <w:sz w:val="24"/>
        </w:rPr>
        <w:t>6.4 Showing What Schemas Cannot Check</w:t>
      </w:r>
    </w:p>
    <w:p>
      <w:pPr>
        <w:spacing w:before="40" w:after="120"/>
        <w:jc w:val="both"/>
      </w:pPr>
      <w:r>
        <w:rPr>
          <w:rFonts w:ascii="Times New Roman" w:hAnsi="Times New Roman"/>
          <w:b w:val="0"/>
          <w:i w:val="0"/>
          <w:sz w:val="24"/>
        </w:rPr>
        <w:t xml:space="preserve">A useful pedagogical exercise is to ask: "what constraints can an OWL reasoner catch that a SHACL validator cannot?" The mapping patterns make this concrete. The SHACL shapes validate that every </w:t>
      </w:r>
      <w:r>
        <w:rPr>
          <w:rFonts w:ascii="Courier New" w:hAnsi="Courier New"/>
          <w:b w:val="0"/>
          <w:i w:val="0"/>
          <w:sz w:val="24"/>
        </w:rPr>
        <w:t>Measurement</w:t>
      </w:r>
      <w:r>
        <w:rPr>
          <w:rFonts w:ascii="Times New Roman" w:hAnsi="Times New Roman"/>
          <w:b w:val="0"/>
          <w:i w:val="0"/>
          <w:sz w:val="24"/>
        </w:rPr>
        <w:t xml:space="preserve"> has a </w:t>
      </w:r>
      <w:r>
        <w:rPr>
          <w:rFonts w:ascii="Courier New" w:hAnsi="Courier New"/>
          <w:b w:val="0"/>
          <w:i w:val="0"/>
          <w:sz w:val="24"/>
        </w:rPr>
        <w:t>:hasCode</w:t>
      </w:r>
      <w:r>
        <w:rPr>
          <w:rFonts w:ascii="Times New Roman" w:hAnsi="Times New Roman"/>
          <w:b w:val="0"/>
          <w:i w:val="0"/>
          <w:sz w:val="24"/>
        </w:rPr>
        <w:t xml:space="preserve"> property pointing to an instance of </w:t>
      </w:r>
      <w:r>
        <w:rPr>
          <w:rFonts w:ascii="Courier New" w:hAnsi="Courier New"/>
          <w:b w:val="0"/>
          <w:i w:val="0"/>
          <w:sz w:val="24"/>
        </w:rPr>
        <w:t>:Code</w:t>
      </w:r>
      <w:r>
        <w:rPr>
          <w:rFonts w:ascii="Times New Roman" w:hAnsi="Times New Roman"/>
          <w:b w:val="0"/>
          <w:i w:val="0"/>
          <w:sz w:val="24"/>
        </w:rPr>
        <w:t xml:space="preserve"> or </w:t>
      </w:r>
      <w:r>
        <w:rPr>
          <w:rFonts w:ascii="Courier New" w:hAnsi="Courier New"/>
          <w:b w:val="0"/>
          <w:i w:val="0"/>
          <w:sz w:val="24"/>
        </w:rPr>
        <w:t>:ObservableEntity</w:t>
      </w:r>
      <w:r>
        <w:rPr>
          <w:rFonts w:ascii="Times New Roman" w:hAnsi="Times New Roman"/>
          <w:b w:val="0"/>
          <w:i w:val="0"/>
          <w:sz w:val="24"/>
        </w:rPr>
        <w:t xml:space="preserve">. The OWL axioms additionally assert that any individual that is the object of a </w:t>
      </w:r>
      <w:r>
        <w:rPr>
          <w:rFonts w:ascii="Courier New" w:hAnsi="Courier New"/>
          <w:b w:val="0"/>
          <w:i w:val="0"/>
          <w:sz w:val="24"/>
        </w:rPr>
        <w:t>sulo:hasFeature</w:t>
      </w:r>
      <w:r>
        <w:rPr>
          <w:rFonts w:ascii="Times New Roman" w:hAnsi="Times New Roman"/>
          <w:b w:val="0"/>
          <w:i w:val="0"/>
          <w:sz w:val="24"/>
        </w:rPr>
        <w:t xml:space="preserve"> triple from a </w:t>
      </w:r>
      <w:r>
        <w:rPr>
          <w:rFonts w:ascii="Courier New" w:hAnsi="Courier New"/>
          <w:b w:val="0"/>
          <w:i w:val="0"/>
          <w:sz w:val="24"/>
        </w:rPr>
        <w:t>sulo:InformationObject</w:t>
      </w:r>
      <w:r>
        <w:rPr>
          <w:rFonts w:ascii="Times New Roman" w:hAnsi="Times New Roman"/>
          <w:b w:val="0"/>
          <w:i w:val="0"/>
          <w:sz w:val="24"/>
        </w:rPr>
        <w:t xml:space="preserve"> is — by the equivalence axiom — a </w:t>
      </w:r>
      <w:r>
        <w:rPr>
          <w:rFonts w:ascii="Courier New" w:hAnsi="Courier New"/>
          <w:b w:val="0"/>
          <w:i w:val="0"/>
          <w:sz w:val="24"/>
        </w:rPr>
        <w:t>Code</w:t>
      </w:r>
      <w:r>
        <w:rPr>
          <w:rFonts w:ascii="Times New Roman" w:hAnsi="Times New Roman"/>
          <w:b w:val="0"/>
          <w:i w:val="0"/>
          <w:sz w:val="24"/>
        </w:rPr>
        <w:t xml:space="preserve"> instance. A reasoner that materialises the SULO graph can detect if two datasets disagree about the type of a coding entity. This constraint, which is invisible to SHACL, is made visible in the OWL export tab.</w:t>
      </w:r>
    </w:p>
    <w:p>
      <w:pPr>
        <w:spacing w:before="120" w:after="120"/>
      </w:pPr>
      <w:r>
        <w:rPr>
          <w:color w:val="CCCCCC"/>
          <w:sz w:val="16"/>
        </w:rPr>
        <w:t>────────────────────────────────────────────────────────────</w:t>
      </w:r>
    </w:p>
    <w:p>
      <w:pPr>
        <w:spacing w:before="200" w:after="80"/>
      </w:pPr>
      <w:r>
        <w:rPr>
          <w:rFonts w:ascii="Times New Roman" w:hAnsi="Times New Roman"/>
          <w:b/>
          <w:sz w:val="28"/>
        </w:rPr>
        <w:t>7. Evaluation and Discussion</w:t>
      </w:r>
    </w:p>
    <w:p>
      <w:pPr>
        <w:spacing w:before="200" w:after="80"/>
      </w:pPr>
      <w:r>
        <w:rPr>
          <w:rFonts w:ascii="Times New Roman" w:hAnsi="Times New Roman"/>
          <w:b/>
          <w:sz w:val="24"/>
        </w:rPr>
        <w:t>7.1 Clinical Health Record Case Study</w:t>
      </w:r>
    </w:p>
    <w:p>
      <w:pPr>
        <w:spacing w:before="40" w:after="120"/>
        <w:jc w:val="both"/>
      </w:pPr>
      <w:r>
        <w:rPr>
          <w:rFonts w:ascii="Times New Roman" w:hAnsi="Times New Roman"/>
          <w:b w:val="0"/>
          <w:i w:val="0"/>
          <w:sz w:val="24"/>
        </w:rPr>
        <w:t xml:space="preserve">The Clinical Health Record Schema loaded by the </w:t>
      </w:r>
      <w:r>
        <w:rPr>
          <w:rFonts w:ascii="Times New Roman" w:hAnsi="Times New Roman"/>
          <w:b w:val="0"/>
          <w:i/>
          <w:sz w:val="24"/>
        </w:rPr>
        <w:t>Load Example</w:t>
      </w:r>
      <w:r>
        <w:rPr>
          <w:rFonts w:ascii="Times New Roman" w:hAnsi="Times New Roman"/>
          <w:b w:val="0"/>
          <w:i w:val="0"/>
          <w:sz w:val="24"/>
        </w:rPr>
        <w:t xml:space="preserve"> button comprises:</w:t>
      </w:r>
    </w:p>
    <w:p>
      <w:pPr>
        <w:pStyle w:val="ListBullet"/>
        <w:spacing w:before="20" w:after="20"/>
        <w:ind w:left="360"/>
      </w:pPr>
      <w:r>
        <w:rPr>
          <w:rFonts w:ascii="Times New Roman" w:hAnsi="Times New Roman"/>
          <w:b w:val="0"/>
          <w:i w:val="0"/>
          <w:sz w:val="24"/>
        </w:rPr>
        <w:t>28 classes, of which 26 are aligned to SULO concepts and 2 (</w:t>
      </w:r>
      <w:r>
        <w:rPr>
          <w:rFonts w:ascii="Courier New" w:hAnsi="Courier New"/>
          <w:b w:val="0"/>
          <w:i w:val="0"/>
          <w:sz w:val="24"/>
        </w:rPr>
        <w:t>ObservableEntity</w:t>
      </w:r>
      <w:r>
        <w:rPr>
          <w:rFonts w:ascii="Times New Roman" w:hAnsi="Times New Roman"/>
          <w:b w:val="0"/>
          <w:i w:val="0"/>
          <w:sz w:val="24"/>
        </w:rPr>
        <w:t xml:space="preserve">, </w:t>
      </w:r>
      <w:r>
        <w:rPr>
          <w:rFonts w:ascii="Courier New" w:hAnsi="Courier New"/>
          <w:b w:val="0"/>
          <w:i w:val="0"/>
          <w:sz w:val="24"/>
        </w:rPr>
        <w:t>SCT_Procedure</w:t>
      </w:r>
      <w:r>
        <w:rPr>
          <w:rFonts w:ascii="Times New Roman" w:hAnsi="Times New Roman"/>
          <w:b w:val="0"/>
          <w:i w:val="0"/>
          <w:sz w:val="24"/>
        </w:rPr>
        <w:t>) are aligned to SNOMED CT URIs</w:t>
      </w:r>
    </w:p>
    <w:p>
      <w:pPr>
        <w:pStyle w:val="ListBullet"/>
        <w:spacing w:before="20" w:after="20"/>
        <w:ind w:left="360"/>
      </w:pPr>
      <w:r>
        <w:rPr>
          <w:rFonts w:ascii="Times New Roman" w:hAnsi="Times New Roman"/>
          <w:b w:val="0"/>
          <w:i w:val="0"/>
          <w:sz w:val="24"/>
        </w:rPr>
        <w:t>83 properties, of which 48 are object properties (linking schema classes) and 35 are datatype properties (XSD literals)</w:t>
      </w:r>
    </w:p>
    <w:p>
      <w:pPr>
        <w:pStyle w:val="ListBullet"/>
        <w:spacing w:before="20" w:after="20"/>
        <w:ind w:left="360"/>
      </w:pPr>
      <w:r>
        <w:rPr>
          <w:rFonts w:ascii="Times New Roman" w:hAnsi="Times New Roman"/>
          <w:b w:val="0"/>
          <w:i w:val="0"/>
          <w:sz w:val="24"/>
        </w:rPr>
        <w:t>3 classes with superclass relationships (</w:t>
      </w:r>
      <w:r>
        <w:rPr>
          <w:rFonts w:ascii="Courier New" w:hAnsi="Courier New"/>
          <w:b w:val="0"/>
          <w:i w:val="0"/>
          <w:sz w:val="24"/>
        </w:rPr>
        <w:t>MeasurementProcess</w:t>
      </w:r>
      <w:r>
        <w:rPr>
          <w:rFonts w:ascii="Times New Roman" w:hAnsi="Times New Roman"/>
          <w:b w:val="0"/>
          <w:i w:val="0"/>
          <w:sz w:val="24"/>
        </w:rPr>
        <w:t xml:space="preserve">, </w:t>
      </w:r>
      <w:r>
        <w:rPr>
          <w:rFonts w:ascii="Courier New" w:hAnsi="Courier New"/>
          <w:b w:val="0"/>
          <w:i w:val="0"/>
          <w:sz w:val="24"/>
        </w:rPr>
        <w:t>EvaluationProcess</w:t>
      </w:r>
      <w:r>
        <w:rPr>
          <w:rFonts w:ascii="Times New Roman" w:hAnsi="Times New Roman"/>
          <w:b w:val="0"/>
          <w:i w:val="0"/>
          <w:sz w:val="24"/>
        </w:rPr>
        <w:t xml:space="preserve">, </w:t>
      </w:r>
      <w:r>
        <w:rPr>
          <w:rFonts w:ascii="Courier New" w:hAnsi="Courier New"/>
          <w:b w:val="0"/>
          <w:i w:val="0"/>
          <w:sz w:val="24"/>
        </w:rPr>
        <w:t>MedicationAdministration</w:t>
      </w:r>
      <w:r>
        <w:rPr>
          <w:rFonts w:ascii="Times New Roman" w:hAnsi="Times New Roman"/>
          <w:b w:val="0"/>
          <w:i w:val="0"/>
          <w:sz w:val="24"/>
        </w:rPr>
        <w:t xml:space="preserve"> as subclasses of </w:t>
      </w:r>
      <w:r>
        <w:rPr>
          <w:rFonts w:ascii="Courier New" w:hAnsi="Courier New"/>
          <w:b w:val="0"/>
          <w:i w:val="0"/>
          <w:sz w:val="24"/>
        </w:rPr>
        <w:t>MedicalProcedure</w:t>
      </w:r>
      <w:r>
        <w:rPr>
          <w:rFonts w:ascii="Times New Roman" w:hAnsi="Times New Roman"/>
          <w:b w:val="0"/>
          <w:i w:val="0"/>
          <w:sz w:val="24"/>
        </w:rPr>
        <w:t xml:space="preserve">; </w:t>
      </w:r>
      <w:r>
        <w:rPr>
          <w:rFonts w:ascii="Courier New" w:hAnsi="Courier New"/>
          <w:b w:val="0"/>
          <w:i w:val="0"/>
          <w:sz w:val="24"/>
        </w:rPr>
        <w:t>ObservableEntity</w:t>
      </w:r>
      <w:r>
        <w:rPr>
          <w:rFonts w:ascii="Times New Roman" w:hAnsi="Times New Roman"/>
          <w:b w:val="0"/>
          <w:i w:val="0"/>
          <w:sz w:val="24"/>
        </w:rPr>
        <w:t xml:space="preserve"> and </w:t>
      </w:r>
      <w:r>
        <w:rPr>
          <w:rFonts w:ascii="Courier New" w:hAnsi="Courier New"/>
          <w:b w:val="0"/>
          <w:i w:val="0"/>
          <w:sz w:val="24"/>
        </w:rPr>
        <w:t>SCT_Procedure</w:t>
      </w:r>
      <w:r>
        <w:rPr>
          <w:rFonts w:ascii="Times New Roman" w:hAnsi="Times New Roman"/>
          <w:b w:val="0"/>
          <w:i w:val="0"/>
          <w:sz w:val="24"/>
        </w:rPr>
        <w:t xml:space="preserve"> as subclasses of </w:t>
      </w:r>
      <w:r>
        <w:rPr>
          <w:rFonts w:ascii="Courier New" w:hAnsi="Courier New"/>
          <w:b w:val="0"/>
          <w:i w:val="0"/>
          <w:sz w:val="24"/>
        </w:rPr>
        <w:t>Code</w:t>
      </w:r>
      <w:r>
        <w:rPr>
          <w:rFonts w:ascii="Times New Roman" w:hAnsi="Times New Roman"/>
          <w:b w:val="0"/>
          <w:i w:val="0"/>
          <w:sz w:val="24"/>
        </w:rPr>
        <w:t>)</w:t>
      </w:r>
    </w:p>
    <w:p>
      <w:pPr>
        <w:pStyle w:val="ListBullet"/>
        <w:spacing w:before="20" w:after="20"/>
        <w:ind w:left="360"/>
      </w:pPr>
      <w:r>
        <w:rPr>
          <w:rFonts w:ascii="Times New Roman" w:hAnsi="Times New Roman"/>
          <w:b w:val="0"/>
          <w:i w:val="0"/>
          <w:sz w:val="24"/>
        </w:rPr>
        <w:t xml:space="preserve">16 </w:t>
      </w:r>
      <w:r>
        <w:rPr>
          <w:rFonts w:ascii="Courier New" w:hAnsi="Courier New"/>
          <w:b w:val="0"/>
          <w:i w:val="0"/>
          <w:sz w:val="24"/>
        </w:rPr>
        <w:t>hasCode</w:t>
      </w:r>
      <w:r>
        <w:rPr>
          <w:rFonts w:ascii="Times New Roman" w:hAnsi="Times New Roman"/>
          <w:b w:val="0"/>
          <w:i w:val="0"/>
          <w:sz w:val="24"/>
        </w:rPr>
        <w:t xml:space="preserve"> properties (one per clinical class) with mapping pattern </w:t>
      </w:r>
      <w:r>
        <w:rPr>
          <w:rFonts w:ascii="Courier New" w:hAnsi="Courier New"/>
          <w:b w:val="0"/>
          <w:i w:val="0"/>
          <w:sz w:val="24"/>
        </w:rPr>
        <w:t>?this → sulo:hasFeature → ?value</w:t>
      </w:r>
      <w:r>
        <w:rPr>
          <w:rFonts w:ascii="Times New Roman" w:hAnsi="Times New Roman"/>
          <w:b w:val="0"/>
          <w:i w:val="0"/>
          <w:sz w:val="24"/>
        </w:rPr>
        <w:t>, demonstrating the AIDAVA code pattern at scale</w:t>
      </w:r>
    </w:p>
    <w:p>
      <w:pPr>
        <w:pStyle w:val="ListBullet"/>
        <w:spacing w:before="20" w:after="20"/>
        <w:ind w:left="360"/>
      </w:pPr>
      <w:r>
        <w:rPr>
          <w:rFonts w:ascii="Times New Roman" w:hAnsi="Times New Roman"/>
          <w:b w:val="0"/>
          <w:i w:val="0"/>
          <w:sz w:val="24"/>
        </w:rPr>
        <w:t xml:space="preserve">2 union-range properties on </w:t>
      </w:r>
      <w:r>
        <w:rPr>
          <w:rFonts w:ascii="Courier New" w:hAnsi="Courier New"/>
          <w:b w:val="0"/>
          <w:i w:val="0"/>
          <w:sz w:val="24"/>
        </w:rPr>
        <w:t>Measurement</w:t>
      </w:r>
      <w:r>
        <w:rPr>
          <w:rFonts w:ascii="Times New Roman" w:hAnsi="Times New Roman"/>
          <w:b w:val="0"/>
          <w:i w:val="0"/>
          <w:sz w:val="24"/>
        </w:rPr>
        <w:t xml:space="preserve"> (</w:t>
      </w:r>
      <w:r>
        <w:rPr>
          <w:rFonts w:ascii="Courier New" w:hAnsi="Courier New"/>
          <w:b w:val="0"/>
          <w:i w:val="0"/>
          <w:sz w:val="24"/>
        </w:rPr>
        <w:t>hasCode → Code | ObservableEntity</w:t>
      </w:r>
      <w:r>
        <w:rPr>
          <w:rFonts w:ascii="Times New Roman" w:hAnsi="Times New Roman"/>
          <w:b w:val="0"/>
          <w:i w:val="0"/>
          <w:sz w:val="24"/>
        </w:rPr>
        <w:t xml:space="preserve">) and </w:t>
      </w:r>
      <w:r>
        <w:rPr>
          <w:rFonts w:ascii="Courier New" w:hAnsi="Courier New"/>
          <w:b w:val="0"/>
          <w:i w:val="0"/>
          <w:sz w:val="24"/>
        </w:rPr>
        <w:t>MedicalProcedure</w:t>
      </w:r>
      <w:r>
        <w:rPr>
          <w:rFonts w:ascii="Times New Roman" w:hAnsi="Times New Roman"/>
          <w:b w:val="0"/>
          <w:i w:val="0"/>
          <w:sz w:val="24"/>
        </w:rPr>
        <w:t xml:space="preserve"> (</w:t>
      </w:r>
      <w:r>
        <w:rPr>
          <w:rFonts w:ascii="Courier New" w:hAnsi="Courier New"/>
          <w:b w:val="0"/>
          <w:i w:val="0"/>
          <w:sz w:val="24"/>
        </w:rPr>
        <w:t>hasCode → Code | SCT_Procedure</w:t>
      </w:r>
      <w:r>
        <w:rPr>
          <w:rFonts w:ascii="Times New Roman" w:hAnsi="Times New Roman"/>
          <w:b w:val="0"/>
          <w:i w:val="0"/>
          <w:sz w:val="24"/>
        </w:rPr>
        <w:t xml:space="preserve">), exported as </w:t>
      </w:r>
      <w:r>
        <w:rPr>
          <w:rFonts w:ascii="Courier New" w:hAnsi="Courier New"/>
          <w:b w:val="0"/>
          <w:i w:val="0"/>
          <w:sz w:val="24"/>
        </w:rPr>
        <w:t>owl:unionOf</w:t>
      </w:r>
      <w:r>
        <w:rPr>
          <w:rFonts w:ascii="Times New Roman" w:hAnsi="Times New Roman"/>
          <w:b w:val="0"/>
          <w:i w:val="0"/>
          <w:sz w:val="24"/>
        </w:rPr>
        <w:t xml:space="preserve"> and </w:t>
      </w:r>
      <w:r>
        <w:rPr>
          <w:rFonts w:ascii="Courier New" w:hAnsi="Courier New"/>
          <w:b w:val="0"/>
          <w:i w:val="0"/>
          <w:sz w:val="24"/>
        </w:rPr>
        <w:t>sh:or</w:t>
      </w:r>
      <w:r>
        <w:rPr>
          <w:rFonts w:ascii="Times New Roman" w:hAnsi="Times New Roman"/>
          <w:b w:val="0"/>
          <w:i w:val="0"/>
          <w:sz w:val="24"/>
        </w:rPr>
        <w:t xml:space="preserve"> respectively</w:t>
      </w:r>
    </w:p>
    <w:p>
      <w:pPr>
        <w:spacing w:before="40" w:after="120"/>
        <w:jc w:val="both"/>
      </w:pPr>
      <w:r>
        <w:rPr>
          <w:rFonts w:ascii="Times New Roman" w:hAnsi="Times New Roman"/>
          <w:b w:val="0"/>
          <w:i w:val="0"/>
          <w:sz w:val="24"/>
        </w:rPr>
        <w:t xml:space="preserve">The OWL export for this schema generates 121 </w:t>
      </w:r>
      <w:r>
        <w:rPr>
          <w:rFonts w:ascii="Courier New" w:hAnsi="Courier New"/>
          <w:b w:val="0"/>
          <w:i w:val="0"/>
          <w:sz w:val="24"/>
        </w:rPr>
        <w:t>owl:equivalentClass</w:t>
      </w:r>
      <w:r>
        <w:rPr>
          <w:rFonts w:ascii="Times New Roman" w:hAnsi="Times New Roman"/>
          <w:b w:val="0"/>
          <w:i w:val="0"/>
          <w:sz w:val="24"/>
        </w:rPr>
        <w:t xml:space="preserve"> axioms and 16 property restriction blocks. The SHACL export generates 28 node shapes with a total of 83 property constraints, 2 of which contain </w:t>
      </w:r>
      <w:r>
        <w:rPr>
          <w:rFonts w:ascii="Courier New" w:hAnsi="Courier New"/>
          <w:b w:val="0"/>
          <w:i w:val="0"/>
          <w:sz w:val="24"/>
        </w:rPr>
        <w:t>sh:or</w:t>
      </w:r>
      <w:r>
        <w:rPr>
          <w:rFonts w:ascii="Times New Roman" w:hAnsi="Times New Roman"/>
          <w:b w:val="0"/>
          <w:i w:val="0"/>
          <w:sz w:val="24"/>
        </w:rPr>
        <w:t xml:space="preserve"> union blocks.</w:t>
      </w:r>
    </w:p>
    <w:p>
      <w:pPr>
        <w:spacing w:before="200" w:after="80"/>
      </w:pPr>
      <w:r>
        <w:rPr>
          <w:rFonts w:ascii="Times New Roman" w:hAnsi="Times New Roman"/>
          <w:b/>
          <w:sz w:val="24"/>
        </w:rPr>
        <w:t>7.2 Comparison with Related Tools</w:t>
      </w:r>
    </w:p>
    <w:p>
      <w:pPr>
        <w:spacing w:before="40" w:after="120"/>
        <w:jc w:val="both"/>
      </w:pPr>
      <w:r>
        <w:rPr>
          <w:rFonts w:ascii="Times New Roman" w:hAnsi="Times New Roman"/>
          <w:b w:val="0"/>
          <w:i w:val="0"/>
          <w:sz w:val="24"/>
        </w:rPr>
        <w:t>Table 1 summarises how the Schema Builder compares to the most relevant related tools on five dimensions.</w:t>
      </w:r>
    </w:p>
    <w:p>
      <w:pPr>
        <w:spacing w:before="40" w:after="120"/>
        <w:jc w:val="both"/>
      </w:pPr>
      <w:r>
        <w:rPr>
          <w:rFonts w:ascii="Times New Roman" w:hAnsi="Times New Roman"/>
          <w:b/>
          <w:i w:val="0"/>
          <w:sz w:val="24"/>
        </w:rPr>
        <w:t>Table 1</w:t>
      </w:r>
      <w:r>
        <w:rPr>
          <w:rFonts w:ascii="Times New Roman" w:hAnsi="Times New Roman"/>
          <w:b w:val="0"/>
          <w:i w:val="0"/>
          <w:sz w:val="24"/>
        </w:rPr>
        <w:t>: Feature comparison across related tools.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pPr>
              <w:jc w:val="center"/>
            </w:pPr>
            <w:r/>
            <w:r>
              <w:rPr>
                <w:rFonts w:ascii="Times New Roman" w:hAnsi="Times New Roman"/>
                <w:b/>
                <w:sz w:val="20"/>
              </w:rPr>
              <w:t>Tool</w:t>
            </w:r>
          </w:p>
        </w:tc>
        <w:tc>
          <w:tcPr>
            <w:tcW w:type="dxa" w:w="1440"/>
            <w:shd w:val="clear" w:color="auto" w:fill="D9D9D9"/>
          </w:tcPr>
          <w:p>
            <w:pPr>
              <w:jc w:val="center"/>
            </w:pPr>
            <w:r/>
            <w:r>
              <w:rPr>
                <w:rFonts w:ascii="Times New Roman" w:hAnsi="Times New Roman"/>
                <w:b/>
                <w:sz w:val="20"/>
              </w:rPr>
              <w:t>Visual GUI</w:t>
            </w:r>
          </w:p>
        </w:tc>
        <w:tc>
          <w:tcPr>
            <w:tcW w:type="dxa" w:w="1440"/>
            <w:shd w:val="clear" w:color="auto" w:fill="D9D9D9"/>
          </w:tcPr>
          <w:p>
            <w:pPr>
              <w:jc w:val="center"/>
            </w:pPr>
            <w:r/>
            <w:r>
              <w:rPr>
                <w:rFonts w:ascii="Times New Roman" w:hAnsi="Times New Roman"/>
                <w:b/>
                <w:sz w:val="20"/>
              </w:rPr>
              <w:t>ULO Alignment</w:t>
            </w:r>
          </w:p>
        </w:tc>
        <w:tc>
          <w:tcPr>
            <w:tcW w:type="dxa" w:w="1440"/>
            <w:shd w:val="clear" w:color="auto" w:fill="D9D9D9"/>
          </w:tcPr>
          <w:p>
            <w:pPr>
              <w:jc w:val="center"/>
            </w:pPr>
            <w:r/>
            <w:r>
              <w:rPr>
                <w:rFonts w:ascii="Times New Roman" w:hAnsi="Times New Roman"/>
                <w:b/>
                <w:sz w:val="20"/>
              </w:rPr>
              <w:t>OWL Restrictions</w:t>
            </w:r>
          </w:p>
        </w:tc>
        <w:tc>
          <w:tcPr>
            <w:tcW w:type="dxa" w:w="1440"/>
            <w:shd w:val="clear" w:color="auto" w:fill="D9D9D9"/>
          </w:tcPr>
          <w:p>
            <w:pPr>
              <w:jc w:val="center"/>
            </w:pPr>
            <w:r/>
            <w:r>
              <w:rPr>
                <w:rFonts w:ascii="Times New Roman" w:hAnsi="Times New Roman"/>
                <w:b/>
                <w:sz w:val="20"/>
              </w:rPr>
              <w:t>SHACL Union Ranges</w:t>
            </w:r>
          </w:p>
        </w:tc>
        <w:tc>
          <w:tcPr>
            <w:tcW w:type="dxa" w:w="1440"/>
            <w:shd w:val="clear" w:color="auto" w:fill="D9D9D9"/>
          </w:tcPr>
          <w:p>
            <w:pPr>
              <w:jc w:val="center"/>
            </w:pPr>
            <w:r/>
            <w:r>
              <w:rPr>
                <w:rFonts w:ascii="Times New Roman" w:hAnsi="Times New Roman"/>
                <w:b/>
                <w:sz w:val="20"/>
              </w:rPr>
              <w:t>Bidirectional Mapping</w:t>
            </w:r>
          </w:p>
        </w:tc>
      </w:tr>
      <w:tr>
        <w:tc>
          <w:tcPr>
            <w:tcW w:type="dxa" w:w="1440"/>
          </w:tcPr>
          <w:p>
            <w:r>
              <w:rPr>
                <w:sz w:val="20"/>
              </w:rPr>
            </w:r>
            <w:r>
              <w:rPr>
                <w:rFonts w:ascii="Times New Roman" w:hAnsi="Times New Roman"/>
                <w:b w:val="0"/>
                <w:i w:val="0"/>
                <w:sz w:val="20"/>
              </w:rPr>
              <w:t>Protégé</w:t>
            </w:r>
          </w:p>
        </w:tc>
        <w:tc>
          <w:tcPr>
            <w:tcW w:type="dxa" w:w="1440"/>
          </w:tcPr>
          <w:p>
            <w:r>
              <w:rPr>
                <w:sz w:val="20"/>
              </w:rPr>
            </w:r>
            <w:r>
              <w:rPr>
                <w:rFonts w:ascii="Times New Roman" w:hAnsi="Times New Roman"/>
                <w:b w:val="0"/>
                <w:i w:val="0"/>
                <w:sz w:val="20"/>
              </w:rPr>
              <w:t>✓</w:t>
            </w:r>
          </w:p>
        </w:tc>
        <w:tc>
          <w:tcPr>
            <w:tcW w:type="dxa" w:w="1440"/>
          </w:tcPr>
          <w:p>
            <w:r>
              <w:rPr>
                <w:sz w:val="20"/>
              </w:rPr>
            </w:r>
            <w:r>
              <w:rPr>
                <w:rFonts w:ascii="Times New Roman" w:hAnsi="Times New Roman"/>
                <w:b w:val="0"/>
                <w:i w:val="0"/>
                <w:sz w:val="20"/>
              </w:rPr>
              <w:t>manual</w:t>
            </w:r>
          </w:p>
        </w:tc>
        <w:tc>
          <w:tcPr>
            <w:tcW w:type="dxa" w:w="1440"/>
          </w:tcPr>
          <w:p>
            <w:r>
              <w:rPr>
                <w:sz w:val="20"/>
              </w:rPr>
            </w:r>
            <w:r>
              <w:rPr>
                <w:rFonts w:ascii="Times New Roman" w:hAnsi="Times New Roman"/>
                <w:b w:val="0"/>
                <w:i w:val="0"/>
                <w:sz w:val="20"/>
              </w:rPr>
              <w:t>✓</w:t>
            </w:r>
          </w:p>
        </w:tc>
        <w:tc>
          <w:tcPr>
            <w:tcW w:type="dxa" w:w="1440"/>
          </w:tcPr>
          <w:p>
            <w:r>
              <w:rPr>
                <w:sz w:val="20"/>
              </w:rPr>
            </w:r>
            <w:r>
              <w:rPr>
                <w:rFonts w:ascii="Times New Roman" w:hAnsi="Times New Roman"/>
                <w:b w:val="0"/>
                <w:i w:val="0"/>
                <w:sz w:val="20"/>
              </w:rPr>
              <w:t>via plugin</w:t>
            </w:r>
          </w:p>
        </w:tc>
        <w:tc>
          <w:tcPr>
            <w:tcW w:type="dxa" w:w="1440"/>
          </w:tcPr>
          <w:p>
            <w:r>
              <w:rPr>
                <w:sz w:val="20"/>
              </w:rPr>
            </w:r>
            <w:r>
              <w:rPr>
                <w:rFonts w:ascii="Times New Roman" w:hAnsi="Times New Roman"/>
                <w:b w:val="0"/>
                <w:i w:val="0"/>
                <w:sz w:val="20"/>
              </w:rPr>
              <w:t>✗</w:t>
            </w:r>
          </w:p>
        </w:tc>
      </w:tr>
      <w:tr>
        <w:tc>
          <w:tcPr>
            <w:tcW w:type="dxa" w:w="1440"/>
          </w:tcPr>
          <w:p>
            <w:r>
              <w:rPr>
                <w:sz w:val="20"/>
              </w:rPr>
            </w:r>
            <w:r>
              <w:rPr>
                <w:rFonts w:ascii="Times New Roman" w:hAnsi="Times New Roman"/>
                <w:b w:val="0"/>
                <w:i w:val="0"/>
                <w:sz w:val="20"/>
              </w:rPr>
              <w:t>TopBraid Composer</w:t>
            </w:r>
          </w:p>
        </w:tc>
        <w:tc>
          <w:tcPr>
            <w:tcW w:type="dxa" w:w="1440"/>
          </w:tcPr>
          <w:p>
            <w:r>
              <w:rPr>
                <w:sz w:val="20"/>
              </w:rPr>
            </w:r>
            <w:r>
              <w:rPr>
                <w:rFonts w:ascii="Times New Roman" w:hAnsi="Times New Roman"/>
                <w:b w:val="0"/>
                <w:i w:val="0"/>
                <w:sz w:val="20"/>
              </w:rPr>
              <w:t>✓</w:t>
            </w:r>
          </w:p>
        </w:tc>
        <w:tc>
          <w:tcPr>
            <w:tcW w:type="dxa" w:w="1440"/>
          </w:tcPr>
          <w:p>
            <w:r>
              <w:rPr>
                <w:sz w:val="20"/>
              </w:rPr>
            </w:r>
            <w:r>
              <w:rPr>
                <w:rFonts w:ascii="Times New Roman" w:hAnsi="Times New Roman"/>
                <w:b w:val="0"/>
                <w:i w:val="0"/>
                <w:sz w:val="20"/>
              </w:rPr>
              <w:t>manual</w:t>
            </w:r>
          </w:p>
        </w:tc>
        <w:tc>
          <w:tcPr>
            <w:tcW w:type="dxa" w:w="1440"/>
          </w:tcPr>
          <w:p>
            <w:r>
              <w:rPr>
                <w:sz w:val="20"/>
              </w:rPr>
            </w:r>
            <w:r>
              <w:rPr>
                <w:rFonts w:ascii="Times New Roman" w:hAnsi="Times New Roman"/>
                <w:b w:val="0"/>
                <w:i w:val="0"/>
                <w:sz w:val="20"/>
              </w:rPr>
              <w:t>✓</w:t>
            </w:r>
          </w:p>
        </w:tc>
        <w:tc>
          <w:tcPr>
            <w:tcW w:type="dxa" w:w="1440"/>
          </w:tcPr>
          <w:p>
            <w:r>
              <w:rPr>
                <w:sz w:val="20"/>
              </w:rPr>
            </w:r>
            <w:r>
              <w:rPr>
                <w:rFonts w:ascii="Times New Roman" w:hAnsi="Times New Roman"/>
                <w:b w:val="0"/>
                <w:i w:val="0"/>
                <w:sz w:val="20"/>
              </w:rPr>
              <w:t>✓</w:t>
            </w:r>
          </w:p>
        </w:tc>
        <w:tc>
          <w:tcPr>
            <w:tcW w:type="dxa" w:w="1440"/>
          </w:tcPr>
          <w:p>
            <w:r>
              <w:rPr>
                <w:sz w:val="20"/>
              </w:rPr>
            </w:r>
            <w:r>
              <w:rPr>
                <w:rFonts w:ascii="Times New Roman" w:hAnsi="Times New Roman"/>
                <w:b w:val="0"/>
                <w:i w:val="0"/>
                <w:sz w:val="20"/>
              </w:rPr>
              <w:t>✗</w:t>
            </w:r>
          </w:p>
        </w:tc>
      </w:tr>
      <w:tr>
        <w:tc>
          <w:tcPr>
            <w:tcW w:type="dxa" w:w="1440"/>
          </w:tcPr>
          <w:p>
            <w:r>
              <w:rPr>
                <w:sz w:val="20"/>
              </w:rPr>
            </w:r>
            <w:r>
              <w:rPr>
                <w:rFonts w:ascii="Times New Roman" w:hAnsi="Times New Roman"/>
                <w:b w:val="0"/>
                <w:i w:val="0"/>
                <w:sz w:val="20"/>
              </w:rPr>
              <w:t>OWLGrEd</w:t>
            </w:r>
          </w:p>
        </w:tc>
        <w:tc>
          <w:tcPr>
            <w:tcW w:type="dxa" w:w="1440"/>
          </w:tcPr>
          <w:p>
            <w:r>
              <w:rPr>
                <w:sz w:val="20"/>
              </w:rPr>
            </w:r>
            <w:r>
              <w:rPr>
                <w:rFonts w:ascii="Times New Roman" w:hAnsi="Times New Roman"/>
                <w:b w:val="0"/>
                <w:i w:val="0"/>
                <w:sz w:val="20"/>
              </w:rPr>
              <w:t>✓</w:t>
            </w:r>
          </w:p>
        </w:tc>
        <w:tc>
          <w:tcPr>
            <w:tcW w:type="dxa" w:w="1440"/>
          </w:tcPr>
          <w:p>
            <w:r>
              <w:rPr>
                <w:sz w:val="20"/>
              </w:rPr>
            </w:r>
            <w:r>
              <w:rPr>
                <w:rFonts w:ascii="Times New Roman" w:hAnsi="Times New Roman"/>
                <w:b w:val="0"/>
                <w:i w:val="0"/>
                <w:sz w:val="20"/>
              </w:rPr>
              <w:t>✗</w:t>
            </w:r>
          </w:p>
        </w:tc>
        <w:tc>
          <w:tcPr>
            <w:tcW w:type="dxa" w:w="1440"/>
          </w:tcPr>
          <w:p>
            <w:r>
              <w:rPr>
                <w:sz w:val="20"/>
              </w:rPr>
            </w:r>
            <w:r>
              <w:rPr>
                <w:rFonts w:ascii="Times New Roman" w:hAnsi="Times New Roman"/>
                <w:b w:val="0"/>
                <w:i w:val="0"/>
                <w:sz w:val="20"/>
              </w:rPr>
              <w:t>✓</w:t>
            </w:r>
          </w:p>
        </w:tc>
        <w:tc>
          <w:tcPr>
            <w:tcW w:type="dxa" w:w="1440"/>
          </w:tcPr>
          <w:p>
            <w:r>
              <w:rPr>
                <w:sz w:val="20"/>
              </w:rPr>
            </w:r>
            <w:r>
              <w:rPr>
                <w:rFonts w:ascii="Times New Roman" w:hAnsi="Times New Roman"/>
                <w:b w:val="0"/>
                <w:i w:val="0"/>
                <w:sz w:val="20"/>
              </w:rPr>
              <w:t>✗</w:t>
            </w:r>
          </w:p>
        </w:tc>
        <w:tc>
          <w:tcPr>
            <w:tcW w:type="dxa" w:w="1440"/>
          </w:tcPr>
          <w:p>
            <w:r>
              <w:rPr>
                <w:sz w:val="20"/>
              </w:rPr>
            </w:r>
            <w:r>
              <w:rPr>
                <w:rFonts w:ascii="Times New Roman" w:hAnsi="Times New Roman"/>
                <w:b w:val="0"/>
                <w:i w:val="0"/>
                <w:sz w:val="20"/>
              </w:rPr>
              <w:t>✗</w:t>
            </w:r>
          </w:p>
        </w:tc>
      </w:tr>
      <w:tr>
        <w:tc>
          <w:tcPr>
            <w:tcW w:type="dxa" w:w="1440"/>
          </w:tcPr>
          <w:p>
            <w:r>
              <w:rPr>
                <w:sz w:val="20"/>
              </w:rPr>
            </w:r>
            <w:r>
              <w:rPr>
                <w:rFonts w:ascii="Times New Roman" w:hAnsi="Times New Roman"/>
                <w:b w:val="0"/>
                <w:i w:val="0"/>
                <w:sz w:val="20"/>
              </w:rPr>
              <w:t>LinkML (gen-owl/shacl)</w:t>
            </w:r>
          </w:p>
        </w:tc>
        <w:tc>
          <w:tcPr>
            <w:tcW w:type="dxa" w:w="1440"/>
          </w:tcPr>
          <w:p>
            <w:r>
              <w:rPr>
                <w:sz w:val="20"/>
              </w:rPr>
            </w:r>
            <w:r>
              <w:rPr>
                <w:rFonts w:ascii="Times New Roman" w:hAnsi="Times New Roman"/>
                <w:b w:val="0"/>
                <w:i w:val="0"/>
                <w:sz w:val="20"/>
              </w:rPr>
              <w:t>✗ (YAML)</w:t>
            </w:r>
          </w:p>
        </w:tc>
        <w:tc>
          <w:tcPr>
            <w:tcW w:type="dxa" w:w="1440"/>
          </w:tcPr>
          <w:p>
            <w:r>
              <w:rPr>
                <w:sz w:val="20"/>
              </w:rPr>
            </w:r>
            <w:r>
              <w:rPr>
                <w:rFonts w:ascii="Times New Roman" w:hAnsi="Times New Roman"/>
                <w:b w:val="0"/>
                <w:i w:val="0"/>
                <w:sz w:val="20"/>
              </w:rPr>
              <w:t>✓ (class_uri)</w:t>
            </w:r>
          </w:p>
        </w:tc>
        <w:tc>
          <w:tcPr>
            <w:tcW w:type="dxa" w:w="1440"/>
          </w:tcPr>
          <w:p>
            <w:r>
              <w:rPr>
                <w:sz w:val="20"/>
              </w:rPr>
            </w:r>
            <w:r>
              <w:rPr>
                <w:rFonts w:ascii="Times New Roman" w:hAnsi="Times New Roman"/>
                <w:b w:val="0"/>
                <w:i w:val="0"/>
                <w:sz w:val="20"/>
              </w:rPr>
              <w:t>✓ (basic)</w:t>
            </w:r>
          </w:p>
        </w:tc>
        <w:tc>
          <w:tcPr>
            <w:tcW w:type="dxa" w:w="1440"/>
          </w:tcPr>
          <w:p>
            <w:r>
              <w:rPr>
                <w:sz w:val="20"/>
              </w:rPr>
            </w:r>
            <w:r>
              <w:rPr>
                <w:rFonts w:ascii="Times New Roman" w:hAnsi="Times New Roman"/>
                <w:b w:val="0"/>
                <w:i w:val="0"/>
                <w:sz w:val="20"/>
              </w:rPr>
              <w:t>beta</w:t>
            </w:r>
          </w:p>
        </w:tc>
        <w:tc>
          <w:tcPr>
            <w:tcW w:type="dxa" w:w="1440"/>
          </w:tcPr>
          <w:p>
            <w:r>
              <w:rPr>
                <w:sz w:val="20"/>
              </w:rPr>
            </w:r>
            <w:r>
              <w:rPr>
                <w:rFonts w:ascii="Times New Roman" w:hAnsi="Times New Roman"/>
                <w:b w:val="0"/>
                <w:i w:val="0"/>
                <w:sz w:val="20"/>
              </w:rPr>
              <w:t>✗</w:t>
            </w:r>
          </w:p>
        </w:tc>
      </w:tr>
      <w:tr>
        <w:tc>
          <w:tcPr>
            <w:tcW w:type="dxa" w:w="1440"/>
          </w:tcPr>
          <w:p>
            <w:r>
              <w:rPr>
                <w:sz w:val="20"/>
              </w:rPr>
            </w:r>
            <w:r>
              <w:rPr>
                <w:rFonts w:ascii="Times New Roman" w:hAnsi="Times New Roman"/>
                <w:b w:val="0"/>
                <w:i w:val="0"/>
                <w:sz w:val="20"/>
              </w:rPr>
              <w:t>Chowlk</w:t>
            </w:r>
          </w:p>
        </w:tc>
        <w:tc>
          <w:tcPr>
            <w:tcW w:type="dxa" w:w="1440"/>
          </w:tcPr>
          <w:p>
            <w:r>
              <w:rPr>
                <w:sz w:val="20"/>
              </w:rPr>
            </w:r>
            <w:r>
              <w:rPr>
                <w:rFonts w:ascii="Times New Roman" w:hAnsi="Times New Roman"/>
                <w:b w:val="0"/>
                <w:i w:val="0"/>
                <w:sz w:val="20"/>
              </w:rPr>
              <w:t>✓ (diagrams.net)</w:t>
            </w:r>
          </w:p>
        </w:tc>
        <w:tc>
          <w:tcPr>
            <w:tcW w:type="dxa" w:w="1440"/>
          </w:tcPr>
          <w:p>
            <w:r>
              <w:rPr>
                <w:sz w:val="20"/>
              </w:rPr>
            </w:r>
            <w:r>
              <w:rPr>
                <w:rFonts w:ascii="Times New Roman" w:hAnsi="Times New Roman"/>
                <w:b w:val="0"/>
                <w:i w:val="0"/>
                <w:sz w:val="20"/>
              </w:rPr>
              <w:t>✗</w:t>
            </w:r>
          </w:p>
        </w:tc>
        <w:tc>
          <w:tcPr>
            <w:tcW w:type="dxa" w:w="1440"/>
          </w:tcPr>
          <w:p>
            <w:r>
              <w:rPr>
                <w:sz w:val="20"/>
              </w:rPr>
            </w:r>
            <w:r>
              <w:rPr>
                <w:rFonts w:ascii="Times New Roman" w:hAnsi="Times New Roman"/>
                <w:b w:val="0"/>
                <w:i w:val="0"/>
                <w:sz w:val="20"/>
              </w:rPr>
              <w:t>✓</w:t>
            </w:r>
          </w:p>
        </w:tc>
        <w:tc>
          <w:tcPr>
            <w:tcW w:type="dxa" w:w="1440"/>
          </w:tcPr>
          <w:p>
            <w:r>
              <w:rPr>
                <w:sz w:val="20"/>
              </w:rPr>
            </w:r>
            <w:r>
              <w:rPr>
                <w:rFonts w:ascii="Times New Roman" w:hAnsi="Times New Roman"/>
                <w:b w:val="0"/>
                <w:i w:val="0"/>
                <w:sz w:val="20"/>
              </w:rPr>
              <w:t>✗</w:t>
            </w:r>
          </w:p>
        </w:tc>
        <w:tc>
          <w:tcPr>
            <w:tcW w:type="dxa" w:w="1440"/>
          </w:tcPr>
          <w:p>
            <w:r>
              <w:rPr>
                <w:sz w:val="20"/>
              </w:rPr>
            </w:r>
            <w:r>
              <w:rPr>
                <w:rFonts w:ascii="Times New Roman" w:hAnsi="Times New Roman"/>
                <w:b w:val="0"/>
                <w:i w:val="0"/>
                <w:sz w:val="20"/>
              </w:rPr>
              <w:t>✗</w:t>
            </w:r>
          </w:p>
        </w:tc>
      </w:tr>
      <w:tr>
        <w:tc>
          <w:tcPr>
            <w:tcW w:type="dxa" w:w="1440"/>
          </w:tcPr>
          <w:p>
            <w:r>
              <w:rPr>
                <w:sz w:val="20"/>
              </w:rPr>
            </w:r>
            <w:r>
              <w:rPr>
                <w:rFonts w:ascii="Times New Roman" w:hAnsi="Times New Roman"/>
                <w:b w:val="0"/>
                <w:i w:val="0"/>
                <w:sz w:val="20"/>
              </w:rPr>
              <w:t>Astrea</w:t>
            </w:r>
          </w:p>
        </w:tc>
        <w:tc>
          <w:tcPr>
            <w:tcW w:type="dxa" w:w="1440"/>
          </w:tcPr>
          <w:p>
            <w:r>
              <w:rPr>
                <w:sz w:val="20"/>
              </w:rPr>
            </w:r>
            <w:r>
              <w:rPr>
                <w:rFonts w:ascii="Times New Roman" w:hAnsi="Times New Roman"/>
                <w:b w:val="0"/>
                <w:i w:val="0"/>
                <w:sz w:val="20"/>
              </w:rPr>
              <w:t>✗</w:t>
            </w:r>
          </w:p>
        </w:tc>
        <w:tc>
          <w:tcPr>
            <w:tcW w:type="dxa" w:w="1440"/>
          </w:tcPr>
          <w:p>
            <w:r>
              <w:rPr>
                <w:sz w:val="20"/>
              </w:rPr>
            </w:r>
            <w:r>
              <w:rPr>
                <w:rFonts w:ascii="Times New Roman" w:hAnsi="Times New Roman"/>
                <w:b w:val="0"/>
                <w:i w:val="0"/>
                <w:sz w:val="20"/>
              </w:rPr>
              <w:t>✗</w:t>
            </w:r>
          </w:p>
        </w:tc>
        <w:tc>
          <w:tcPr>
            <w:tcW w:type="dxa" w:w="1440"/>
          </w:tcPr>
          <w:p>
            <w:r>
              <w:rPr>
                <w:sz w:val="20"/>
              </w:rPr>
            </w:r>
            <w:r>
              <w:rPr>
                <w:rFonts w:ascii="Times New Roman" w:hAnsi="Times New Roman"/>
                <w:b w:val="0"/>
                <w:i w:val="0"/>
                <w:sz w:val="20"/>
              </w:rPr>
              <w:t>✗</w:t>
            </w:r>
          </w:p>
        </w:tc>
        <w:tc>
          <w:tcPr>
            <w:tcW w:type="dxa" w:w="1440"/>
          </w:tcPr>
          <w:p>
            <w:r>
              <w:rPr>
                <w:sz w:val="20"/>
              </w:rPr>
            </w:r>
            <w:r>
              <w:rPr>
                <w:rFonts w:ascii="Times New Roman" w:hAnsi="Times New Roman"/>
                <w:b w:val="0"/>
                <w:i w:val="0"/>
                <w:sz w:val="20"/>
              </w:rPr>
              <w:t>✗</w:t>
            </w:r>
          </w:p>
        </w:tc>
        <w:tc>
          <w:tcPr>
            <w:tcW w:type="dxa" w:w="1440"/>
          </w:tcPr>
          <w:p>
            <w:r>
              <w:rPr>
                <w:sz w:val="20"/>
              </w:rPr>
            </w:r>
            <w:r>
              <w:rPr>
                <w:rFonts w:ascii="Times New Roman" w:hAnsi="Times New Roman"/>
                <w:b w:val="0"/>
                <w:i w:val="0"/>
                <w:sz w:val="20"/>
              </w:rPr>
              <w:t>✗</w:t>
            </w:r>
          </w:p>
        </w:tc>
      </w:tr>
      <w:tr>
        <w:tc>
          <w:tcPr>
            <w:tcW w:type="dxa" w:w="1440"/>
          </w:tcPr>
          <w:p>
            <w:r>
              <w:rPr>
                <w:sz w:val="20"/>
              </w:rPr>
            </w:r>
            <w:r>
              <w:rPr>
                <w:rFonts w:ascii="Times New Roman" w:hAnsi="Times New Roman"/>
                <w:b/>
                <w:i w:val="0"/>
                <w:sz w:val="20"/>
              </w:rPr>
              <w:t>SULO Schema Builder</w:t>
            </w:r>
          </w:p>
        </w:tc>
        <w:tc>
          <w:tcPr>
            <w:tcW w:type="dxa" w:w="1440"/>
          </w:tcPr>
          <w:p>
            <w:r>
              <w:rPr>
                <w:sz w:val="20"/>
              </w:rPr>
            </w:r>
            <w:r>
              <w:rPr>
                <w:rFonts w:ascii="Times New Roman" w:hAnsi="Times New Roman"/>
                <w:b/>
                <w:i w:val="0"/>
                <w:sz w:val="20"/>
              </w:rPr>
              <w:t>✓</w:t>
            </w:r>
          </w:p>
        </w:tc>
        <w:tc>
          <w:tcPr>
            <w:tcW w:type="dxa" w:w="1440"/>
          </w:tcPr>
          <w:p>
            <w:r>
              <w:rPr>
                <w:sz w:val="20"/>
              </w:rPr>
            </w:r>
            <w:r>
              <w:rPr>
                <w:rFonts w:ascii="Times New Roman" w:hAnsi="Times New Roman"/>
                <w:b/>
                <w:i w:val="0"/>
                <w:sz w:val="20"/>
              </w:rPr>
              <w:t>✓ (live SPARQL)</w:t>
            </w:r>
          </w:p>
        </w:tc>
        <w:tc>
          <w:tcPr>
            <w:tcW w:type="dxa" w:w="1440"/>
          </w:tcPr>
          <w:p>
            <w:r>
              <w:rPr>
                <w:sz w:val="20"/>
              </w:rPr>
            </w:r>
            <w:r>
              <w:rPr>
                <w:rFonts w:ascii="Times New Roman" w:hAnsi="Times New Roman"/>
                <w:b/>
                <w:i w:val="0"/>
                <w:sz w:val="20"/>
              </w:rPr>
              <w:t>✓ (chain patterns)</w:t>
            </w:r>
          </w:p>
        </w:tc>
        <w:tc>
          <w:tcPr>
            <w:tcW w:type="dxa" w:w="1440"/>
          </w:tcPr>
          <w:p>
            <w:r>
              <w:rPr>
                <w:sz w:val="20"/>
              </w:rPr>
            </w:r>
            <w:r>
              <w:rPr>
                <w:rFonts w:ascii="Times New Roman" w:hAnsi="Times New Roman"/>
                <w:b/>
                <w:i w:val="0"/>
                <w:sz w:val="20"/>
              </w:rPr>
              <w:t>✓</w:t>
            </w:r>
          </w:p>
        </w:tc>
        <w:tc>
          <w:tcPr>
            <w:tcW w:type="dxa" w:w="1440"/>
          </w:tcPr>
          <w:p>
            <w:r>
              <w:rPr>
                <w:sz w:val="20"/>
              </w:rPr>
            </w:r>
            <w:r>
              <w:rPr>
                <w:rFonts w:ascii="Times New Roman" w:hAnsi="Times New Roman"/>
                <w:b/>
                <w:i w:val="0"/>
                <w:sz w:val="20"/>
              </w:rPr>
              <w:t>✓ (via patterns)</w:t>
            </w:r>
          </w:p>
        </w:tc>
      </w:tr>
    </w:tbl>
    <w:p/>
    <w:p>
      <w:pPr>
        <w:spacing w:before="200" w:after="80"/>
      </w:pPr>
      <w:r>
        <w:rPr>
          <w:rFonts w:ascii="Times New Roman" w:hAnsi="Times New Roman"/>
          <w:b/>
          <w:sz w:val="24"/>
        </w:rPr>
        <w:t>7.3 Limitations</w:t>
      </w:r>
    </w:p>
    <w:p>
      <w:pPr>
        <w:spacing w:before="40" w:after="120"/>
        <w:jc w:val="both"/>
      </w:pPr>
      <w:r>
        <w:rPr>
          <w:rFonts w:ascii="Times New Roman" w:hAnsi="Times New Roman"/>
          <w:b/>
          <w:i w:val="0"/>
          <w:sz w:val="24"/>
        </w:rPr>
        <w:t>Mapping pattern complexity</w:t>
      </w:r>
      <w:r>
        <w:rPr>
          <w:rFonts w:ascii="Times New Roman" w:hAnsi="Times New Roman"/>
          <w:b w:val="0"/>
          <w:i w:val="0"/>
          <w:sz w:val="24"/>
        </w:rPr>
        <w:t xml:space="preserve"> — The current triple-template UI supports chains up to three hops. Paths that involve SPARQL OPTIONAL, FILTER, or aggregate expressions are not representable.</w:t>
      </w:r>
    </w:p>
    <w:p>
      <w:pPr>
        <w:spacing w:before="40" w:after="120"/>
        <w:jc w:val="both"/>
      </w:pPr>
      <w:r>
        <w:rPr>
          <w:rFonts w:ascii="Times New Roman" w:hAnsi="Times New Roman"/>
          <w:b/>
          <w:i w:val="0"/>
          <w:sz w:val="24"/>
        </w:rPr>
        <w:t>Reasoner integration</w:t>
      </w:r>
      <w:r>
        <w:rPr>
          <w:rFonts w:ascii="Times New Roman" w:hAnsi="Times New Roman"/>
          <w:b w:val="0"/>
          <w:i w:val="0"/>
          <w:sz w:val="24"/>
        </w:rPr>
        <w:t xml:space="preserve"> — The tool generates OWL artefacts but does not run an OWL reasoner in-browser. The pedagogical exercise of "showing what an OWL reasoner catches" requires the user to take the exported file to Protégé or HermiT.</w:t>
      </w:r>
    </w:p>
    <w:p>
      <w:pPr>
        <w:spacing w:before="40" w:after="120"/>
        <w:jc w:val="both"/>
      </w:pPr>
      <w:r>
        <w:rPr>
          <w:rFonts w:ascii="Times New Roman" w:hAnsi="Times New Roman"/>
          <w:b/>
          <w:i w:val="0"/>
          <w:sz w:val="24"/>
        </w:rPr>
        <w:t>Schema discovery</w:t>
      </w:r>
      <w:r>
        <w:rPr>
          <w:rFonts w:ascii="Times New Roman" w:hAnsi="Times New Roman"/>
          <w:b w:val="0"/>
          <w:i w:val="0"/>
          <w:sz w:val="24"/>
        </w:rPr>
        <w:t xml:space="preserve"> — There is no wizard or LLM-assisted inference for suggesting </w:t>
      </w:r>
      <w:r>
        <w:rPr>
          <w:rFonts w:ascii="Courier New" w:hAnsi="Courier New"/>
          <w:b w:val="0"/>
          <w:i w:val="0"/>
          <w:sz w:val="24"/>
        </w:rPr>
        <w:t>mapsToConceptIri</w:t>
      </w:r>
      <w:r>
        <w:rPr>
          <w:rFonts w:ascii="Times New Roman" w:hAnsi="Times New Roman"/>
          <w:b w:val="0"/>
          <w:i w:val="0"/>
          <w:sz w:val="24"/>
        </w:rPr>
        <w:t xml:space="preserve"> values. The user must know which SULO concept applies or use the live autocomplete to browse.</w:t>
      </w:r>
    </w:p>
    <w:p>
      <w:pPr>
        <w:spacing w:before="40" w:after="120"/>
        <w:jc w:val="both"/>
      </w:pPr>
      <w:r>
        <w:rPr>
          <w:rFonts w:ascii="Times New Roman" w:hAnsi="Times New Roman"/>
          <w:b/>
          <w:i w:val="0"/>
          <w:sz w:val="24"/>
        </w:rPr>
        <w:t>Multi-schema alignment</w:t>
      </w:r>
      <w:r>
        <w:rPr>
          <w:rFonts w:ascii="Times New Roman" w:hAnsi="Times New Roman"/>
          <w:b w:val="0"/>
          <w:i w:val="0"/>
          <w:sz w:val="24"/>
        </w:rPr>
        <w:t xml:space="preserve"> — The tool handles one schema at a time. Cross-schema mapping (expressing that </w:t>
      </w:r>
      <w:r>
        <w:rPr>
          <w:rFonts w:ascii="Courier New" w:hAnsi="Courier New"/>
          <w:b w:val="0"/>
          <w:i w:val="0"/>
          <w:sz w:val="24"/>
        </w:rPr>
        <w:t>:ClinicalVisit</w:t>
      </w:r>
      <w:r>
        <w:rPr>
          <w:rFonts w:ascii="Times New Roman" w:hAnsi="Times New Roman"/>
          <w:b w:val="0"/>
          <w:i w:val="0"/>
          <w:sz w:val="24"/>
        </w:rPr>
        <w:t xml:space="preserve"> in schema A and </w:t>
      </w:r>
      <w:r>
        <w:rPr>
          <w:rFonts w:ascii="Courier New" w:hAnsi="Courier New"/>
          <w:b w:val="0"/>
          <w:i w:val="0"/>
          <w:sz w:val="24"/>
        </w:rPr>
        <w:t>Encounter</w:t>
      </w:r>
      <w:r>
        <w:rPr>
          <w:rFonts w:ascii="Times New Roman" w:hAnsi="Times New Roman"/>
          <w:b w:val="0"/>
          <w:i w:val="0"/>
          <w:sz w:val="24"/>
        </w:rPr>
        <w:t xml:space="preserve"> in schema B both map to the same SULO concept) is implicit in the shared </w:t>
      </w:r>
      <w:r>
        <w:rPr>
          <w:rFonts w:ascii="Courier New" w:hAnsi="Courier New"/>
          <w:b w:val="0"/>
          <w:i w:val="0"/>
          <w:sz w:val="24"/>
        </w:rPr>
        <w:t>mapsToConceptIri</w:t>
      </w:r>
      <w:r>
        <w:rPr>
          <w:rFonts w:ascii="Times New Roman" w:hAnsi="Times New Roman"/>
          <w:b w:val="0"/>
          <w:i w:val="0"/>
          <w:sz w:val="24"/>
        </w:rPr>
        <w:t xml:space="preserve"> value but not surfaced in the UI.</w:t>
      </w:r>
    </w:p>
    <w:p>
      <w:pPr>
        <w:spacing w:before="200" w:after="80"/>
      </w:pPr>
      <w:r>
        <w:rPr>
          <w:rFonts w:ascii="Times New Roman" w:hAnsi="Times New Roman"/>
          <w:b/>
          <w:sz w:val="24"/>
        </w:rPr>
        <w:t>7.4 Future Work</w:t>
      </w:r>
    </w:p>
    <w:p>
      <w:pPr>
        <w:spacing w:before="40" w:after="120"/>
        <w:jc w:val="both"/>
      </w:pPr>
      <w:r>
        <w:rPr>
          <w:rFonts w:ascii="Times New Roman" w:hAnsi="Times New Roman"/>
          <w:b w:val="0"/>
          <w:i w:val="0"/>
          <w:sz w:val="24"/>
        </w:rPr>
        <w:t>Near-term planned extensions include:</w:t>
      </w:r>
    </w:p>
    <w:p>
      <w:pPr>
        <w:pStyle w:val="ListBullet"/>
        <w:spacing w:before="20" w:after="20"/>
        <w:ind w:left="360"/>
      </w:pPr>
      <w:r>
        <w:rPr>
          <w:rFonts w:ascii="Times New Roman" w:hAnsi="Times New Roman"/>
          <w:b/>
          <w:i w:val="0"/>
          <w:sz w:val="24"/>
        </w:rPr>
        <w:t>SSSOM export</w:t>
      </w:r>
      <w:r>
        <w:rPr>
          <w:rFonts w:ascii="Times New Roman" w:hAnsi="Times New Roman"/>
          <w:b w:val="0"/>
          <w:i w:val="0"/>
          <w:sz w:val="24"/>
        </w:rPr>
        <w:t xml:space="preserve"> — exporting the </w:t>
      </w:r>
      <w:r>
        <w:rPr>
          <w:rFonts w:ascii="Courier New" w:hAnsi="Courier New"/>
          <w:b w:val="0"/>
          <w:i w:val="0"/>
          <w:sz w:val="24"/>
        </w:rPr>
        <w:t>mapsToConceptIri</w:t>
      </w:r>
      <w:r>
        <w:rPr>
          <w:rFonts w:ascii="Times New Roman" w:hAnsi="Times New Roman"/>
          <w:b w:val="0"/>
          <w:i w:val="0"/>
          <w:sz w:val="24"/>
        </w:rPr>
        <w:t xml:space="preserve"> values for all classes as an SSSOM mapping file, providing a machine-readable, standards-compliant alignment record</w:t>
      </w:r>
    </w:p>
    <w:p>
      <w:pPr>
        <w:pStyle w:val="ListBullet"/>
        <w:spacing w:before="20" w:after="20"/>
        <w:ind w:left="360"/>
      </w:pPr>
      <w:r>
        <w:rPr>
          <w:rFonts w:ascii="Times New Roman" w:hAnsi="Times New Roman"/>
          <w:b/>
          <w:i w:val="0"/>
          <w:sz w:val="24"/>
        </w:rPr>
        <w:t>Cross-schema mapping view</w:t>
      </w:r>
      <w:r>
        <w:rPr>
          <w:rFonts w:ascii="Times New Roman" w:hAnsi="Times New Roman"/>
          <w:b w:val="0"/>
          <w:i w:val="0"/>
          <w:sz w:val="24"/>
        </w:rPr>
        <w:t xml:space="preserve"> — a side-by-side display of two schemas highlighting classes that share a </w:t>
      </w:r>
      <w:r>
        <w:rPr>
          <w:rFonts w:ascii="Courier New" w:hAnsi="Courier New"/>
          <w:b w:val="0"/>
          <w:i w:val="0"/>
          <w:sz w:val="24"/>
        </w:rPr>
        <w:t>mapsToConceptIri</w:t>
      </w:r>
      <w:r>
        <w:rPr>
          <w:rFonts w:ascii="Times New Roman" w:hAnsi="Times New Roman"/>
          <w:b w:val="0"/>
          <w:i w:val="0"/>
          <w:sz w:val="24"/>
        </w:rPr>
        <w:t>, making the FHIR–OMOP–SULO triangle visible</w:t>
      </w:r>
    </w:p>
    <w:p>
      <w:pPr>
        <w:pStyle w:val="ListBullet"/>
        <w:spacing w:before="20" w:after="20"/>
        <w:ind w:left="360"/>
      </w:pPr>
      <w:r>
        <w:rPr>
          <w:rFonts w:ascii="Times New Roman" w:hAnsi="Times New Roman"/>
          <w:b/>
          <w:i w:val="0"/>
          <w:sz w:val="24"/>
        </w:rPr>
        <w:t>LLM-assisted alignment</w:t>
      </w:r>
      <w:r>
        <w:rPr>
          <w:rFonts w:ascii="Times New Roman" w:hAnsi="Times New Roman"/>
          <w:b w:val="0"/>
          <w:i w:val="0"/>
          <w:sz w:val="24"/>
        </w:rPr>
        <w:t xml:space="preserve"> — an option to query an LLM with the class name, description, and a list of candidate SULO concepts to suggest the most appropriate alignment</w:t>
      </w:r>
    </w:p>
    <w:p>
      <w:pPr>
        <w:pStyle w:val="ListBullet"/>
        <w:spacing w:before="20" w:after="20"/>
        <w:ind w:left="360"/>
      </w:pPr>
      <w:r>
        <w:rPr>
          <w:rFonts w:ascii="Times New Roman" w:hAnsi="Times New Roman"/>
          <w:b/>
          <w:i w:val="0"/>
          <w:sz w:val="24"/>
        </w:rPr>
        <w:t>Mapping pattern templates</w:t>
      </w:r>
      <w:r>
        <w:rPr>
          <w:rFonts w:ascii="Times New Roman" w:hAnsi="Times New Roman"/>
          <w:b w:val="0"/>
          <w:i w:val="0"/>
          <w:sz w:val="24"/>
        </w:rPr>
        <w:t xml:space="preserve"> — a library of reusable patterns (role bearer, quality bearer, information content entity) that users can apply by selecting a SULO design pattern</w:t>
      </w:r>
    </w:p>
    <w:p>
      <w:pPr>
        <w:spacing w:before="120" w:after="120"/>
      </w:pPr>
      <w:r>
        <w:rPr>
          <w:color w:val="CCCCCC"/>
          <w:sz w:val="16"/>
        </w:rPr>
        <w:t>────────────────────────────────────────────────────────────</w:t>
      </w:r>
    </w:p>
    <w:p>
      <w:pPr>
        <w:spacing w:before="200" w:after="80"/>
      </w:pPr>
      <w:r>
        <w:rPr>
          <w:rFonts w:ascii="Times New Roman" w:hAnsi="Times New Roman"/>
          <w:b/>
          <w:sz w:val="28"/>
        </w:rPr>
        <w:t>8. Conclusion</w:t>
      </w:r>
    </w:p>
    <w:p>
      <w:pPr>
        <w:spacing w:before="40" w:after="120"/>
        <w:jc w:val="both"/>
      </w:pPr>
      <w:r>
        <w:rPr>
          <w:rFonts w:ascii="Times New Roman" w:hAnsi="Times New Roman"/>
          <w:b w:val="0"/>
          <w:i w:val="0"/>
          <w:sz w:val="24"/>
        </w:rPr>
        <w:t xml:space="preserve">This paper presented the SULO-Compliant Schema Builder, an open-source web application that addresses the persistent divide between schema designers and ontologists. By embedding upper-ontology alignment and property-level mapping patterns as first-class features of the schema design workflow, the tool transforms ontology authoring from an expert activity into a guided, form-based process. The clinical health record case study demonstrates that 28 classes and 83 properties spanning the AIDAVA </w:t>
      </w:r>
      <w:r>
        <w:rPr>
          <w:rFonts w:ascii="Courier New" w:hAnsi="Courier New"/>
          <w:b w:val="0"/>
          <w:i w:val="0"/>
          <w:sz w:val="24"/>
        </w:rPr>
        <w:t>Code</w:t>
      </w:r>
      <w:r>
        <w:rPr>
          <w:rFonts w:ascii="Times New Roman" w:hAnsi="Times New Roman"/>
          <w:b w:val="0"/>
          <w:i w:val="0"/>
          <w:sz w:val="24"/>
        </w:rPr>
        <w:t xml:space="preserve"> pattern, SNOMED CT alignments, and OMOP CDM equivalents can be designed, formally aligned to SULO, and exported as valid OWL and SHACL artefacts in a single browser session.</w:t>
      </w:r>
    </w:p>
    <w:p>
      <w:pPr>
        <w:spacing w:before="40" w:after="120"/>
        <w:jc w:val="both"/>
      </w:pPr>
      <w:r>
        <w:rPr>
          <w:rFonts w:ascii="Times New Roman" w:hAnsi="Times New Roman"/>
          <w:b w:val="0"/>
          <w:i w:val="0"/>
          <w:sz w:val="24"/>
        </w:rPr>
        <w:t xml:space="preserve">The three research questions are addressed as follows. RQ1 is answered by the two-layer export architecture — the same schema model produces both a plain RDFS vocabulary and an OWL ontology with </w:t>
      </w:r>
      <w:r>
        <w:rPr>
          <w:rFonts w:ascii="Courier New" w:hAnsi="Courier New"/>
          <w:b w:val="0"/>
          <w:i w:val="0"/>
          <w:sz w:val="24"/>
        </w:rPr>
        <w:t>owl:equivalentClass</w:t>
      </w:r>
      <w:r>
        <w:rPr>
          <w:rFonts w:ascii="Times New Roman" w:hAnsi="Times New Roman"/>
          <w:b w:val="0"/>
          <w:i w:val="0"/>
          <w:sz w:val="24"/>
        </w:rPr>
        <w:t xml:space="preserve"> restrictions derived from mapping patterns, with no ontology expertise required from the user. RQ2 is addressed by the bidirectional mapping pattern compiler, which generates both forward (</w:t>
      </w:r>
      <w:r>
        <w:rPr>
          <w:rFonts w:ascii="Courier New" w:hAnsi="Courier New"/>
          <w:b w:val="0"/>
          <w:i w:val="0"/>
          <w:sz w:val="24"/>
        </w:rPr>
        <w:t>buildOwlExpr</w:t>
      </w:r>
      <w:r>
        <w:rPr>
          <w:rFonts w:ascii="Times New Roman" w:hAnsi="Times New Roman"/>
          <w:b w:val="0"/>
          <w:i w:val="0"/>
          <w:sz w:val="24"/>
        </w:rPr>
        <w:t>) and reverse (</w:t>
      </w:r>
      <w:r>
        <w:rPr>
          <w:rFonts w:ascii="Courier New" w:hAnsi="Courier New"/>
          <w:b w:val="0"/>
          <w:i w:val="0"/>
          <w:sz w:val="24"/>
        </w:rPr>
        <w:t>buildReverseOwlExpr</w:t>
      </w:r>
      <w:r>
        <w:rPr>
          <w:rFonts w:ascii="Times New Roman" w:hAnsi="Times New Roman"/>
          <w:b w:val="0"/>
          <w:i w:val="0"/>
          <w:sz w:val="24"/>
        </w:rPr>
        <w:t xml:space="preserve">) OWL restrictions from the same triple-template list, enabling SULO to act as a pivot model between FHIR, OMOP, and other standards. RQ3 is addressed by the export modal's side-by-side tabs, the </w:t>
      </w:r>
      <w:r>
        <w:rPr>
          <w:rFonts w:ascii="Times New Roman" w:hAnsi="Times New Roman"/>
          <w:b w:val="0"/>
          <w:i/>
          <w:sz w:val="24"/>
        </w:rPr>
        <w:t>Load Example</w:t>
      </w:r>
      <w:r>
        <w:rPr>
          <w:rFonts w:ascii="Times New Roman" w:hAnsi="Times New Roman"/>
          <w:b w:val="0"/>
          <w:i w:val="0"/>
          <w:sz w:val="24"/>
        </w:rPr>
        <w:t xml:space="preserve"> teaching artefact, and the concrete demonstration that union ranges, role reification, and inter-standard interoperability are benefits that OWL provides and flat SHACL cannot fully express.</w:t>
      </w:r>
    </w:p>
    <w:p>
      <w:pPr>
        <w:spacing w:before="40" w:after="120"/>
        <w:jc w:val="both"/>
      </w:pPr>
      <w:r>
        <w:rPr>
          <w:rFonts w:ascii="Times New Roman" w:hAnsi="Times New Roman"/>
          <w:b w:val="0"/>
          <w:i w:val="0"/>
          <w:sz w:val="24"/>
        </w:rPr>
        <w:t>The tool is available as an open-source project at https://github.com/rcelebi/sulo-schema-builder.</w:t>
      </w:r>
    </w:p>
    <w:p>
      <w:pPr>
        <w:spacing w:before="120" w:after="120"/>
      </w:pPr>
      <w:r>
        <w:rPr>
          <w:color w:val="CCCCCC"/>
          <w:sz w:val="16"/>
        </w:rPr>
        <w:t>────────────────────────────────────────────────────────────</w:t>
      </w:r>
    </w:p>
    <w:p>
      <w:pPr>
        <w:spacing w:before="200" w:after="80"/>
      </w:pPr>
      <w:r>
        <w:rPr>
          <w:rFonts w:ascii="Times New Roman" w:hAnsi="Times New Roman"/>
          <w:b/>
          <w:sz w:val="28"/>
        </w:rPr>
        <w:t>References</w:t>
      </w:r>
    </w:p>
    <w:p>
      <w:pPr>
        <w:spacing w:before="40" w:after="120"/>
        <w:jc w:val="both"/>
      </w:pPr>
      <w:r>
        <w:rPr>
          <w:rFonts w:ascii="Times New Roman" w:hAnsi="Times New Roman"/>
          <w:b w:val="0"/>
          <w:i w:val="0"/>
          <w:sz w:val="24"/>
        </w:rPr>
        <w:t xml:space="preserve">[1] R. Arp, B. Smith, A. D. Spear. </w:t>
      </w:r>
      <w:r>
        <w:rPr>
          <w:rFonts w:ascii="Times New Roman" w:hAnsi="Times New Roman"/>
          <w:b w:val="0"/>
          <w:i/>
          <w:sz w:val="24"/>
        </w:rPr>
        <w:t>Building Ontologies with Basic Formal Ontology</w:t>
      </w:r>
      <w:r>
        <w:rPr>
          <w:rFonts w:ascii="Times New Roman" w:hAnsi="Times New Roman"/>
          <w:b w:val="0"/>
          <w:i w:val="0"/>
          <w:sz w:val="24"/>
        </w:rPr>
        <w:t>. MIT Press, 2015.</w:t>
      </w:r>
    </w:p>
    <w:p>
      <w:pPr>
        <w:spacing w:before="40" w:after="120"/>
        <w:jc w:val="both"/>
      </w:pPr>
      <w:r>
        <w:rPr>
          <w:rFonts w:ascii="Times New Roman" w:hAnsi="Times New Roman"/>
          <w:b w:val="0"/>
          <w:i w:val="0"/>
          <w:sz w:val="24"/>
        </w:rPr>
        <w:t xml:space="preserve">[2] A. Gangemi, N. Guarino, C. Masolo, A. Oltramari, L. Schneider. Sweetening ontologies with DOLCE. In </w:t>
      </w:r>
      <w:r>
        <w:rPr>
          <w:rFonts w:ascii="Times New Roman" w:hAnsi="Times New Roman"/>
          <w:b w:val="0"/>
          <w:i/>
          <w:sz w:val="24"/>
        </w:rPr>
        <w:t>EKAW</w:t>
      </w:r>
      <w:r>
        <w:rPr>
          <w:rFonts w:ascii="Times New Roman" w:hAnsi="Times New Roman"/>
          <w:b w:val="0"/>
          <w:i w:val="0"/>
          <w:sz w:val="24"/>
        </w:rPr>
        <w:t>, 2002, pp. 166–181.</w:t>
      </w:r>
    </w:p>
    <w:p>
      <w:pPr>
        <w:spacing w:before="40" w:after="120"/>
        <w:jc w:val="both"/>
      </w:pPr>
      <w:r>
        <w:rPr>
          <w:rFonts w:ascii="Times New Roman" w:hAnsi="Times New Roman"/>
          <w:b w:val="0"/>
          <w:i w:val="0"/>
          <w:sz w:val="24"/>
        </w:rPr>
        <w:t>[3] M. Dumontier et al. The SULO upper-level ontology. https://w3id.org/sulo/, 2023.</w:t>
      </w:r>
    </w:p>
    <w:p>
      <w:pPr>
        <w:spacing w:before="40" w:after="120"/>
        <w:jc w:val="both"/>
      </w:pPr>
      <w:r>
        <w:rPr>
          <w:rFonts w:ascii="Times New Roman" w:hAnsi="Times New Roman"/>
          <w:b w:val="0"/>
          <w:i w:val="0"/>
          <w:sz w:val="24"/>
        </w:rPr>
        <w:t xml:space="preserve">[4] J. Euzenat, A. Shvaiko. </w:t>
      </w:r>
      <w:r>
        <w:rPr>
          <w:rFonts w:ascii="Times New Roman" w:hAnsi="Times New Roman"/>
          <w:b w:val="0"/>
          <w:i/>
          <w:sz w:val="24"/>
        </w:rPr>
        <w:t>Ontology Matching</w:t>
      </w:r>
      <w:r>
        <w:rPr>
          <w:rFonts w:ascii="Times New Roman" w:hAnsi="Times New Roman"/>
          <w:b w:val="0"/>
          <w:i w:val="0"/>
          <w:sz w:val="24"/>
        </w:rPr>
        <w:t>, 2nd ed. Springer, 2013.</w:t>
      </w:r>
    </w:p>
    <w:p>
      <w:pPr>
        <w:spacing w:before="40" w:after="120"/>
        <w:jc w:val="both"/>
      </w:pPr>
      <w:r>
        <w:rPr>
          <w:rFonts w:ascii="Times New Roman" w:hAnsi="Times New Roman"/>
          <w:b w:val="0"/>
          <w:i w:val="0"/>
          <w:sz w:val="24"/>
        </w:rPr>
        <w:t xml:space="preserve">[5] C. Martínez-Costa, S. Schulz. Bridging the gap between ontologies and relational databases. </w:t>
      </w:r>
      <w:r>
        <w:rPr>
          <w:rFonts w:ascii="Times New Roman" w:hAnsi="Times New Roman"/>
          <w:b w:val="0"/>
          <w:i/>
          <w:sz w:val="24"/>
        </w:rPr>
        <w:t>Applied Ontology</w:t>
      </w:r>
      <w:r>
        <w:rPr>
          <w:rFonts w:ascii="Times New Roman" w:hAnsi="Times New Roman"/>
          <w:b w:val="0"/>
          <w:i w:val="0"/>
          <w:sz w:val="24"/>
        </w:rPr>
        <w:t>, 11(2):93–126, 2016.</w:t>
      </w:r>
    </w:p>
    <w:p>
      <w:pPr>
        <w:spacing w:before="40" w:after="120"/>
        <w:jc w:val="both"/>
      </w:pPr>
      <w:r>
        <w:rPr>
          <w:rFonts w:ascii="Times New Roman" w:hAnsi="Times New Roman"/>
          <w:b w:val="0"/>
          <w:i w:val="0"/>
          <w:sz w:val="24"/>
        </w:rPr>
        <w:t xml:space="preserve">[6] C. J. Mungall et al. The LinkML modeling language. </w:t>
      </w:r>
      <w:r>
        <w:rPr>
          <w:rFonts w:ascii="Times New Roman" w:hAnsi="Times New Roman"/>
          <w:b w:val="0"/>
          <w:i/>
          <w:sz w:val="24"/>
        </w:rPr>
        <w:t>GigaScience</w:t>
      </w:r>
      <w:r>
        <w:rPr>
          <w:rFonts w:ascii="Times New Roman" w:hAnsi="Times New Roman"/>
          <w:b w:val="0"/>
          <w:i w:val="0"/>
          <w:sz w:val="24"/>
        </w:rPr>
        <w:t>, 14, giaf152, 2025. https://doi.org/10.1093/gigascience/giaf152</w:t>
      </w:r>
    </w:p>
    <w:p>
      <w:pPr>
        <w:spacing w:before="40" w:after="120"/>
        <w:jc w:val="both"/>
      </w:pPr>
      <w:r>
        <w:rPr>
          <w:rFonts w:ascii="Times New Roman" w:hAnsi="Times New Roman"/>
          <w:b w:val="0"/>
          <w:i w:val="0"/>
          <w:sz w:val="24"/>
        </w:rPr>
        <w:t xml:space="preserve">[7] S. Chavez-Feria et al. Chowlk: from UML-based ontology conceptualizations to OWL. In </w:t>
      </w:r>
      <w:r>
        <w:rPr>
          <w:rFonts w:ascii="Times New Roman" w:hAnsi="Times New Roman"/>
          <w:b w:val="0"/>
          <w:i/>
          <w:sz w:val="24"/>
        </w:rPr>
        <w:t>ESWC</w:t>
      </w:r>
      <w:r>
        <w:rPr>
          <w:rFonts w:ascii="Times New Roman" w:hAnsi="Times New Roman"/>
          <w:b w:val="0"/>
          <w:i w:val="0"/>
          <w:sz w:val="24"/>
        </w:rPr>
        <w:t>, 2022.</w:t>
      </w:r>
    </w:p>
    <w:p>
      <w:pPr>
        <w:spacing w:before="40" w:after="120"/>
        <w:jc w:val="both"/>
      </w:pPr>
      <w:r>
        <w:rPr>
          <w:rFonts w:ascii="Times New Roman" w:hAnsi="Times New Roman"/>
          <w:b w:val="0"/>
          <w:i w:val="0"/>
          <w:sz w:val="24"/>
        </w:rPr>
        <w:t>[8] OP-TED. model2owl: Transform UML XMI to formal OWL ontology + SHACL shapes. https://github.com/OP-TED/model2owl, 2023.</w:t>
      </w:r>
    </w:p>
    <w:p>
      <w:pPr>
        <w:spacing w:before="40" w:after="120"/>
        <w:jc w:val="both"/>
      </w:pPr>
      <w:r>
        <w:rPr>
          <w:rFonts w:ascii="Times New Roman" w:hAnsi="Times New Roman"/>
          <w:b w:val="0"/>
          <w:i w:val="0"/>
          <w:sz w:val="24"/>
        </w:rPr>
        <w:t xml:space="preserve">[9] A. Cimmino, E. Ruckhaus, et al. Astrea: Automatic generation of SHACL shapes from ontologies. In </w:t>
      </w:r>
      <w:r>
        <w:rPr>
          <w:rFonts w:ascii="Times New Roman" w:hAnsi="Times New Roman"/>
          <w:b w:val="0"/>
          <w:i/>
          <w:sz w:val="24"/>
        </w:rPr>
        <w:t>ISWC</w:t>
      </w:r>
      <w:r>
        <w:rPr>
          <w:rFonts w:ascii="Times New Roman" w:hAnsi="Times New Roman"/>
          <w:b w:val="0"/>
          <w:i w:val="0"/>
          <w:sz w:val="24"/>
        </w:rPr>
        <w:t>, 2020, pp. 497–513.</w:t>
      </w:r>
    </w:p>
    <w:p>
      <w:pPr>
        <w:spacing w:before="40" w:after="120"/>
        <w:jc w:val="both"/>
      </w:pPr>
      <w:r>
        <w:rPr>
          <w:rFonts w:ascii="Times New Roman" w:hAnsi="Times New Roman"/>
          <w:b w:val="0"/>
          <w:i w:val="0"/>
          <w:sz w:val="24"/>
        </w:rPr>
        <w:t xml:space="preserve">[10] N. Matentzoglu et al. SSSOM: A simple standard for sharing ontology mappings. </w:t>
      </w:r>
      <w:r>
        <w:rPr>
          <w:rFonts w:ascii="Times New Roman" w:hAnsi="Times New Roman"/>
          <w:b w:val="0"/>
          <w:i/>
          <w:sz w:val="24"/>
        </w:rPr>
        <w:t>Database</w:t>
      </w:r>
      <w:r>
        <w:rPr>
          <w:rFonts w:ascii="Times New Roman" w:hAnsi="Times New Roman"/>
          <w:b w:val="0"/>
          <w:i w:val="0"/>
          <w:sz w:val="24"/>
        </w:rPr>
        <w:t>, 2022, baac035.</w:t>
      </w:r>
    </w:p>
    <w:p>
      <w:pPr>
        <w:spacing w:before="40" w:after="120"/>
        <w:jc w:val="both"/>
      </w:pPr>
      <w:r>
        <w:rPr>
          <w:rFonts w:ascii="Times New Roman" w:hAnsi="Times New Roman"/>
          <w:b w:val="0"/>
          <w:i w:val="0"/>
          <w:sz w:val="24"/>
        </w:rPr>
        <w:t>[11] W3C OWL Working Group. OWL 2 Web Ontology Language Document Overview. W3C Recommendation, 2012. https://www.w3.org/TR/owl2-overview/</w:t>
      </w:r>
    </w:p>
    <w:p>
      <w:pPr>
        <w:spacing w:before="40" w:after="120"/>
        <w:jc w:val="both"/>
      </w:pPr>
      <w:r>
        <w:rPr>
          <w:rFonts w:ascii="Times New Roman" w:hAnsi="Times New Roman"/>
          <w:b w:val="0"/>
          <w:i w:val="0"/>
          <w:sz w:val="24"/>
        </w:rPr>
        <w:t>[12] H. Knublauch, D. Kontokostas. Shapes Constraint Language (SHACL). W3C Recommendation, 2017. https://www.w3.org/TR/shacl/</w:t>
      </w:r>
    </w:p>
    <w:p>
      <w:pPr>
        <w:spacing w:before="40" w:after="120"/>
        <w:jc w:val="both"/>
      </w:pPr>
      <w:r>
        <w:rPr>
          <w:rFonts w:ascii="Times New Roman" w:hAnsi="Times New Roman"/>
          <w:b w:val="0"/>
          <w:i w:val="0"/>
          <w:sz w:val="24"/>
        </w:rPr>
        <w:t xml:space="preserve">[13] A. Minello et al. Using SHACL to validate clinical data expressed as RDF. In </w:t>
      </w:r>
      <w:r>
        <w:rPr>
          <w:rFonts w:ascii="Times New Roman" w:hAnsi="Times New Roman"/>
          <w:b w:val="0"/>
          <w:i/>
          <w:sz w:val="24"/>
        </w:rPr>
        <w:t>MedInfo</w:t>
      </w:r>
      <w:r>
        <w:rPr>
          <w:rFonts w:ascii="Times New Roman" w:hAnsi="Times New Roman"/>
          <w:b w:val="0"/>
          <w:i w:val="0"/>
          <w:sz w:val="24"/>
        </w:rPr>
        <w:t>, 2023.</w:t>
      </w:r>
    </w:p>
    <w:p>
      <w:pPr>
        <w:spacing w:before="40" w:after="120"/>
        <w:jc w:val="both"/>
      </w:pPr>
      <w:r>
        <w:rPr>
          <w:rFonts w:ascii="Times New Roman" w:hAnsi="Times New Roman"/>
          <w:b w:val="0"/>
          <w:i w:val="0"/>
          <w:sz w:val="24"/>
        </w:rPr>
        <w:t xml:space="preserve">[14] E. Prud'hommeaux, J. E. Labra Gayo, H. Solbrig. Shape Expressions: an RDF validation and transformation language. In </w:t>
      </w:r>
      <w:r>
        <w:rPr>
          <w:rFonts w:ascii="Times New Roman" w:hAnsi="Times New Roman"/>
          <w:b w:val="0"/>
          <w:i/>
          <w:sz w:val="24"/>
        </w:rPr>
        <w:t>LDOW</w:t>
      </w:r>
      <w:r>
        <w:rPr>
          <w:rFonts w:ascii="Times New Roman" w:hAnsi="Times New Roman"/>
          <w:b w:val="0"/>
          <w:i w:val="0"/>
          <w:sz w:val="24"/>
        </w:rPr>
        <w:t>, 2014.</w:t>
      </w:r>
    </w:p>
    <w:p>
      <w:pPr>
        <w:spacing w:before="40" w:after="120"/>
        <w:jc w:val="both"/>
      </w:pPr>
      <w:r>
        <w:rPr>
          <w:rFonts w:ascii="Times New Roman" w:hAnsi="Times New Roman"/>
          <w:b w:val="0"/>
          <w:i w:val="0"/>
          <w:sz w:val="24"/>
        </w:rPr>
        <w:t xml:space="preserve">[15] M. A. Musen. The Protégé project: A look back and a look forward. </w:t>
      </w:r>
      <w:r>
        <w:rPr>
          <w:rFonts w:ascii="Times New Roman" w:hAnsi="Times New Roman"/>
          <w:b w:val="0"/>
          <w:i/>
          <w:sz w:val="24"/>
        </w:rPr>
        <w:t>AI Matters</w:t>
      </w:r>
      <w:r>
        <w:rPr>
          <w:rFonts w:ascii="Times New Roman" w:hAnsi="Times New Roman"/>
          <w:b w:val="0"/>
          <w:i w:val="0"/>
          <w:sz w:val="24"/>
        </w:rPr>
        <w:t>, 1(4):4–12, 2015.</w:t>
      </w:r>
    </w:p>
    <w:p>
      <w:pPr>
        <w:spacing w:before="40" w:after="120"/>
        <w:jc w:val="both"/>
      </w:pPr>
      <w:r>
        <w:rPr>
          <w:rFonts w:ascii="Times New Roman" w:hAnsi="Times New Roman"/>
          <w:b w:val="0"/>
          <w:i w:val="0"/>
          <w:sz w:val="24"/>
        </w:rPr>
        <w:t xml:space="preserve">[16] E. Barzdins et al. OWLGrEd: A UML-style graphical notation and editor for OWL 2. In </w:t>
      </w:r>
      <w:r>
        <w:rPr>
          <w:rFonts w:ascii="Times New Roman" w:hAnsi="Times New Roman"/>
          <w:b w:val="0"/>
          <w:i/>
          <w:sz w:val="24"/>
        </w:rPr>
        <w:t>OWL: Experiences and Directions</w:t>
      </w:r>
      <w:r>
        <w:rPr>
          <w:rFonts w:ascii="Times New Roman" w:hAnsi="Times New Roman"/>
          <w:b w:val="0"/>
          <w:i w:val="0"/>
          <w:sz w:val="24"/>
        </w:rPr>
        <w:t>, 2010.</w:t>
      </w:r>
    </w:p>
    <w:p>
      <w:pPr>
        <w:spacing w:before="40" w:after="120"/>
        <w:jc w:val="both"/>
      </w:pPr>
      <w:r>
        <w:rPr>
          <w:rFonts w:ascii="Times New Roman" w:hAnsi="Times New Roman"/>
          <w:b w:val="0"/>
          <w:i w:val="0"/>
          <w:sz w:val="24"/>
        </w:rPr>
        <w:t>[17] HL7 International. FHIR: Fast Healthcare Interoperability Resources. https://hl7.org/fhir/, Release 4, 2019.</w:t>
      </w:r>
    </w:p>
    <w:p>
      <w:pPr>
        <w:spacing w:before="40" w:after="120"/>
        <w:jc w:val="both"/>
      </w:pPr>
      <w:r>
        <w:rPr>
          <w:rFonts w:ascii="Times New Roman" w:hAnsi="Times New Roman"/>
          <w:b w:val="0"/>
          <w:i w:val="0"/>
          <w:sz w:val="24"/>
        </w:rPr>
        <w:t xml:space="preserve">[18] G. Hripcsak et al. Observational Health Data Sciences and Informatics (OHDSI): Opportunities for Observational Researchers. In </w:t>
      </w:r>
      <w:r>
        <w:rPr>
          <w:rFonts w:ascii="Times New Roman" w:hAnsi="Times New Roman"/>
          <w:b w:val="0"/>
          <w:i/>
          <w:sz w:val="24"/>
        </w:rPr>
        <w:t>MedInfo</w:t>
      </w:r>
      <w:r>
        <w:rPr>
          <w:rFonts w:ascii="Times New Roman" w:hAnsi="Times New Roman"/>
          <w:b w:val="0"/>
          <w:i w:val="0"/>
          <w:sz w:val="24"/>
        </w:rPr>
        <w:t>, 2015, pp. 574–578.</w:t>
      </w:r>
    </w:p>
    <w:p>
      <w:pPr>
        <w:spacing w:before="40" w:after="120"/>
        <w:jc w:val="both"/>
      </w:pPr>
      <w:r>
        <w:rPr>
          <w:rFonts w:ascii="Times New Roman" w:hAnsi="Times New Roman"/>
          <w:b w:val="0"/>
          <w:i w:val="0"/>
          <w:sz w:val="24"/>
        </w:rPr>
        <w:t xml:space="preserve">[19] K. M. Garza et al. Evaluating common data models for use with a longitudinal community registry. </w:t>
      </w:r>
      <w:r>
        <w:rPr>
          <w:rFonts w:ascii="Times New Roman" w:hAnsi="Times New Roman"/>
          <w:b w:val="0"/>
          <w:i/>
          <w:sz w:val="24"/>
        </w:rPr>
        <w:t>Journal of Biomedical Informatics</w:t>
      </w:r>
      <w:r>
        <w:rPr>
          <w:rFonts w:ascii="Times New Roman" w:hAnsi="Times New Roman"/>
          <w:b w:val="0"/>
          <w:i w:val="0"/>
          <w:sz w:val="24"/>
        </w:rPr>
        <w:t>, 2016.</w:t>
      </w:r>
    </w:p>
    <w:p>
      <w:pPr>
        <w:spacing w:before="40" w:after="120"/>
        <w:jc w:val="both"/>
      </w:pPr>
      <w:r>
        <w:rPr>
          <w:rFonts w:ascii="Times New Roman" w:hAnsi="Times New Roman"/>
          <w:b w:val="0"/>
          <w:i w:val="0"/>
          <w:sz w:val="24"/>
        </w:rPr>
        <w:t xml:space="preserve">[20] R. Freimuth et al. A FHIR-based approach to semantic interoperability in clinical research. </w:t>
      </w:r>
      <w:r>
        <w:rPr>
          <w:rFonts w:ascii="Times New Roman" w:hAnsi="Times New Roman"/>
          <w:b w:val="0"/>
          <w:i/>
          <w:sz w:val="24"/>
        </w:rPr>
        <w:t>AMIA Annual Symposium</w:t>
      </w:r>
      <w:r>
        <w:rPr>
          <w:rFonts w:ascii="Times New Roman" w:hAnsi="Times New Roman"/>
          <w:b w:val="0"/>
          <w:i w:val="0"/>
          <w:sz w:val="24"/>
        </w:rPr>
        <w:t>, 2018.</w:t>
      </w:r>
    </w:p>
    <w:p>
      <w:pPr>
        <w:spacing w:before="40" w:after="120"/>
        <w:jc w:val="both"/>
      </w:pPr>
      <w:r>
        <w:rPr>
          <w:rFonts w:ascii="Times New Roman" w:hAnsi="Times New Roman"/>
          <w:b w:val="0"/>
          <w:i w:val="0"/>
          <w:sz w:val="24"/>
        </w:rPr>
        <w:t>[21] AIDAVA Project. AIDAVA Reference Ontology (aidava-sphn.ttl). https://github.com/AIDAVA-DEV/AIDAVA-Reference-Ontology, 2024.</w:t>
      </w:r>
    </w:p>
    <w:p>
      <w:pPr>
        <w:spacing w:before="40" w:after="120"/>
        <w:jc w:val="both"/>
      </w:pPr>
      <w:r>
        <w:rPr>
          <w:rFonts w:ascii="Times New Roman" w:hAnsi="Times New Roman"/>
          <w:b w:val="0"/>
          <w:i w:val="0"/>
          <w:sz w:val="24"/>
        </w:rPr>
        <w:t xml:space="preserve">[22] H. Bast, J. Buchhold, E. Haußmann. QLever: A query engine for efficient SPARQL+Text search. In </w:t>
      </w:r>
      <w:r>
        <w:rPr>
          <w:rFonts w:ascii="Times New Roman" w:hAnsi="Times New Roman"/>
          <w:b w:val="0"/>
          <w:i/>
          <w:sz w:val="24"/>
        </w:rPr>
        <w:t>CIKM</w:t>
      </w:r>
      <w:r>
        <w:rPr>
          <w:rFonts w:ascii="Times New Roman" w:hAnsi="Times New Roman"/>
          <w:b w:val="0"/>
          <w:i w:val="0"/>
          <w:sz w:val="24"/>
        </w:rPr>
        <w:t>,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