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3870" w14:textId="4666E21A"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Sales Performance Dashboard – Key Findings and Business Decisions</w:t>
      </w:r>
    </w:p>
    <w:p w14:paraId="65A7FF3C"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Executive Summary</w:t>
      </w:r>
    </w:p>
    <w:p w14:paraId="78F792B0"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The Sales Dashboard was developed to </w:t>
      </w:r>
      <w:proofErr w:type="spellStart"/>
      <w:r w:rsidRPr="005E5D69">
        <w:rPr>
          <w:rFonts w:asciiTheme="minorHAnsi" w:hAnsiTheme="minorHAnsi" w:cstheme="minorHAnsi"/>
          <w:sz w:val="24"/>
          <w:szCs w:val="24"/>
          <w:lang w:val="en-IN"/>
        </w:rPr>
        <w:t>analyze</w:t>
      </w:r>
      <w:proofErr w:type="spellEnd"/>
      <w:r w:rsidRPr="005E5D69">
        <w:rPr>
          <w:rFonts w:asciiTheme="minorHAnsi" w:hAnsiTheme="minorHAnsi" w:cstheme="minorHAnsi"/>
          <w:sz w:val="24"/>
          <w:szCs w:val="24"/>
          <w:lang w:val="en-IN"/>
        </w:rPr>
        <w:t xml:space="preserve"> overall business performance across revenue, profit, customer segments, regions, products, and discount strategies. The dashboard provides management with a comprehensive view of sales performance and helps identify areas for growth and improvement.</w:t>
      </w:r>
    </w:p>
    <w:p w14:paraId="084E5916" w14:textId="77777777" w:rsidR="005E5D69" w:rsidRPr="005E5D69" w:rsidRDefault="005E5D69" w:rsidP="005E5D69">
      <w:pPr>
        <w:rPr>
          <w:rFonts w:asciiTheme="minorHAnsi" w:hAnsiTheme="minorHAnsi" w:cstheme="minorHAnsi"/>
          <w:sz w:val="24"/>
          <w:szCs w:val="24"/>
          <w:lang w:val="en-IN"/>
        </w:rPr>
      </w:pPr>
    </w:p>
    <w:p w14:paraId="4CC35E60"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Key Findings</w:t>
      </w:r>
    </w:p>
    <w:p w14:paraId="7E086D33"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1. Strong Overall Sales Performance</w:t>
      </w:r>
    </w:p>
    <w:p w14:paraId="2452460C"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The company generated a total revenue of </w:t>
      </w:r>
      <w:r w:rsidRPr="005E5D69">
        <w:rPr>
          <w:rFonts w:asciiTheme="minorHAnsi" w:hAnsiTheme="minorHAnsi" w:cstheme="minorHAnsi"/>
          <w:b/>
          <w:bCs/>
          <w:sz w:val="24"/>
          <w:szCs w:val="24"/>
          <w:lang w:val="en-IN"/>
        </w:rPr>
        <w:t>$2.17 million</w:t>
      </w:r>
      <w:r w:rsidRPr="005E5D69">
        <w:rPr>
          <w:rFonts w:asciiTheme="minorHAnsi" w:hAnsiTheme="minorHAnsi" w:cstheme="minorHAnsi"/>
          <w:sz w:val="24"/>
          <w:szCs w:val="24"/>
          <w:lang w:val="en-IN"/>
        </w:rPr>
        <w:t xml:space="preserve"> with a total profit of </w:t>
      </w:r>
      <w:r w:rsidRPr="005E5D69">
        <w:rPr>
          <w:rFonts w:asciiTheme="minorHAnsi" w:hAnsiTheme="minorHAnsi" w:cstheme="minorHAnsi"/>
          <w:b/>
          <w:bCs/>
          <w:sz w:val="24"/>
          <w:szCs w:val="24"/>
          <w:lang w:val="en-IN"/>
        </w:rPr>
        <w:t>$888,327.80</w:t>
      </w:r>
      <w:r w:rsidRPr="005E5D69">
        <w:rPr>
          <w:rFonts w:asciiTheme="minorHAnsi" w:hAnsiTheme="minorHAnsi" w:cstheme="minorHAnsi"/>
          <w:sz w:val="24"/>
          <w:szCs w:val="24"/>
          <w:lang w:val="en-IN"/>
        </w:rPr>
        <w:t xml:space="preserve">, resulting in a healthy profit margin of </w:t>
      </w:r>
      <w:r w:rsidRPr="005E5D69">
        <w:rPr>
          <w:rFonts w:asciiTheme="minorHAnsi" w:hAnsiTheme="minorHAnsi" w:cstheme="minorHAnsi"/>
          <w:b/>
          <w:bCs/>
          <w:sz w:val="24"/>
          <w:szCs w:val="24"/>
          <w:lang w:val="en-IN"/>
        </w:rPr>
        <w:t>40.90%</w:t>
      </w:r>
      <w:r w:rsidRPr="005E5D69">
        <w:rPr>
          <w:rFonts w:asciiTheme="minorHAnsi" w:hAnsiTheme="minorHAnsi" w:cstheme="minorHAnsi"/>
          <w:sz w:val="24"/>
          <w:szCs w:val="24"/>
          <w:lang w:val="en-IN"/>
        </w:rPr>
        <w:t xml:space="preserve">. A total of </w:t>
      </w:r>
      <w:r w:rsidRPr="005E5D69">
        <w:rPr>
          <w:rFonts w:asciiTheme="minorHAnsi" w:hAnsiTheme="minorHAnsi" w:cstheme="minorHAnsi"/>
          <w:b/>
          <w:bCs/>
          <w:sz w:val="24"/>
          <w:szCs w:val="24"/>
          <w:lang w:val="en-IN"/>
        </w:rPr>
        <w:t>4,964 units</w:t>
      </w:r>
      <w:r w:rsidRPr="005E5D69">
        <w:rPr>
          <w:rFonts w:asciiTheme="minorHAnsi" w:hAnsiTheme="minorHAnsi" w:cstheme="minorHAnsi"/>
          <w:sz w:val="24"/>
          <w:szCs w:val="24"/>
          <w:lang w:val="en-IN"/>
        </w:rPr>
        <w:t xml:space="preserve"> were sold, while the average discount offered was </w:t>
      </w:r>
      <w:r w:rsidRPr="005E5D69">
        <w:rPr>
          <w:rFonts w:asciiTheme="minorHAnsi" w:hAnsiTheme="minorHAnsi" w:cstheme="minorHAnsi"/>
          <w:b/>
          <w:bCs/>
          <w:sz w:val="24"/>
          <w:szCs w:val="24"/>
          <w:lang w:val="en-IN"/>
        </w:rPr>
        <w:t>14.80%</w:t>
      </w:r>
      <w:r w:rsidRPr="005E5D69">
        <w:rPr>
          <w:rFonts w:asciiTheme="minorHAnsi" w:hAnsiTheme="minorHAnsi" w:cstheme="minorHAnsi"/>
          <w:sz w:val="24"/>
          <w:szCs w:val="24"/>
          <w:lang w:val="en-IN"/>
        </w:rPr>
        <w:t>.</w:t>
      </w:r>
    </w:p>
    <w:p w14:paraId="03561267"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2. Revenue Trends</w:t>
      </w:r>
    </w:p>
    <w:p w14:paraId="180CBD4E"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Revenue remained relatively stable across most quarters, indicating consistent sales performance. However, a noticeable decline is observed in the final quarter, which may require further investigation to determine whether it was caused by reduced demand, seasonal factors, or incomplete data.</w:t>
      </w:r>
    </w:p>
    <w:p w14:paraId="3BC7228B"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3. Regional Performance</w:t>
      </w:r>
    </w:p>
    <w:p w14:paraId="6184F3BA"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The North, South, and East regions contributed the highest revenue and profit, while the West region generated comparatively lower sales. This suggests opportunities to strengthen marketing and sales activities in underperforming regions.</w:t>
      </w:r>
    </w:p>
    <w:p w14:paraId="4487207B"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4. Product Performance</w:t>
      </w:r>
    </w:p>
    <w:p w14:paraId="0EF5D678"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The Top 10 Products analysis shows that a small number of products contribute a significant portion of total revenue and profit. These high-performing products should be prioritized for inventory management, promotion, and future business growth strategies.</w:t>
      </w:r>
    </w:p>
    <w:p w14:paraId="08316D86"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5. Customer Demographics</w:t>
      </w:r>
    </w:p>
    <w:p w14:paraId="6B435C6F"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Customers in the </w:t>
      </w:r>
      <w:r w:rsidRPr="005E5D69">
        <w:rPr>
          <w:rFonts w:asciiTheme="minorHAnsi" w:hAnsiTheme="minorHAnsi" w:cstheme="minorHAnsi"/>
          <w:b/>
          <w:bCs/>
          <w:sz w:val="24"/>
          <w:szCs w:val="24"/>
          <w:lang w:val="en-IN"/>
        </w:rPr>
        <w:t>36–45 age group</w:t>
      </w:r>
      <w:r w:rsidRPr="005E5D69">
        <w:rPr>
          <w:rFonts w:asciiTheme="minorHAnsi" w:hAnsiTheme="minorHAnsi" w:cstheme="minorHAnsi"/>
          <w:sz w:val="24"/>
          <w:szCs w:val="24"/>
          <w:lang w:val="en-IN"/>
        </w:rPr>
        <w:t xml:space="preserve"> generated the highest revenue contribution, making them the most valuable customer segment. Marketing campaigns and customer retention programs should focus on this demographic to maximize returns.</w:t>
      </w:r>
    </w:p>
    <w:p w14:paraId="123DF55B"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6. Loyalty Program Impact</w:t>
      </w:r>
    </w:p>
    <w:p w14:paraId="6DFA4E3E"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Platinum and Gold loyalty members generated significantly higher revenue and profit compared to lower-tier members. This indicates that customer loyalty programs positively influence purchasing </w:t>
      </w:r>
      <w:proofErr w:type="spellStart"/>
      <w:r w:rsidRPr="005E5D69">
        <w:rPr>
          <w:rFonts w:asciiTheme="minorHAnsi" w:hAnsiTheme="minorHAnsi" w:cstheme="minorHAnsi"/>
          <w:sz w:val="24"/>
          <w:szCs w:val="24"/>
          <w:lang w:val="en-IN"/>
        </w:rPr>
        <w:t>behavior</w:t>
      </w:r>
      <w:proofErr w:type="spellEnd"/>
      <w:r w:rsidRPr="005E5D69">
        <w:rPr>
          <w:rFonts w:asciiTheme="minorHAnsi" w:hAnsiTheme="minorHAnsi" w:cstheme="minorHAnsi"/>
          <w:sz w:val="24"/>
          <w:szCs w:val="24"/>
          <w:lang w:val="en-IN"/>
        </w:rPr>
        <w:t xml:space="preserve"> and business profitability.</w:t>
      </w:r>
    </w:p>
    <w:p w14:paraId="3698847B"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7. Discount Analysis</w:t>
      </w:r>
    </w:p>
    <w:p w14:paraId="141F2227"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lastRenderedPageBreak/>
        <w:t>Moderate discount levels resulted in stronger sales performance and higher revenue generation. Excessive discounting did not produce proportional increases in profit, indicating the need for a balanced pricing strategy.</w:t>
      </w:r>
    </w:p>
    <w:p w14:paraId="36266294" w14:textId="77777777" w:rsidR="005E5D69" w:rsidRPr="005E5D69" w:rsidRDefault="005E5D69" w:rsidP="005E5D69">
      <w:pPr>
        <w:rPr>
          <w:rFonts w:asciiTheme="minorHAnsi" w:hAnsiTheme="minorHAnsi" w:cstheme="minorHAnsi"/>
          <w:sz w:val="24"/>
          <w:szCs w:val="24"/>
          <w:lang w:val="en-IN"/>
        </w:rPr>
      </w:pPr>
    </w:p>
    <w:p w14:paraId="096DDFE1"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Business Decisions and Recommendations</w:t>
      </w:r>
    </w:p>
    <w:p w14:paraId="57326692" w14:textId="77777777" w:rsidR="005E5D69" w:rsidRPr="005E5D69" w:rsidRDefault="005E5D69" w:rsidP="005E5D69">
      <w:pPr>
        <w:numPr>
          <w:ilvl w:val="0"/>
          <w:numId w:val="1"/>
        </w:num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Increase marketing efforts in lower-performing regions to improve sales contribution. </w:t>
      </w:r>
    </w:p>
    <w:p w14:paraId="4395D2D8" w14:textId="77777777" w:rsidR="005E5D69" w:rsidRPr="005E5D69" w:rsidRDefault="005E5D69" w:rsidP="005E5D69">
      <w:pPr>
        <w:numPr>
          <w:ilvl w:val="0"/>
          <w:numId w:val="1"/>
        </w:num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Focus promotional activities on the top-performing products. </w:t>
      </w:r>
    </w:p>
    <w:p w14:paraId="65C68035" w14:textId="77777777" w:rsidR="005E5D69" w:rsidRPr="005E5D69" w:rsidRDefault="005E5D69" w:rsidP="005E5D69">
      <w:pPr>
        <w:numPr>
          <w:ilvl w:val="0"/>
          <w:numId w:val="1"/>
        </w:num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Strengthen loyalty programs to encourage customer retention and repeat purchases. </w:t>
      </w:r>
    </w:p>
    <w:p w14:paraId="0B3165FF" w14:textId="77777777" w:rsidR="005E5D69" w:rsidRPr="005E5D69" w:rsidRDefault="005E5D69" w:rsidP="005E5D69">
      <w:pPr>
        <w:numPr>
          <w:ilvl w:val="0"/>
          <w:numId w:val="1"/>
        </w:num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Target the 36–45 age group through personalized marketing campaigns. </w:t>
      </w:r>
    </w:p>
    <w:p w14:paraId="01229AF7" w14:textId="77777777" w:rsidR="005E5D69" w:rsidRPr="005E5D69" w:rsidRDefault="005E5D69" w:rsidP="005E5D69">
      <w:pPr>
        <w:numPr>
          <w:ilvl w:val="0"/>
          <w:numId w:val="1"/>
        </w:num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Maintain moderate discount strategies that drive sales while protecting profit margins. </w:t>
      </w:r>
    </w:p>
    <w:p w14:paraId="279FB978" w14:textId="77777777" w:rsidR="005E5D69" w:rsidRPr="005E5D69" w:rsidRDefault="005E5D69" w:rsidP="005E5D69">
      <w:pPr>
        <w:numPr>
          <w:ilvl w:val="0"/>
          <w:numId w:val="1"/>
        </w:numPr>
        <w:rPr>
          <w:rFonts w:asciiTheme="minorHAnsi" w:hAnsiTheme="minorHAnsi" w:cstheme="minorHAnsi"/>
          <w:sz w:val="24"/>
          <w:szCs w:val="24"/>
          <w:lang w:val="en-IN"/>
        </w:rPr>
      </w:pPr>
      <w:r w:rsidRPr="005E5D69">
        <w:rPr>
          <w:rFonts w:asciiTheme="minorHAnsi" w:hAnsiTheme="minorHAnsi" w:cstheme="minorHAnsi"/>
          <w:sz w:val="24"/>
          <w:szCs w:val="24"/>
          <w:lang w:val="en-IN"/>
        </w:rPr>
        <w:t xml:space="preserve">Investigate the decline in the final quarter and develop corrective actions if necessary. </w:t>
      </w:r>
    </w:p>
    <w:p w14:paraId="23252051" w14:textId="77777777" w:rsidR="005E5D69" w:rsidRPr="005E5D69" w:rsidRDefault="005E5D69" w:rsidP="005E5D69">
      <w:pPr>
        <w:ind w:left="720"/>
        <w:rPr>
          <w:rFonts w:asciiTheme="minorHAnsi" w:hAnsiTheme="minorHAnsi" w:cstheme="minorHAnsi"/>
          <w:sz w:val="24"/>
          <w:szCs w:val="24"/>
          <w:lang w:val="en-IN"/>
        </w:rPr>
      </w:pPr>
    </w:p>
    <w:p w14:paraId="359AEBDD" w14:textId="77777777" w:rsidR="005E5D69" w:rsidRPr="005E5D69" w:rsidRDefault="005E5D69" w:rsidP="005E5D69">
      <w:pPr>
        <w:rPr>
          <w:rFonts w:asciiTheme="minorHAnsi" w:hAnsiTheme="minorHAnsi" w:cstheme="minorHAnsi"/>
          <w:b/>
          <w:bCs/>
          <w:sz w:val="24"/>
          <w:szCs w:val="24"/>
          <w:lang w:val="en-IN"/>
        </w:rPr>
      </w:pPr>
      <w:r w:rsidRPr="005E5D69">
        <w:rPr>
          <w:rFonts w:asciiTheme="minorHAnsi" w:hAnsiTheme="minorHAnsi" w:cstheme="minorHAnsi"/>
          <w:b/>
          <w:bCs/>
          <w:sz w:val="24"/>
          <w:szCs w:val="24"/>
          <w:lang w:val="en-IN"/>
        </w:rPr>
        <w:t>Conclusion</w:t>
      </w:r>
    </w:p>
    <w:p w14:paraId="13575644" w14:textId="77777777" w:rsidR="005E5D69" w:rsidRPr="005E5D69" w:rsidRDefault="005E5D69" w:rsidP="005E5D69">
      <w:pPr>
        <w:rPr>
          <w:rFonts w:asciiTheme="minorHAnsi" w:hAnsiTheme="minorHAnsi" w:cstheme="minorHAnsi"/>
          <w:sz w:val="24"/>
          <w:szCs w:val="24"/>
          <w:lang w:val="en-IN"/>
        </w:rPr>
      </w:pPr>
      <w:r w:rsidRPr="005E5D69">
        <w:rPr>
          <w:rFonts w:asciiTheme="minorHAnsi" w:hAnsiTheme="minorHAnsi" w:cstheme="minorHAnsi"/>
          <w:sz w:val="24"/>
          <w:szCs w:val="24"/>
          <w:lang w:val="en-IN"/>
        </w:rPr>
        <w:t>The dashboard demonstrates strong business performance with healthy profitability and identifies clear opportunities for regional expansion, customer retention, and product-focused growth strategies. The insights generated can support data-driven decision-making and improve future sales performance.</w:t>
      </w:r>
    </w:p>
    <w:p w14:paraId="5FD21E92" w14:textId="77777777" w:rsidR="00E51DB1" w:rsidRDefault="00E51DB1" w:rsidP="00E51DB1">
      <w:pPr>
        <w:rPr>
          <w:sz w:val="20"/>
          <w:szCs w:val="20"/>
          <w:lang w:val="en-IN"/>
        </w:rPr>
      </w:pPr>
    </w:p>
    <w:p w14:paraId="4ADC6D8E" w14:textId="1AEBBD47" w:rsidR="00887CC4" w:rsidRPr="00341D00" w:rsidRDefault="00FE29E7" w:rsidP="00FE29E7">
      <w:pPr>
        <w:rPr>
          <w:sz w:val="20"/>
          <w:szCs w:val="20"/>
        </w:rPr>
      </w:pPr>
      <w:r>
        <w:rPr>
          <w:sz w:val="20"/>
          <w:szCs w:val="20"/>
        </w:rPr>
        <w:br/>
      </w:r>
    </w:p>
    <w:sectPr w:rsidR="00887CC4" w:rsidRPr="00341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9488E"/>
    <w:multiLevelType w:val="multilevel"/>
    <w:tmpl w:val="5CDE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09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0AE"/>
    <w:rsid w:val="0017747E"/>
    <w:rsid w:val="00341D00"/>
    <w:rsid w:val="005E5D69"/>
    <w:rsid w:val="00671BEA"/>
    <w:rsid w:val="00887CC4"/>
    <w:rsid w:val="009C369C"/>
    <w:rsid w:val="00D44E24"/>
    <w:rsid w:val="00DC70AE"/>
    <w:rsid w:val="00E1129F"/>
    <w:rsid w:val="00E51DB1"/>
    <w:rsid w:val="00FE29E7"/>
    <w:rsid w:val="00FF28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97FD"/>
  <w15:chartTrackingRefBased/>
  <w15:docId w15:val="{DD4A2C6D-00D7-4538-A6A3-B94B5F2A4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Theme="minorHAnsi" w:hAnsi="Avenir Next LT Pro"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0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0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70A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C70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70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70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70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0A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0A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C70A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C70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70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70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70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7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0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0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70AE"/>
    <w:pPr>
      <w:spacing w:before="160"/>
      <w:jc w:val="center"/>
    </w:pPr>
    <w:rPr>
      <w:i/>
      <w:iCs/>
      <w:color w:val="404040" w:themeColor="text1" w:themeTint="BF"/>
    </w:rPr>
  </w:style>
  <w:style w:type="character" w:customStyle="1" w:styleId="QuoteChar">
    <w:name w:val="Quote Char"/>
    <w:basedOn w:val="DefaultParagraphFont"/>
    <w:link w:val="Quote"/>
    <w:uiPriority w:val="29"/>
    <w:rsid w:val="00DC70AE"/>
    <w:rPr>
      <w:i/>
      <w:iCs/>
      <w:color w:val="404040" w:themeColor="text1" w:themeTint="BF"/>
    </w:rPr>
  </w:style>
  <w:style w:type="paragraph" w:styleId="ListParagraph">
    <w:name w:val="List Paragraph"/>
    <w:basedOn w:val="Normal"/>
    <w:uiPriority w:val="34"/>
    <w:qFormat/>
    <w:rsid w:val="00DC70AE"/>
    <w:pPr>
      <w:ind w:left="720"/>
      <w:contextualSpacing/>
    </w:pPr>
  </w:style>
  <w:style w:type="character" w:styleId="IntenseEmphasis">
    <w:name w:val="Intense Emphasis"/>
    <w:basedOn w:val="DefaultParagraphFont"/>
    <w:uiPriority w:val="21"/>
    <w:qFormat/>
    <w:rsid w:val="00DC70AE"/>
    <w:rPr>
      <w:i/>
      <w:iCs/>
      <w:color w:val="2F5496" w:themeColor="accent1" w:themeShade="BF"/>
    </w:rPr>
  </w:style>
  <w:style w:type="paragraph" w:styleId="IntenseQuote">
    <w:name w:val="Intense Quote"/>
    <w:basedOn w:val="Normal"/>
    <w:next w:val="Normal"/>
    <w:link w:val="IntenseQuoteChar"/>
    <w:uiPriority w:val="30"/>
    <w:qFormat/>
    <w:rsid w:val="00DC7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0AE"/>
    <w:rPr>
      <w:i/>
      <w:iCs/>
      <w:color w:val="2F5496" w:themeColor="accent1" w:themeShade="BF"/>
    </w:rPr>
  </w:style>
  <w:style w:type="character" w:styleId="IntenseReference">
    <w:name w:val="Intense Reference"/>
    <w:basedOn w:val="DefaultParagraphFont"/>
    <w:uiPriority w:val="32"/>
    <w:qFormat/>
    <w:rsid w:val="00DC70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Maathangi -</dc:creator>
  <cp:keywords/>
  <dc:description/>
  <cp:lastModifiedBy>Maathangi -</cp:lastModifiedBy>
  <cp:revision>4</cp:revision>
  <dcterms:created xsi:type="dcterms:W3CDTF">2026-06-21T07:00:00Z</dcterms:created>
  <dcterms:modified xsi:type="dcterms:W3CDTF">2026-06-22T10:27:00Z</dcterms:modified>
</cp:coreProperties>
</file>