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NovaMart Global Omnichannel &amp; Wholesale Distribution Policy (2022)</w:t>
      </w:r>
    </w:p>
    <w:p>
      <w:r>
        <w:t>Document Ref: POL-DIST-2022-V3 | Effective Date: October 1, 2022 | Classification: Internal Operational Standard</w:t>
      </w:r>
    </w:p>
    <w:p>
      <w:pPr>
        <w:pStyle w:val="Heading1"/>
      </w:pPr>
      <w:r>
        <w:t>1. Purpose and Scope</w:t>
      </w:r>
    </w:p>
    <w:p>
      <w:r>
        <w:t>This policy governs all direct-to-consumer (D2C) and business-to-business (B2B) wholesale transactions across NovaMart's e-commerce storefronts, mobile channels, and international distribution hubs. Compliance is mandatory for all regional sales directors, warehouse operations leads, and finance controllers.</w:t>
      </w:r>
    </w:p>
    <w:p>
      <w:pPr>
        <w:pStyle w:val="Heading1"/>
      </w:pPr>
      <w:r>
        <w:t>2. Minimum Order Quantities (MOQ) &amp; Volume Pricing</w:t>
      </w:r>
    </w:p>
    <w:p>
      <w:r>
        <w:t>To preserve logistics efficiency and pallet optimization, corporate wholesale orders are subject to the following tiering:</w:t>
        <w:br/>
        <w:t>• Tier 1 (Standard Retail): 1 to 20 units. Standard catalog pricing applies.</w:t>
        <w:br/>
        <w:t>• Tier 2 (Commercial Partner): 21 to 100 units. Eligible for 5.0% volume discount.</w:t>
        <w:br/>
        <w:t>• Tier 3 (Master Wholesale Distributor): 101+ units. Eligible for negotiated pricing up to a strict ceiling of 15.0% discount upon VP Commercial approval.</w:t>
        <w:br/>
        <w:t>Unauthorized off-invoice discounting exceeding 15% is prohibited under Section 4 of our corporate governance guidelines.</w:t>
      </w:r>
    </w:p>
    <w:p>
      <w:pPr>
        <w:pStyle w:val="Heading1"/>
      </w:pPr>
      <w:r>
        <w:t>3. Shipping Service Level Agreements (SLAs)</w:t>
      </w:r>
    </w:p>
    <w:p>
      <w:r>
        <w:t>Standard order processing benchmarks by region:</w:t>
        <w:br/>
        <w:t>• United Kingdom &amp; Domestic Hub: Same-day dispatch for orders received before 14:00 GMT. 24-hour tracked delivery.</w:t>
        <w:br/>
        <w:t>• Western Europe (Germany, France, Netherlands): 48-hour delivery via DHL Express.</w:t>
        <w:br/>
        <w:t>• North America (United States, Canada): 48-to-72 hour delivery via Chicago fulfillment center.</w:t>
        <w:br/>
        <w:t>• Asia-Pacific (Australia, Japan): 5-to-7 business days via Kerry Logistics priority air freight.</w:t>
      </w:r>
    </w:p>
    <w:p>
      <w:pPr>
        <w:pStyle w:val="Heading1"/>
      </w:pPr>
      <w:r>
        <w:t>4. Returns, Cancellations, and Defect Handling</w:t>
      </w:r>
    </w:p>
    <w:p>
      <w:r>
        <w:t>NovaMart maintains a customer-friendly 30-day return policy for unopened items in original packaging. For Electronics, opened items may be returned within 14 days subject to automated serial number verification. Defective merchandise will receive immediate advance replacement. Historical return rates across all categories must remain under 3.5% of total quarterly gross sales; any SKU exceeding 5.0% return frequency will trigger an automated supply audit.</w:t>
      </w:r>
    </w:p>
    <w:p>
      <w:pPr>
        <w:pStyle w:val="Heading1"/>
      </w:pPr>
      <w:r>
        <w:t>5. Audit Provenance &amp; Analytical Transparency</w:t>
      </w:r>
    </w:p>
    <w:p>
      <w:r>
        <w:t>When business analysts evaluate channel performance, all sales figures must cite order_id records directly from the cleaned transactions dataset. Discounts must be derived by comparing realized unit_price against the baseline catalog MSRP. Speculative conclusions lacking document or transaction citations will be rejected by internal auditing.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