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A20D6" w14:textId="6059B2FF" w:rsidR="00215908" w:rsidRDefault="00215908">
      <w:r>
        <w:t>Potential user engagement features.</w:t>
      </w:r>
    </w:p>
    <w:p w14:paraId="49E7D123" w14:textId="41A5F155" w:rsidR="00E65BD4" w:rsidRDefault="00215908" w:rsidP="00E65BD4">
      <w:r>
        <w:t>Making the App multilingual: Around only 10% of south African</w:t>
      </w:r>
      <w:r w:rsidR="00E65BD4">
        <w:t>s</w:t>
      </w:r>
      <w:r>
        <w:t xml:space="preserve"> speak English, therefore I suggest making the app multilingual can be beneficial.</w:t>
      </w:r>
      <w:sdt>
        <w:sdtPr>
          <w:id w:val="-1183507332"/>
          <w:citation/>
        </w:sdtPr>
        <w:sdtContent>
          <w:r>
            <w:fldChar w:fldCharType="begin"/>
          </w:r>
          <w:r>
            <w:rPr>
              <w:lang w:val="en-US"/>
            </w:rPr>
            <w:instrText xml:space="preserve"> CITATION Mar24 \l 1033 </w:instrText>
          </w:r>
          <w:r>
            <w:fldChar w:fldCharType="separate"/>
          </w:r>
          <w:r>
            <w:rPr>
              <w:noProof/>
              <w:lang w:val="en-US"/>
            </w:rPr>
            <w:t xml:space="preserve"> (Alexander, 2024)</w:t>
          </w:r>
          <w:r>
            <w:fldChar w:fldCharType="end"/>
          </w:r>
        </w:sdtContent>
      </w:sdt>
      <w:r w:rsidR="00E65BD4">
        <w:t xml:space="preserve">. </w:t>
      </w:r>
      <w:r w:rsidR="00E65BD4" w:rsidRPr="00E65BD4">
        <w:t>Apps that are offered in the user's native tongue increase the likelihood that users will interact with and use them. Multilingual content enhances user experience overall, retention rates, and user happiness.</w:t>
      </w:r>
      <w:r w:rsidR="00E65BD4">
        <w:t xml:space="preserve"> </w:t>
      </w:r>
      <w:r w:rsidR="00E65BD4" w:rsidRPr="00E65BD4">
        <w:t>For messaging apps to enable effective and varied conversation between users with various language origins, multilingual support is a must.</w:t>
      </w:r>
      <w:r w:rsidR="00395FF9">
        <w:t xml:space="preserve"> </w:t>
      </w:r>
      <w:r w:rsidR="00395FF9" w:rsidRPr="00395FF9">
        <w:t>An app's usefulness and the speed at which users can fix problems can be significantly enhanced by its capacity to offer customer help in different languages.</w:t>
      </w:r>
      <w:sdt>
        <w:sdtPr>
          <w:id w:val="-1642110877"/>
          <w:citation/>
        </w:sdtPr>
        <w:sdtContent>
          <w:r w:rsidR="00395FF9">
            <w:fldChar w:fldCharType="begin"/>
          </w:r>
          <w:r w:rsidR="00395FF9">
            <w:rPr>
              <w:lang w:val="en-US"/>
            </w:rPr>
            <w:instrText xml:space="preserve"> CITATION nan24 \l 1033 </w:instrText>
          </w:r>
          <w:r w:rsidR="00395FF9">
            <w:fldChar w:fldCharType="separate"/>
          </w:r>
          <w:r w:rsidR="00395FF9">
            <w:rPr>
              <w:noProof/>
              <w:lang w:val="en-US"/>
            </w:rPr>
            <w:t xml:space="preserve"> (nandbox, 2024)</w:t>
          </w:r>
          <w:r w:rsidR="00395FF9">
            <w:fldChar w:fldCharType="end"/>
          </w:r>
        </w:sdtContent>
      </w:sdt>
    </w:p>
    <w:p w14:paraId="2C5A139D" w14:textId="27494B70" w:rsidR="00885956" w:rsidRDefault="00885956" w:rsidP="00885956">
      <w:r>
        <w:t xml:space="preserve">Adding Push notifications: </w:t>
      </w:r>
      <w:r w:rsidRPr="00885956">
        <w:t>Because push notifications enable businesses, organizations, and governments to rapidly convey information directly to people's phones, app developers use them extensively. Being able to communicate with users who have downloaded your app is not only a terrific tool, but it's also a great method to keep them interested and informed.</w:t>
      </w:r>
      <w:r w:rsidR="00404740" w:rsidRPr="00404740">
        <w:t xml:space="preserve"> </w:t>
      </w:r>
      <w:r w:rsidR="00404740" w:rsidRPr="00404740">
        <w:t xml:space="preserve">For instance, bad weather may force a municipality to postpone </w:t>
      </w:r>
      <w:proofErr w:type="gramStart"/>
      <w:r w:rsidR="00404740" w:rsidRPr="00404740">
        <w:t>a number of</w:t>
      </w:r>
      <w:proofErr w:type="gramEnd"/>
      <w:r w:rsidR="00404740" w:rsidRPr="00404740">
        <w:t xml:space="preserve"> sporting events. They can accomplish this by making a push notification and distributing it exclusively to community members who participate in sports. Users of the app can always choose not to receive push notifications, as required by law.</w:t>
      </w:r>
      <w:sdt>
        <w:sdtPr>
          <w:id w:val="1741672098"/>
          <w:citation/>
        </w:sdtPr>
        <w:sdtContent>
          <w:r w:rsidR="00404740">
            <w:fldChar w:fldCharType="begin"/>
          </w:r>
          <w:r w:rsidR="00404740">
            <w:rPr>
              <w:lang w:val="en-US"/>
            </w:rPr>
            <w:instrText xml:space="preserve"> CITATION Kar22 \l 1033 </w:instrText>
          </w:r>
          <w:r w:rsidR="00404740">
            <w:fldChar w:fldCharType="separate"/>
          </w:r>
          <w:r w:rsidR="00404740">
            <w:rPr>
              <w:noProof/>
              <w:lang w:val="en-US"/>
            </w:rPr>
            <w:t xml:space="preserve"> (Mansour, 2022)</w:t>
          </w:r>
          <w:r w:rsidR="00404740">
            <w:fldChar w:fldCharType="end"/>
          </w:r>
        </w:sdtContent>
      </w:sdt>
    </w:p>
    <w:p w14:paraId="1F028E99" w14:textId="77777777" w:rsidR="006B0103" w:rsidRDefault="00046D10" w:rsidP="00046D10">
      <w:r>
        <w:t xml:space="preserve">Gamification: </w:t>
      </w:r>
      <w:r w:rsidRPr="00046D10">
        <w:t xml:space="preserve">Fundamentally, gamification is the process of introducing features of games into non-gaming contexts </w:t>
      </w:r>
      <w:proofErr w:type="gramStart"/>
      <w:r w:rsidRPr="00046D10">
        <w:t>in order to</w:t>
      </w:r>
      <w:proofErr w:type="gramEnd"/>
      <w:r w:rsidRPr="00046D10">
        <w:t xml:space="preserve"> engage and inspire consumers. Points, badges, leaderboards, challenges, and incentives are some of the elements that turn routine work into fun activities. Gamification transforms mundane civic responsibilities into delightful experiences by enhancing interactions with pleasure and rewards. </w:t>
      </w:r>
      <w:r w:rsidRPr="00046D10">
        <w:br/>
      </w:r>
      <w:r>
        <w:t>Municipal</w:t>
      </w:r>
      <w:r w:rsidRPr="00046D10">
        <w:t xml:space="preserve"> organizations can profit greatly from gamification. It greatly raises citizen involvement by adding enjoyment to participation. Interactive components improve education by assisting individuals in better understanding </w:t>
      </w:r>
      <w:r>
        <w:t>municipal</w:t>
      </w:r>
      <w:r w:rsidRPr="00046D10">
        <w:t xml:space="preserve"> initiatives</w:t>
      </w:r>
      <w:r>
        <w:t xml:space="preserve">. </w:t>
      </w:r>
      <w:r w:rsidRPr="00046D10">
        <w:t xml:space="preserve">Gamification also makes complicated procedures easier to understand and transparent. </w:t>
      </w:r>
      <w:sdt>
        <w:sdtPr>
          <w:id w:val="-1826893453"/>
          <w:citation/>
        </w:sdtPr>
        <w:sdtContent>
          <w:r>
            <w:fldChar w:fldCharType="begin"/>
          </w:r>
          <w:r>
            <w:rPr>
              <w:lang w:val="en-US"/>
            </w:rPr>
            <w:instrText xml:space="preserve"> CITATION Swa \l 1033 </w:instrText>
          </w:r>
          <w:r>
            <w:fldChar w:fldCharType="separate"/>
          </w:r>
          <w:r>
            <w:rPr>
              <w:noProof/>
              <w:lang w:val="en-US"/>
            </w:rPr>
            <w:t>(SwagSoft, n.d.)</w:t>
          </w:r>
          <w:r>
            <w:fldChar w:fldCharType="end"/>
          </w:r>
        </w:sdtContent>
      </w:sdt>
      <w:r w:rsidRPr="00046D10">
        <w:br/>
      </w:r>
    </w:p>
    <w:p w14:paraId="534B9A34" w14:textId="4C9A68FB" w:rsidR="006B0103" w:rsidRPr="006B0103" w:rsidRDefault="006B0103" w:rsidP="006B0103">
      <w:r>
        <w:t xml:space="preserve">User Feedback: </w:t>
      </w:r>
      <w:r w:rsidRPr="006B0103">
        <w:t>A great method to boost app usage (and re-use) is to find out what users enjoy and don't like about your app, as well as what features or corrections they would like to see added. Investing in the creation of a socially active community where people can communicate with you and one another is a fantastic approach to get feedback.</w:t>
      </w:r>
      <w:r>
        <w:t xml:space="preserve"> This will be implemented into the app.</w:t>
      </w:r>
      <w:sdt>
        <w:sdtPr>
          <w:id w:val="-448388456"/>
          <w:citation/>
        </w:sdtPr>
        <w:sdtContent>
          <w:r w:rsidR="00EE679A">
            <w:fldChar w:fldCharType="begin"/>
          </w:r>
          <w:r w:rsidR="00EE679A">
            <w:rPr>
              <w:lang w:val="en-US"/>
            </w:rPr>
            <w:instrText xml:space="preserve"> CITATION Sen24 \l 1033 </w:instrText>
          </w:r>
          <w:r w:rsidR="00EE679A">
            <w:fldChar w:fldCharType="separate"/>
          </w:r>
          <w:r w:rsidR="00EE679A">
            <w:rPr>
              <w:noProof/>
              <w:lang w:val="en-US"/>
            </w:rPr>
            <w:t xml:space="preserve"> (Sendbird, 2024)</w:t>
          </w:r>
          <w:r w:rsidR="00EE679A">
            <w:fldChar w:fldCharType="end"/>
          </w:r>
        </w:sdtContent>
      </w:sdt>
    </w:p>
    <w:p w14:paraId="3630B9CF" w14:textId="77777777" w:rsidR="000435E3" w:rsidRPr="00046D10" w:rsidRDefault="00046D10" w:rsidP="00046D10">
      <w:r w:rsidRPr="00046D10">
        <w:br/>
      </w:r>
      <w:r w:rsidRPr="00046D10">
        <w:br/>
      </w:r>
      <w:r w:rsidRPr="00046D10">
        <w:lastRenderedPageBreak/>
        <w:br/>
      </w:r>
    </w:p>
    <w:sdt>
      <w:sdtPr>
        <w:id w:val="1926608510"/>
        <w:docPartObj>
          <w:docPartGallery w:val="Bibliographies"/>
          <w:docPartUnique/>
        </w:docPartObj>
      </w:sdtPr>
      <w:sdtEndPr>
        <w:rPr>
          <w:rFonts w:asciiTheme="minorHAnsi" w:eastAsiaTheme="minorHAnsi" w:hAnsiTheme="minorHAnsi" w:cstheme="minorBidi"/>
          <w:color w:val="auto"/>
          <w:sz w:val="24"/>
          <w:szCs w:val="24"/>
        </w:rPr>
      </w:sdtEndPr>
      <w:sdtContent>
        <w:p w14:paraId="065517A3" w14:textId="794078E6" w:rsidR="000435E3" w:rsidRDefault="000435E3">
          <w:pPr>
            <w:pStyle w:val="Heading1"/>
          </w:pPr>
          <w:r>
            <w:t>Bibliography</w:t>
          </w:r>
        </w:p>
        <w:sdt>
          <w:sdtPr>
            <w:id w:val="111145805"/>
            <w:bibliography/>
          </w:sdtPr>
          <w:sdtContent>
            <w:p w14:paraId="3B421293" w14:textId="77777777" w:rsidR="000435E3" w:rsidRDefault="000435E3" w:rsidP="000435E3">
              <w:pPr>
                <w:pStyle w:val="Bibliography"/>
                <w:ind w:left="720" w:hanging="720"/>
                <w:rPr>
                  <w:noProof/>
                  <w:kern w:val="0"/>
                  <w14:ligatures w14:val="none"/>
                </w:rPr>
              </w:pPr>
              <w:r>
                <w:fldChar w:fldCharType="begin"/>
              </w:r>
              <w:r>
                <w:instrText>BIBLIOGRAPHY</w:instrText>
              </w:r>
              <w:r>
                <w:fldChar w:fldCharType="separate"/>
              </w:r>
              <w:r>
                <w:rPr>
                  <w:noProof/>
                </w:rPr>
                <w:t xml:space="preserve">Alexander, M. (2024, September 11). </w:t>
              </w:r>
              <w:r>
                <w:rPr>
                  <w:i/>
                  <w:iCs/>
                  <w:noProof/>
                </w:rPr>
                <w:t>The 11 languages of South Africa</w:t>
              </w:r>
              <w:r>
                <w:rPr>
                  <w:noProof/>
                </w:rPr>
                <w:t>. Retrieved from South Africa Gateway: https://southafrica-info.com/arts-culture/11-languages-south-africa/</w:t>
              </w:r>
            </w:p>
            <w:p w14:paraId="70CF65C5" w14:textId="77777777" w:rsidR="000435E3" w:rsidRDefault="000435E3" w:rsidP="000435E3">
              <w:pPr>
                <w:pStyle w:val="Bibliography"/>
                <w:ind w:left="720" w:hanging="720"/>
                <w:rPr>
                  <w:noProof/>
                </w:rPr>
              </w:pPr>
              <w:r>
                <w:rPr>
                  <w:noProof/>
                </w:rPr>
                <w:t xml:space="preserve">Mansour, K. (2022, June 21). </w:t>
              </w:r>
              <w:r>
                <w:rPr>
                  <w:i/>
                  <w:iCs/>
                  <w:noProof/>
                </w:rPr>
                <w:t>Demystifying Mobile App Push Notifications</w:t>
              </w:r>
              <w:r>
                <w:rPr>
                  <w:noProof/>
                </w:rPr>
                <w:t>. Retrieved from infogrove: https://info-grove.com/demystifying-mobile-app-push-notifications/</w:t>
              </w:r>
            </w:p>
            <w:p w14:paraId="5F8024A2" w14:textId="77777777" w:rsidR="000435E3" w:rsidRDefault="000435E3" w:rsidP="000435E3">
              <w:pPr>
                <w:pStyle w:val="Bibliography"/>
                <w:ind w:left="720" w:hanging="720"/>
                <w:rPr>
                  <w:noProof/>
                </w:rPr>
              </w:pPr>
              <w:r>
                <w:rPr>
                  <w:noProof/>
                </w:rPr>
                <w:t xml:space="preserve">nandbox. (2024, June 17). </w:t>
              </w:r>
              <w:r>
                <w:rPr>
                  <w:i/>
                  <w:iCs/>
                  <w:noProof/>
                </w:rPr>
                <w:t>Building a Multi-Language App: A Step-by-Step Guide</w:t>
              </w:r>
              <w:r>
                <w:rPr>
                  <w:noProof/>
                </w:rPr>
                <w:t>. Retrieved from nandbox: https://nandbox.com/building-a-multi-language-app-a-step-by-step-guide/</w:t>
              </w:r>
            </w:p>
            <w:p w14:paraId="520A549C" w14:textId="77777777" w:rsidR="000435E3" w:rsidRDefault="000435E3" w:rsidP="000435E3">
              <w:pPr>
                <w:pStyle w:val="Bibliography"/>
                <w:ind w:left="720" w:hanging="720"/>
                <w:rPr>
                  <w:noProof/>
                </w:rPr>
              </w:pPr>
              <w:r>
                <w:rPr>
                  <w:noProof/>
                </w:rPr>
                <w:t xml:space="preserve">Sendbird. (2024, Febuary 8). </w:t>
              </w:r>
              <w:r>
                <w:rPr>
                  <w:i/>
                  <w:iCs/>
                  <w:noProof/>
                </w:rPr>
                <w:t>Medium</w:t>
              </w:r>
              <w:r>
                <w:rPr>
                  <w:noProof/>
                </w:rPr>
                <w:t>. Retrieved from Increase app engagement with these 12 strategies: https://medium.com/@Sendbird/increase-app-engagement-with-these-12-strategies-d449d758047e#:~:text=One%20of%20the%20best%20ways,with%20you%20and%20each%20other.</w:t>
              </w:r>
            </w:p>
            <w:p w14:paraId="715CC4E1" w14:textId="77777777" w:rsidR="000435E3" w:rsidRDefault="000435E3" w:rsidP="000435E3">
              <w:pPr>
                <w:pStyle w:val="Bibliography"/>
                <w:ind w:left="720" w:hanging="720"/>
                <w:rPr>
                  <w:noProof/>
                </w:rPr>
              </w:pPr>
              <w:r>
                <w:rPr>
                  <w:noProof/>
                </w:rPr>
                <w:t xml:space="preserve">SwagSoft. (n.d.). </w:t>
              </w:r>
              <w:r>
                <w:rPr>
                  <w:i/>
                  <w:iCs/>
                  <w:noProof/>
                </w:rPr>
                <w:t>Gamification for Government: Enhancing Public Engagement</w:t>
              </w:r>
              <w:r>
                <w:rPr>
                  <w:noProof/>
                </w:rPr>
                <w:t>. Retrieved from Swagsoft: https://www.swagsoft.com/post/gamification-for-government-enhancing-public-engagement#:~:text=Benefits%20of%20Gamification%20for%20Government&amp;text=Interactive%20elements%20enhance%20learning%2C%20helping,them%20more%20accessible%20and%20transparent.</w:t>
              </w:r>
            </w:p>
            <w:p w14:paraId="09788F1A" w14:textId="4425CD44" w:rsidR="000435E3" w:rsidRDefault="000435E3" w:rsidP="000435E3">
              <w:r>
                <w:rPr>
                  <w:b/>
                  <w:bCs/>
                </w:rPr>
                <w:fldChar w:fldCharType="end"/>
              </w:r>
            </w:p>
          </w:sdtContent>
        </w:sdt>
      </w:sdtContent>
    </w:sdt>
    <w:p w14:paraId="58C3A7F3" w14:textId="7D0B5109" w:rsidR="00046D10" w:rsidRPr="00046D10" w:rsidRDefault="00046D10" w:rsidP="00046D10">
      <w:r w:rsidRPr="00046D10">
        <w:br/>
      </w:r>
    </w:p>
    <w:p w14:paraId="5903E5A3" w14:textId="650EE872" w:rsidR="00046D10" w:rsidRPr="00885956" w:rsidRDefault="00046D10" w:rsidP="00885956"/>
    <w:p w14:paraId="3A995C8A" w14:textId="16AF494D" w:rsidR="00885956" w:rsidRPr="00E65BD4" w:rsidRDefault="00885956" w:rsidP="00E65BD4"/>
    <w:p w14:paraId="05C385F2" w14:textId="5D4F0148" w:rsidR="00CF2917" w:rsidRDefault="00CF2917"/>
    <w:sectPr w:rsidR="00CF2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A5"/>
    <w:rsid w:val="00036639"/>
    <w:rsid w:val="000435E3"/>
    <w:rsid w:val="00046D10"/>
    <w:rsid w:val="00215908"/>
    <w:rsid w:val="00395FF9"/>
    <w:rsid w:val="00404740"/>
    <w:rsid w:val="006B0103"/>
    <w:rsid w:val="00885956"/>
    <w:rsid w:val="00A414A5"/>
    <w:rsid w:val="00B165B3"/>
    <w:rsid w:val="00CF2917"/>
    <w:rsid w:val="00E65BD4"/>
    <w:rsid w:val="00ED7D76"/>
    <w:rsid w:val="00EE679A"/>
    <w:rsid w:val="00F26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40A5"/>
  <w15:chartTrackingRefBased/>
  <w15:docId w15:val="{5765F96B-6534-48B3-81AC-62DCCB53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4A5"/>
    <w:rPr>
      <w:rFonts w:eastAsiaTheme="majorEastAsia" w:cstheme="majorBidi"/>
      <w:color w:val="272727" w:themeColor="text1" w:themeTint="D8"/>
    </w:rPr>
  </w:style>
  <w:style w:type="paragraph" w:styleId="Title">
    <w:name w:val="Title"/>
    <w:basedOn w:val="Normal"/>
    <w:next w:val="Normal"/>
    <w:link w:val="TitleChar"/>
    <w:uiPriority w:val="10"/>
    <w:qFormat/>
    <w:rsid w:val="00A41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4A5"/>
    <w:pPr>
      <w:spacing w:before="160"/>
      <w:jc w:val="center"/>
    </w:pPr>
    <w:rPr>
      <w:i/>
      <w:iCs/>
      <w:color w:val="404040" w:themeColor="text1" w:themeTint="BF"/>
    </w:rPr>
  </w:style>
  <w:style w:type="character" w:customStyle="1" w:styleId="QuoteChar">
    <w:name w:val="Quote Char"/>
    <w:basedOn w:val="DefaultParagraphFont"/>
    <w:link w:val="Quote"/>
    <w:uiPriority w:val="29"/>
    <w:rsid w:val="00A414A5"/>
    <w:rPr>
      <w:i/>
      <w:iCs/>
      <w:color w:val="404040" w:themeColor="text1" w:themeTint="BF"/>
    </w:rPr>
  </w:style>
  <w:style w:type="paragraph" w:styleId="ListParagraph">
    <w:name w:val="List Paragraph"/>
    <w:basedOn w:val="Normal"/>
    <w:uiPriority w:val="34"/>
    <w:qFormat/>
    <w:rsid w:val="00A414A5"/>
    <w:pPr>
      <w:ind w:left="720"/>
      <w:contextualSpacing/>
    </w:pPr>
  </w:style>
  <w:style w:type="character" w:styleId="IntenseEmphasis">
    <w:name w:val="Intense Emphasis"/>
    <w:basedOn w:val="DefaultParagraphFont"/>
    <w:uiPriority w:val="21"/>
    <w:qFormat/>
    <w:rsid w:val="00A414A5"/>
    <w:rPr>
      <w:i/>
      <w:iCs/>
      <w:color w:val="0F4761" w:themeColor="accent1" w:themeShade="BF"/>
    </w:rPr>
  </w:style>
  <w:style w:type="paragraph" w:styleId="IntenseQuote">
    <w:name w:val="Intense Quote"/>
    <w:basedOn w:val="Normal"/>
    <w:next w:val="Normal"/>
    <w:link w:val="IntenseQuoteChar"/>
    <w:uiPriority w:val="30"/>
    <w:qFormat/>
    <w:rsid w:val="00A41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4A5"/>
    <w:rPr>
      <w:i/>
      <w:iCs/>
      <w:color w:val="0F4761" w:themeColor="accent1" w:themeShade="BF"/>
    </w:rPr>
  </w:style>
  <w:style w:type="character" w:styleId="IntenseReference">
    <w:name w:val="Intense Reference"/>
    <w:basedOn w:val="DefaultParagraphFont"/>
    <w:uiPriority w:val="32"/>
    <w:qFormat/>
    <w:rsid w:val="00A414A5"/>
    <w:rPr>
      <w:b/>
      <w:bCs/>
      <w:smallCaps/>
      <w:color w:val="0F4761" w:themeColor="accent1" w:themeShade="BF"/>
      <w:spacing w:val="5"/>
    </w:rPr>
  </w:style>
  <w:style w:type="paragraph" w:styleId="Bibliography">
    <w:name w:val="Bibliography"/>
    <w:basedOn w:val="Normal"/>
    <w:next w:val="Normal"/>
    <w:uiPriority w:val="37"/>
    <w:unhideWhenUsed/>
    <w:rsid w:val="0004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5388">
      <w:bodyDiv w:val="1"/>
      <w:marLeft w:val="0"/>
      <w:marRight w:val="0"/>
      <w:marTop w:val="0"/>
      <w:marBottom w:val="0"/>
      <w:divBdr>
        <w:top w:val="none" w:sz="0" w:space="0" w:color="auto"/>
        <w:left w:val="none" w:sz="0" w:space="0" w:color="auto"/>
        <w:bottom w:val="none" w:sz="0" w:space="0" w:color="auto"/>
        <w:right w:val="none" w:sz="0" w:space="0" w:color="auto"/>
      </w:divBdr>
    </w:div>
    <w:div w:id="328489622">
      <w:bodyDiv w:val="1"/>
      <w:marLeft w:val="0"/>
      <w:marRight w:val="0"/>
      <w:marTop w:val="0"/>
      <w:marBottom w:val="0"/>
      <w:divBdr>
        <w:top w:val="none" w:sz="0" w:space="0" w:color="auto"/>
        <w:left w:val="none" w:sz="0" w:space="0" w:color="auto"/>
        <w:bottom w:val="none" w:sz="0" w:space="0" w:color="auto"/>
        <w:right w:val="none" w:sz="0" w:space="0" w:color="auto"/>
      </w:divBdr>
    </w:div>
    <w:div w:id="395979567">
      <w:bodyDiv w:val="1"/>
      <w:marLeft w:val="0"/>
      <w:marRight w:val="0"/>
      <w:marTop w:val="0"/>
      <w:marBottom w:val="0"/>
      <w:divBdr>
        <w:top w:val="none" w:sz="0" w:space="0" w:color="auto"/>
        <w:left w:val="none" w:sz="0" w:space="0" w:color="auto"/>
        <w:bottom w:val="none" w:sz="0" w:space="0" w:color="auto"/>
        <w:right w:val="none" w:sz="0" w:space="0" w:color="auto"/>
      </w:divBdr>
    </w:div>
    <w:div w:id="730495475">
      <w:bodyDiv w:val="1"/>
      <w:marLeft w:val="0"/>
      <w:marRight w:val="0"/>
      <w:marTop w:val="0"/>
      <w:marBottom w:val="0"/>
      <w:divBdr>
        <w:top w:val="none" w:sz="0" w:space="0" w:color="auto"/>
        <w:left w:val="none" w:sz="0" w:space="0" w:color="auto"/>
        <w:bottom w:val="none" w:sz="0" w:space="0" w:color="auto"/>
        <w:right w:val="none" w:sz="0" w:space="0" w:color="auto"/>
      </w:divBdr>
    </w:div>
    <w:div w:id="958074972">
      <w:bodyDiv w:val="1"/>
      <w:marLeft w:val="0"/>
      <w:marRight w:val="0"/>
      <w:marTop w:val="0"/>
      <w:marBottom w:val="0"/>
      <w:divBdr>
        <w:top w:val="none" w:sz="0" w:space="0" w:color="auto"/>
        <w:left w:val="none" w:sz="0" w:space="0" w:color="auto"/>
        <w:bottom w:val="none" w:sz="0" w:space="0" w:color="auto"/>
        <w:right w:val="none" w:sz="0" w:space="0" w:color="auto"/>
      </w:divBdr>
    </w:div>
    <w:div w:id="1235168300">
      <w:bodyDiv w:val="1"/>
      <w:marLeft w:val="0"/>
      <w:marRight w:val="0"/>
      <w:marTop w:val="0"/>
      <w:marBottom w:val="0"/>
      <w:divBdr>
        <w:top w:val="none" w:sz="0" w:space="0" w:color="auto"/>
        <w:left w:val="none" w:sz="0" w:space="0" w:color="auto"/>
        <w:bottom w:val="none" w:sz="0" w:space="0" w:color="auto"/>
        <w:right w:val="none" w:sz="0" w:space="0" w:color="auto"/>
      </w:divBdr>
    </w:div>
    <w:div w:id="1282691106">
      <w:bodyDiv w:val="1"/>
      <w:marLeft w:val="0"/>
      <w:marRight w:val="0"/>
      <w:marTop w:val="0"/>
      <w:marBottom w:val="0"/>
      <w:divBdr>
        <w:top w:val="none" w:sz="0" w:space="0" w:color="auto"/>
        <w:left w:val="none" w:sz="0" w:space="0" w:color="auto"/>
        <w:bottom w:val="none" w:sz="0" w:space="0" w:color="auto"/>
        <w:right w:val="none" w:sz="0" w:space="0" w:color="auto"/>
      </w:divBdr>
    </w:div>
    <w:div w:id="1292592873">
      <w:bodyDiv w:val="1"/>
      <w:marLeft w:val="0"/>
      <w:marRight w:val="0"/>
      <w:marTop w:val="0"/>
      <w:marBottom w:val="0"/>
      <w:divBdr>
        <w:top w:val="none" w:sz="0" w:space="0" w:color="auto"/>
        <w:left w:val="none" w:sz="0" w:space="0" w:color="auto"/>
        <w:bottom w:val="none" w:sz="0" w:space="0" w:color="auto"/>
        <w:right w:val="none" w:sz="0" w:space="0" w:color="auto"/>
      </w:divBdr>
    </w:div>
    <w:div w:id="1454668647">
      <w:bodyDiv w:val="1"/>
      <w:marLeft w:val="0"/>
      <w:marRight w:val="0"/>
      <w:marTop w:val="0"/>
      <w:marBottom w:val="0"/>
      <w:divBdr>
        <w:top w:val="none" w:sz="0" w:space="0" w:color="auto"/>
        <w:left w:val="none" w:sz="0" w:space="0" w:color="auto"/>
        <w:bottom w:val="none" w:sz="0" w:space="0" w:color="auto"/>
        <w:right w:val="none" w:sz="0" w:space="0" w:color="auto"/>
      </w:divBdr>
    </w:div>
    <w:div w:id="1478767070">
      <w:bodyDiv w:val="1"/>
      <w:marLeft w:val="0"/>
      <w:marRight w:val="0"/>
      <w:marTop w:val="0"/>
      <w:marBottom w:val="0"/>
      <w:divBdr>
        <w:top w:val="none" w:sz="0" w:space="0" w:color="auto"/>
        <w:left w:val="none" w:sz="0" w:space="0" w:color="auto"/>
        <w:bottom w:val="none" w:sz="0" w:space="0" w:color="auto"/>
        <w:right w:val="none" w:sz="0" w:space="0" w:color="auto"/>
      </w:divBdr>
    </w:div>
    <w:div w:id="1768234496">
      <w:bodyDiv w:val="1"/>
      <w:marLeft w:val="0"/>
      <w:marRight w:val="0"/>
      <w:marTop w:val="0"/>
      <w:marBottom w:val="0"/>
      <w:divBdr>
        <w:top w:val="none" w:sz="0" w:space="0" w:color="auto"/>
        <w:left w:val="none" w:sz="0" w:space="0" w:color="auto"/>
        <w:bottom w:val="none" w:sz="0" w:space="0" w:color="auto"/>
        <w:right w:val="none" w:sz="0" w:space="0" w:color="auto"/>
      </w:divBdr>
    </w:div>
    <w:div w:id="1860468284">
      <w:bodyDiv w:val="1"/>
      <w:marLeft w:val="0"/>
      <w:marRight w:val="0"/>
      <w:marTop w:val="0"/>
      <w:marBottom w:val="0"/>
      <w:divBdr>
        <w:top w:val="none" w:sz="0" w:space="0" w:color="auto"/>
        <w:left w:val="none" w:sz="0" w:space="0" w:color="auto"/>
        <w:bottom w:val="none" w:sz="0" w:space="0" w:color="auto"/>
        <w:right w:val="none" w:sz="0" w:space="0" w:color="auto"/>
      </w:divBdr>
    </w:div>
    <w:div w:id="18972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Mar24</b:Tag>
    <b:SourceType>InternetSite</b:SourceType>
    <b:Guid>{68ADFAA1-DE96-4348-B1CB-BB5D1009E683}</b:Guid>
    <b:Author>
      <b:Author>
        <b:NameList>
          <b:Person>
            <b:Last>Alexander</b:Last>
            <b:First>Mary</b:First>
          </b:Person>
        </b:NameList>
      </b:Author>
    </b:Author>
    <b:Title>The 11 languages of South Africa</b:Title>
    <b:InternetSiteTitle>South Africa Gateway</b:InternetSiteTitle>
    <b:Year>2024</b:Year>
    <b:Month>September</b:Month>
    <b:Day>11</b:Day>
    <b:URL>https://southafrica-info.com/arts-culture/11-languages-south-africa/</b:URL>
    <b:RefOrder>1</b:RefOrder>
  </b:Source>
  <b:Source>
    <b:Tag>nan24</b:Tag>
    <b:SourceType>InternetSite</b:SourceType>
    <b:Guid>{4A3BB404-14CE-4343-98FD-AAA6D80EA5A4}</b:Guid>
    <b:Author>
      <b:Author>
        <b:Corporate>nandbox</b:Corporate>
      </b:Author>
    </b:Author>
    <b:Title>Building a Multi-Language App: A Step-by-Step Guide</b:Title>
    <b:InternetSiteTitle>nandbox</b:InternetSiteTitle>
    <b:Year>2024</b:Year>
    <b:Month>June</b:Month>
    <b:Day>17</b:Day>
    <b:URL>https://nandbox.com/building-a-multi-language-app-a-step-by-step-guide/</b:URL>
    <b:RefOrder>2</b:RefOrder>
  </b:Source>
  <b:Source>
    <b:Tag>Kar22</b:Tag>
    <b:SourceType>InternetSite</b:SourceType>
    <b:Guid>{D861EEAE-EC3F-4A2B-99F4-BECD874D578F}</b:Guid>
    <b:Author>
      <b:Author>
        <b:NameList>
          <b:Person>
            <b:Last>Mansour</b:Last>
            <b:First>Karim</b:First>
          </b:Person>
        </b:NameList>
      </b:Author>
    </b:Author>
    <b:Title>Demystifying Mobile App Push Notifications</b:Title>
    <b:InternetSiteTitle>infogrove</b:InternetSiteTitle>
    <b:Year>2022</b:Year>
    <b:Month>June</b:Month>
    <b:Day>21</b:Day>
    <b:URL>https://info-grove.com/demystifying-mobile-app-push-notifications/</b:URL>
    <b:RefOrder>3</b:RefOrder>
  </b:Source>
  <b:Source>
    <b:Tag>Swa</b:Tag>
    <b:SourceType>InternetSite</b:SourceType>
    <b:Guid>{055AB9E7-1ADB-4B68-B4C0-C038B4A7F405}</b:Guid>
    <b:Author>
      <b:Author>
        <b:Corporate>SwagSoft</b:Corporate>
      </b:Author>
    </b:Author>
    <b:Title>Gamification for Government: Enhancing Public Engagement</b:Title>
    <b:InternetSiteTitle>Swagsoft</b:InternetSiteTitle>
    <b:Month>May</b:Month>
    <b:Day>18</b:Day>
    <b:URL>https://www.swagsoft.com/post/gamification-for-government-enhancing-public-engagement#:~:text=Benefits%20of%20Gamification%20for%20Government&amp;text=Interactive%20elements%20enhance%20learning%2C%20helping,them%20more%20accessible%20and%20transparent.</b:URL>
    <b:RefOrder>4</b:RefOrder>
  </b:Source>
  <b:Source>
    <b:Tag>Sen24</b:Tag>
    <b:SourceType>InternetSite</b:SourceType>
    <b:Guid>{7E2F08D1-EB22-41D8-8FA1-D9224649B4F4}</b:Guid>
    <b:Author>
      <b:Author>
        <b:NameList>
          <b:Person>
            <b:Last>Sendbird</b:Last>
          </b:Person>
        </b:NameList>
      </b:Author>
    </b:Author>
    <b:Title>Medium</b:Title>
    <b:InternetSiteTitle>Increase app engagement with these 12 strategies</b:InternetSiteTitle>
    <b:Year>2024</b:Year>
    <b:Month>Febuary</b:Month>
    <b:Day>8</b:Day>
    <b:URL>https://medium.com/@Sendbird/increase-app-engagement-with-these-12-strategies-d449d758047e#:~:text=One%20of%20the%20best%20ways,with%20you%20and%20each%20other.</b:URL>
    <b:RefOrder>5</b:RefOrder>
  </b:Source>
</b:Sources>
</file>

<file path=customXml/itemProps1.xml><?xml version="1.0" encoding="utf-8"?>
<ds:datastoreItem xmlns:ds="http://schemas.openxmlformats.org/officeDocument/2006/customXml" ds:itemID="{CDA507FE-8CBD-4ADA-8E8E-234EBF44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Mabala Makhakhe</dc:creator>
  <cp:keywords/>
  <dc:description/>
  <cp:lastModifiedBy>Mabala Makhakhe</cp:lastModifiedBy>
  <cp:revision>4</cp:revision>
  <dcterms:created xsi:type="dcterms:W3CDTF">2024-09-18T16:33:00Z</dcterms:created>
  <dcterms:modified xsi:type="dcterms:W3CDTF">2024-09-18T21:11:00Z</dcterms:modified>
</cp:coreProperties>
</file>