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Us</w:t>
      </w:r>
    </w:p>
    <w:p w:rsidR="00000000" w:rsidDel="00000000" w:rsidP="00000000" w:rsidRDefault="00000000" w:rsidRPr="00000000" w14:paraId="00000002">
      <w:pPr>
        <w:spacing w:after="240" w:before="240" w:lineRule="auto"/>
        <w:rPr/>
      </w:pPr>
      <w:r w:rsidDel="00000000" w:rsidR="00000000" w:rsidRPr="00000000">
        <w:rPr>
          <w:rtl w:val="0"/>
        </w:rPr>
        <w:t xml:space="preserve">Excellence Data Consulting, led by Dr. Komi Modji, provides expert data analysis, visualization and program evaluation services for local health departments, nonprofits, and businesses. Since 2018, we have helped organizations strengthen evidence-based decision-making, improve program effectiveness, and maximize cost-efficiency through data-driven insights.</w:t>
      </w:r>
    </w:p>
    <w:p w:rsidR="00000000" w:rsidDel="00000000" w:rsidP="00000000" w:rsidRDefault="00000000" w:rsidRPr="00000000" w14:paraId="00000003">
      <w:pPr>
        <w:spacing w:after="240" w:before="240" w:lineRule="auto"/>
        <w:rPr/>
      </w:pPr>
      <w:r w:rsidDel="00000000" w:rsidR="00000000" w:rsidRPr="00000000">
        <w:rPr>
          <w:rtl w:val="0"/>
        </w:rPr>
        <w:t xml:space="preserve">Our collaborative approach ensures clients stay engaged throughout every phase of the evaluation process. Through continuous communication, clear reporting, and actionable recommendations, we deliver results that support strategic planning, funding decisions, and measurable impact.</w:t>
      </w:r>
    </w:p>
    <w:p w:rsidR="00000000" w:rsidDel="00000000" w:rsidP="00000000" w:rsidRDefault="00000000" w:rsidRPr="00000000" w14:paraId="00000004">
      <w:pPr>
        <w:rPr/>
      </w:pPr>
      <w:r w:rsidDel="00000000" w:rsidR="00000000" w:rsidRPr="00000000">
        <w:rPr>
          <w:rtl w:val="0"/>
        </w:rPr>
        <w:t xml:space="preserve">We provide bilingual services (English and French) to our clients.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w:t>
      </w:r>
    </w:p>
    <w:p w:rsidR="00000000" w:rsidDel="00000000" w:rsidP="00000000" w:rsidRDefault="00000000" w:rsidRPr="00000000" w14:paraId="00000007">
      <w:pPr>
        <w:rPr/>
      </w:pPr>
      <w:r w:rsidDel="00000000" w:rsidR="00000000" w:rsidRPr="00000000">
        <w:rPr>
          <w:rtl w:val="0"/>
        </w:rPr>
        <w:t xml:space="preserve">Promote and disseminate data best practices for evidence-based decisions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statement</w:t>
      </w:r>
    </w:p>
    <w:p w:rsidR="00000000" w:rsidDel="00000000" w:rsidP="00000000" w:rsidRDefault="00000000" w:rsidRPr="00000000" w14:paraId="0000000A">
      <w:pPr>
        <w:rPr/>
      </w:pPr>
      <w:r w:rsidDel="00000000" w:rsidR="00000000" w:rsidRPr="00000000">
        <w:rPr>
          <w:rtl w:val="0"/>
        </w:rPr>
        <w:t xml:space="preserve">Make data-driven decisions a common practice across businesses</w:t>
      </w:r>
    </w:p>
    <w:p w:rsidR="00000000" w:rsidDel="00000000" w:rsidP="00000000" w:rsidRDefault="00000000" w:rsidRPr="00000000" w14:paraId="0000000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integrity: We make sure the data reflects its context and reality. </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communication: We value clear, concise, coherent and impactful findings and narratives that enlighten stakeholders.</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Collaboration &amp; partnership: We leverage diverse skills and expertise to deliver high-quality deliverables. </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Satisfaction: We understand the client’s unique needs and resources to tailor solutions and plans. </w:t>
      </w:r>
    </w:p>
    <w:p w:rsidR="00000000" w:rsidDel="00000000" w:rsidP="00000000" w:rsidRDefault="00000000" w:rsidRPr="00000000" w14:paraId="00000010">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offerings</w:t>
      </w:r>
    </w:p>
    <w:p w:rsidR="00000000" w:rsidDel="00000000" w:rsidP="00000000" w:rsidRDefault="00000000" w:rsidRPr="00000000" w14:paraId="000000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Dashboard Creation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Tailored visualization development using different data visualization programs including but not limited to Tableau, PowerBI, R (Shiny or Flexdashboard).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reporting systems or data capture tools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support and training</w:t>
      </w:r>
    </w:p>
    <w:p w:rsidR="00000000" w:rsidDel="00000000" w:rsidP="00000000" w:rsidRDefault="00000000" w:rsidRPr="00000000" w14:paraId="000000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Development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organization develop surveys to inform their decisions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in survey dissemination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surveys for meaningful results</w:t>
      </w:r>
    </w:p>
    <w:p w:rsidR="00000000" w:rsidDel="00000000" w:rsidP="00000000" w:rsidRDefault="00000000" w:rsidRPr="00000000" w14:paraId="000000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and Planning</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Health Assessment (CHA)</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Health Improvement Plan facilitation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Workforce evaluation</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 engagement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roadmap development</w:t>
      </w:r>
    </w:p>
    <w:p w:rsidR="00000000" w:rsidDel="00000000" w:rsidP="00000000" w:rsidRDefault="00000000" w:rsidRPr="00000000" w14:paraId="0000002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identification and Assessment</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Demographic health disparity evaluation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determinants mapping</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Intervention strategy development</w:t>
      </w:r>
    </w:p>
    <w:p w:rsidR="00000000" w:rsidDel="00000000" w:rsidP="00000000" w:rsidRDefault="00000000" w:rsidRPr="00000000" w14:paraId="0000002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Planning and Evaluation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planning</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evaluation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 and impact assessment</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 analysis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program evaluation</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Improvement recommendations</w:t>
      </w:r>
    </w:p>
    <w:p w:rsidR="00000000" w:rsidDel="00000000" w:rsidP="00000000" w:rsidRDefault="00000000" w:rsidRPr="00000000" w14:paraId="0000002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modernization</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flow </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digitization</w:t>
      </w:r>
    </w:p>
    <w:p w:rsidR="00000000" w:rsidDel="00000000" w:rsidP="00000000" w:rsidRDefault="00000000" w:rsidRPr="00000000" w14:paraId="0000002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projects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Research Projects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design and execution</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and analysis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presentation and publication support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Delivery Methods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On-site consultation (primary method for initial assessment and workshops)</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 consultation (for ongoing support and routine meetings)</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training programs (combining in-person and online components)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Self-paced learning resources (supplementing direct consulting)</w:t>
      </w:r>
    </w:p>
    <w:p w:rsidR="00000000" w:rsidDel="00000000" w:rsidP="00000000" w:rsidRDefault="00000000" w:rsidRPr="00000000" w14:paraId="000000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clickbait and data stories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repertoire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D60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D60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D60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D604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D604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D604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D604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D604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D60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D60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D60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D60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D604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D604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D60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D6043"/>
    <w:rPr>
      <w:i w:val="1"/>
      <w:iCs w:val="1"/>
      <w:color w:val="404040" w:themeColor="text1" w:themeTint="0000BF"/>
    </w:rPr>
  </w:style>
  <w:style w:type="paragraph" w:styleId="ListParagraph">
    <w:name w:val="List Paragraph"/>
    <w:basedOn w:val="Normal"/>
    <w:uiPriority w:val="34"/>
    <w:qFormat w:val="1"/>
    <w:rsid w:val="005D6043"/>
    <w:pPr>
      <w:ind w:left="720"/>
      <w:contextualSpacing w:val="1"/>
    </w:pPr>
  </w:style>
  <w:style w:type="character" w:styleId="IntenseEmphasis">
    <w:name w:val="Intense Emphasis"/>
    <w:basedOn w:val="DefaultParagraphFont"/>
    <w:uiPriority w:val="21"/>
    <w:qFormat w:val="1"/>
    <w:rsid w:val="005D6043"/>
    <w:rPr>
      <w:i w:val="1"/>
      <w:iCs w:val="1"/>
      <w:color w:val="0f4761" w:themeColor="accent1" w:themeShade="0000BF"/>
    </w:rPr>
  </w:style>
  <w:style w:type="paragraph" w:styleId="IntenseQuote">
    <w:name w:val="Intense Quote"/>
    <w:basedOn w:val="Normal"/>
    <w:next w:val="Normal"/>
    <w:link w:val="IntenseQuoteChar"/>
    <w:uiPriority w:val="30"/>
    <w:qFormat w:val="1"/>
    <w:rsid w:val="005D60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D6043"/>
    <w:rPr>
      <w:i w:val="1"/>
      <w:iCs w:val="1"/>
      <w:color w:val="0f4761" w:themeColor="accent1" w:themeShade="0000BF"/>
    </w:rPr>
  </w:style>
  <w:style w:type="character" w:styleId="IntenseReference">
    <w:name w:val="Intense Reference"/>
    <w:basedOn w:val="DefaultParagraphFont"/>
    <w:uiPriority w:val="32"/>
    <w:qFormat w:val="1"/>
    <w:rsid w:val="005D6043"/>
    <w:rPr>
      <w:b w:val="1"/>
      <w:bCs w:val="1"/>
      <w:smallCaps w:val="1"/>
      <w:color w:val="0f4761" w:themeColor="accent1" w:themeShade="0000BF"/>
      <w:spacing w:val="5"/>
    </w:rPr>
  </w:style>
  <w:style w:type="character" w:styleId="Hyperlink">
    <w:name w:val="Hyperlink"/>
    <w:basedOn w:val="DefaultParagraphFont"/>
    <w:uiPriority w:val="99"/>
    <w:unhideWhenUsed w:val="1"/>
    <w:rsid w:val="005D6043"/>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gILF0ZNXOW+VzugQY4WSp6GUw==">CgMxLjA4AHIhMWZNdmUwem5JQnR6RkJZNTJzMlZvVHJrZU41YmlEOUJ5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2025-08-09T00:26:00Z</dcterms:created>
  <dc:creator>Modji, Komi 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2025-08-09T00:28:58Z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ecc1607b-3f87-4565-b136-ed02fe677d94</vt:lpwstr>
  </property>
  <property fmtid="{D5CDD505-2E9C-101B-9397-08002B2CF9AE}" pid="8" name="MSIP_Label_93932cc9-dea4-49e2-bfe2-7f42b17a9d2b_ContentBits">
    <vt:lpwstr>0</vt:lpwstr>
  </property>
  <property fmtid="{D5CDD505-2E9C-101B-9397-08002B2CF9AE}" pid="9" name="MSIP_Label_93932cc9-dea4-49e2-bfe2-7f42b17a9d2b_Tag">
    <vt:lpwstr>50, 3, 0, 1</vt:lpwstr>
  </property>
</Properties>
</file>