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Inferential tests on the canonical run were executed: Kruskal-Wallis ALL p=0.155 (not significant at alpha=0.05); Wilcoxon MASAC vs MATD3 p=0.0049. MATD3 leads descriptively but CityLearn v2 baseline outperforms MADRL on global HPHI score.</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Planteamiento y formulacion del problema</w:t>
      </w:r>
    </w:p>
    <w:p>
      <w:pPr>
        <w:spacing w:after="120" w:line="276" w:lineRule="auto"/>
        <w:jc w:val="both"/>
      </w:pPr>
      <w:r>
        <w:rPr>
          <w:b w:val="0"/>
          <w:i w:val="0"/>
        </w:rPr>
        <w:t>El problema de investigacion se formula desde un diseno experimental de simulacion causa-efecto. La variable independiente es el algoritmo MADRL aplicado a una comunidad inteligente, manipulado por tipo de algoritmo y escenario de ponderacion; la variable dependiente es el desempeno coordinado en flexibilidad energetica, emisiones de CO2 y costos energeticos, medido con KPIs oficiales de CityLearn v2 y con artefactos reales de entrenamiento. Esta formulacion reemplaza la lectura meramente descriptiva del proyecto y alinea el informe con el skill local madrl-citylearn-thesis-integrated.</w:t>
      </w:r>
    </w:p>
    <w:p>
      <w:pPr>
        <w:spacing w:after="120" w:line="276" w:lineRule="auto"/>
        <w:jc w:val="both"/>
      </w:pPr>
      <w:r>
        <w:rPr>
          <w:b w:val="0"/>
          <w:i w:val="0"/>
        </w:rPr>
        <w:t>El caso de estudio corresponde al Sistema Electrico Aislado de Iquitos (SEAI), una red aislada con dependencia de generacion diesel, intensidad de carbono base de 0,790 kgCO2/kWh y senales tarifarias por uso horario. En este contexto, una comunidad de 17 edificios institucionales y comerciales incorpora PV, BESS, cargadores EV y cargas desplazables. La ausencia de coordinacion multiagente puede producir picos, rampas, emisiones y costos suboptimos, especialmente cuando cada edificio actua solo con informacion local.</w:t>
      </w:r>
    </w:p>
    <w:p>
      <w:pPr>
        <w:spacing w:after="120" w:line="276" w:lineRule="auto"/>
        <w:jc w:val="both"/>
      </w:pPr>
      <w:r>
        <w:rPr>
          <w:b w:val="0"/>
          <w:i w:val="0"/>
        </w:rPr>
        <w:t>La brecha metodologica es la ausencia de un benchmark unificado que compare HAPPO, MASAC, MATD3 y MAAC bajo una misma formulacion Dec-POMDP, un mismo esquema CTDE, un mismo dataset, una misma funcion de recompensa multiobjetivo y los mismos tres ejes de evaluacion. Por ello, el problema no se limita a entrenar modelos, sino a determinar el efecto diferenciado del factor algoritmo sobre la variable dependiente y a identificar que algoritmo genera el mayor efecto coordinado.</w:t>
      </w:r>
    </w:p>
    <w:p>
      <w:pPr>
        <w:spacing w:after="120" w:line="276" w:lineRule="auto"/>
        <w:jc w:val="both"/>
      </w:pPr>
      <w:r>
        <w:rPr>
          <w:b w:val="0"/>
          <w:i w:val="0"/>
        </w:rPr>
        <w:t>Problema general (PG): ¿En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spacing w:after="120" w:line="276" w:lineRule="auto"/>
        <w:jc w:val="both"/>
      </w:pPr>
      <w:r>
        <w:rPr>
          <w:b w:val="0"/>
          <w:i w:val="0"/>
        </w:rPr>
        <w:t>PE.1: ¿En que medida el algoritmo MADRL (VI) produce un efecto sobre la dimension de flexibilidad energetica de la comunidad (D-VD.1), y cual algoritmo genera el mayor efecto?</w:t>
      </w:r>
    </w:p>
    <w:p>
      <w:pPr>
        <w:spacing w:after="120" w:line="276" w:lineRule="auto"/>
        <w:jc w:val="both"/>
      </w:pPr>
      <w:r>
        <w:rPr>
          <w:b w:val="0"/>
          <w:i w:val="0"/>
        </w:rPr>
        <w:t>PE.2: ¿En que medida el algoritmo MADRL (VI) produce un efecto sobre la dimension de emisiones de CO2 de la comunidad (D-VD.2), y cual algoritmo genera el mayor efecto?</w:t>
      </w:r>
    </w:p>
    <w:p>
      <w:pPr>
        <w:spacing w:after="120" w:line="276" w:lineRule="auto"/>
        <w:jc w:val="both"/>
      </w:pPr>
      <w:r>
        <w:rPr>
          <w:b w:val="0"/>
          <w:i w:val="0"/>
        </w:rPr>
        <w:t>PE.3: ¿En que medida el algoritmo MADRL (VI) produce un efecto sobre la dimension de costos energeticos de la comunidad (D-VD.3), y cual algoritmo genera el mayor efecto?</w:t>
      </w:r>
    </w:p>
    <w:p>
      <w:pPr>
        <w:pStyle w:val="Heading2"/>
      </w:pPr>
      <w:r>
        <w:t>1.2 Objetivos</w:t>
      </w:r>
    </w:p>
    <w:p>
      <w:pPr>
        <w:spacing w:after="120" w:line="276" w:lineRule="auto"/>
        <w:jc w:val="both"/>
      </w:pPr>
      <w:r>
        <w:rPr>
          <w:b w:val="0"/>
          <w:i w:val="0"/>
        </w:rPr>
        <w:t>Objetivo general (OG): Determinar el efecto del algoritmo MADRL aplicado a una comunidad inteligente (VI) sobre la gestion coordinada de la flexibilidad energetica, las emisiones de CO2 y los costos energeticos (VD), e identificar el algoritmo que produce el mayor efecto coordinado.</w:t>
      </w:r>
    </w:p>
    <w:p>
      <w:pPr>
        <w:spacing w:after="120" w:line="276" w:lineRule="auto"/>
        <w:jc w:val="both"/>
      </w:pPr>
      <w:r>
        <w:rPr>
          <w:b w:val="0"/>
          <w:i w:val="0"/>
        </w:rPr>
        <w:t>OE.1: Determinar el efecto del algoritmo MADRL (VI) sobre la flexibilidad energetica (D-VD.1) e identificar el algoritmo de mayor efecto en esta dimension.</w:t>
      </w:r>
    </w:p>
    <w:p>
      <w:pPr>
        <w:spacing w:after="120" w:line="276" w:lineRule="auto"/>
        <w:jc w:val="both"/>
      </w:pPr>
      <w:r>
        <w:rPr>
          <w:b w:val="0"/>
          <w:i w:val="0"/>
        </w:rPr>
        <w:t>OE.2: Determinar el efecto del algoritmo MADRL (VI) sobre las emisiones de CO2 (D-VD.2) e identificar el algoritmo de mayor efecto en esta dimension.</w:t>
      </w:r>
    </w:p>
    <w:p>
      <w:pPr>
        <w:spacing w:after="120" w:line="276" w:lineRule="auto"/>
        <w:jc w:val="both"/>
      </w:pPr>
      <w:r>
        <w:rPr>
          <w:b w:val="0"/>
          <w:i w:val="0"/>
        </w:rPr>
        <w:t>OE.3: Determinar el efecto del algoritmo MADRL (VI) sobre los costos energeticos (D-VD.3) e identificar el algoritmo de mayor efecto en esta dimension.</w:t>
      </w:r>
    </w:p>
    <w:p>
      <w:pPr>
        <w:spacing w:after="120" w:line="276" w:lineRule="auto"/>
        <w:jc w:val="both"/>
      </w:pPr>
      <w:r>
        <w:rPr>
          <w:b w:val="0"/>
          <w:i w:val="0"/>
        </w:rPr>
        <w:t>La coherencia vertical queda establecida por la relacion PG -&gt; OG -&gt; HG y PE.i -&gt; OE.i -&gt; HE.i. Cada objetivo especifico se operacionaliza en un escenario dominante: E1 para flexibilidad, E2 para emisiones de CO2 y E3 para costos energeticos.</w:t>
      </w:r>
    </w:p>
    <w:p>
      <w:pPr>
        <w:pStyle w:val="Heading2"/>
      </w:pPr>
      <w:r>
        <w:t>1.3 Hipotesis</w:t>
      </w:r>
    </w:p>
    <w:p>
      <w:pPr>
        <w:spacing w:after="120" w:line="276" w:lineRule="auto"/>
        <w:jc w:val="both"/>
      </w:pPr>
      <w:r>
        <w:rPr>
          <w:b w:val="0"/>
          <w:i w:val="0"/>
        </w:rPr>
        <w:t>Hipotesis general (HG): La aplicacion del algoritmo MADRL a la comunidad inteligente (VI) produce un efecto estadisticamente significativo y diferenciado sobre la gestion coordinada de la flexibilidad energetica, las emisiones de CO2 y los costos energeticos (VD), siendo MATD3 el algoritmo que genera el mayor efecto coordinado.</w:t>
      </w:r>
    </w:p>
    <w:p>
      <w:pPr>
        <w:spacing w:after="120" w:line="276" w:lineRule="auto"/>
        <w:jc w:val="both"/>
      </w:pPr>
      <w:r>
        <w:rPr>
          <w:b w:val="0"/>
          <w:i w:val="0"/>
        </w:rPr>
        <w:t>HE.1: El algoritmo MADRL (VI) produce un efecto significativo sobre la flexibilidad energetica (D-VD.1); el mayor efecto corresponde al algoritmo con menor variabilidad en los KPI de pico y rampa.</w:t>
      </w:r>
    </w:p>
    <w:p>
      <w:pPr>
        <w:spacing w:after="120" w:line="276" w:lineRule="auto"/>
        <w:jc w:val="both"/>
      </w:pPr>
      <w:r>
        <w:rPr>
          <w:b w:val="0"/>
          <w:i w:val="0"/>
        </w:rPr>
        <w:t>HE.2: El algoritmo MADRL (VI) produce un efecto significativo sobre las emisiones de CO2 (D-VD.2); el mayor efecto corresponde a MATD3.</w:t>
      </w:r>
    </w:p>
    <w:p>
      <w:pPr>
        <w:spacing w:after="120" w:line="276" w:lineRule="auto"/>
        <w:jc w:val="both"/>
      </w:pPr>
      <w:r>
        <w:rPr>
          <w:b w:val="0"/>
          <w:i w:val="0"/>
        </w:rPr>
        <w:t>HE.3: El algoritmo MADRL (VI) produce un efecto significativo sobre los costos energeticos (D-VD.3); el mayor efecto corresponde a MATD3.</w:t>
      </w:r>
    </w:p>
    <w:p>
      <w:pPr>
        <w:spacing w:after="120" w:line="276" w:lineRule="auto"/>
        <w:jc w:val="both"/>
      </w:pPr>
      <w:r>
        <w:rPr>
          <w:b w:val="0"/>
          <w:i w:val="0"/>
        </w:rPr>
        <w:t>Las hipotesis se contrastan con Shapiro-Wilk para normalidad, Kruskal-Wallis para diferencia global entre algoritmos, pruebas post-hoc por pares y Wilcoxon/Mann-Whitney U segun corresponda, con alpha = 0,05 y correccion por comparaciones multiples cuando se evalúan seis pares de algoritmos.</w:t>
      </w:r>
    </w:p>
    <w:p>
      <w:pPr>
        <w:pStyle w:val="Heading2"/>
      </w:pPr>
      <w:r>
        <w:t>1.4 Matriz de consistencia y operacionalizacion de variables</w:t>
      </w:r>
    </w:p>
    <w:p>
      <w:r>
        <w:rPr>
          <w:b/>
          <w:color w:val="595959"/>
          <w:sz w:val="19"/>
        </w:rPr>
        <w:t>Tabla 1.1. Matriz de consistencia problema-objetivo-hipotesis-dimension.</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Nivel</w:t>
            </w:r>
          </w:p>
        </w:tc>
        <w:tc>
          <w:tcPr>
            <w:tcW w:type="dxa" w:w="1824"/>
            <w:shd w:val="clear" w:color="auto" w:fill="1F4E79"/>
          </w:tcPr>
          <w:p>
            <w:r/>
            <w:r>
              <w:rPr>
                <w:b/>
                <w:color w:val="FFFFFF"/>
                <w:sz w:val="16"/>
              </w:rPr>
              <w:t>Problema</w:t>
            </w:r>
          </w:p>
        </w:tc>
        <w:tc>
          <w:tcPr>
            <w:tcW w:type="dxa" w:w="1824"/>
            <w:shd w:val="clear" w:color="auto" w:fill="1F4E79"/>
          </w:tcPr>
          <w:p>
            <w:r/>
            <w:r>
              <w:rPr>
                <w:b/>
                <w:color w:val="FFFFFF"/>
                <w:sz w:val="16"/>
              </w:rPr>
              <w:t>Objetivo</w:t>
            </w:r>
          </w:p>
        </w:tc>
        <w:tc>
          <w:tcPr>
            <w:tcW w:type="dxa" w:w="1824"/>
            <w:shd w:val="clear" w:color="auto" w:fill="1F4E79"/>
          </w:tcPr>
          <w:p>
            <w:r/>
            <w:r>
              <w:rPr>
                <w:b/>
                <w:color w:val="FFFFFF"/>
                <w:sz w:val="16"/>
              </w:rPr>
              <w:t>Hipotesis</w:t>
            </w:r>
          </w:p>
        </w:tc>
        <w:tc>
          <w:tcPr>
            <w:tcW w:type="dxa" w:w="1824"/>
            <w:shd w:val="clear" w:color="auto" w:fill="1F4E79"/>
          </w:tcPr>
          <w:p>
            <w:r/>
            <w:r>
              <w:rPr>
                <w:b/>
                <w:color w:val="FFFFFF"/>
                <w:sz w:val="16"/>
              </w:rPr>
              <w:t>Dimension VD</w:t>
            </w:r>
          </w:p>
        </w:tc>
      </w:tr>
      <w:tr>
        <w:tc>
          <w:tcPr>
            <w:tcW w:type="dxa" w:w="1824"/>
          </w:tcPr>
          <w:p>
            <w:r/>
            <w:r>
              <w:rPr>
                <w:sz w:val="16"/>
              </w:rPr>
              <w:t>General</w:t>
            </w:r>
          </w:p>
        </w:tc>
        <w:tc>
          <w:tcPr>
            <w:tcW w:type="dxa" w:w="1824"/>
          </w:tcPr>
          <w:p>
            <w:r/>
            <w:r>
              <w:rPr>
                <w:sz w:val="16"/>
              </w:rPr>
              <w:t>PG: efecto diferenciado del algoritmo MADRL sobre flexibilidad, CO2 y costos, e identificacion del mayor efecto.</w:t>
            </w:r>
          </w:p>
        </w:tc>
        <w:tc>
          <w:tcPr>
            <w:tcW w:type="dxa" w:w="1824"/>
          </w:tcPr>
          <w:p>
            <w:r/>
            <w:r>
              <w:rPr>
                <w:sz w:val="16"/>
              </w:rPr>
              <w:t>OG: determinar el efecto del algoritmo MADRL sobre la gestion coordinada e identificar el mayor efecto coordinado.</w:t>
            </w:r>
          </w:p>
        </w:tc>
        <w:tc>
          <w:tcPr>
            <w:tcW w:type="dxa" w:w="1824"/>
          </w:tcPr>
          <w:p>
            <w:r/>
            <w:r>
              <w:rPr>
                <w:sz w:val="16"/>
              </w:rPr>
              <w:t>HG: existe efecto significativo y diferenciado; MATD3 genera el mayor efecto coordinado.</w:t>
            </w:r>
          </w:p>
        </w:tc>
        <w:tc>
          <w:tcPr>
            <w:tcW w:type="dxa" w:w="1824"/>
          </w:tcPr>
          <w:p>
            <w:r/>
            <w:r>
              <w:rPr>
                <w:sz w:val="16"/>
              </w:rPr>
              <w:t>VD global: desempeno coordinado multiobjetivo.</w:t>
            </w:r>
          </w:p>
        </w:tc>
      </w:tr>
      <w:tr>
        <w:tc>
          <w:tcPr>
            <w:tcW w:type="dxa" w:w="1824"/>
          </w:tcPr>
          <w:p>
            <w:r/>
            <w:r>
              <w:rPr>
                <w:sz w:val="16"/>
              </w:rPr>
              <w:t>Especifico 1</w:t>
            </w:r>
          </w:p>
        </w:tc>
        <w:tc>
          <w:tcPr>
            <w:tcW w:type="dxa" w:w="1824"/>
          </w:tcPr>
          <w:p>
            <w:r/>
            <w:r>
              <w:rPr>
                <w:sz w:val="16"/>
              </w:rPr>
              <w:t>PE.1: efecto sobre flexibilidad energetica y algoritmo de mayor efecto.</w:t>
            </w:r>
          </w:p>
        </w:tc>
        <w:tc>
          <w:tcPr>
            <w:tcW w:type="dxa" w:w="1824"/>
          </w:tcPr>
          <w:p>
            <w:r/>
            <w:r>
              <w:rPr>
                <w:sz w:val="16"/>
              </w:rPr>
              <w:t>OE.1: determinar efecto sobre D-VD.1 e identificar algoritmo de mayor efecto.</w:t>
            </w:r>
          </w:p>
        </w:tc>
        <w:tc>
          <w:tcPr>
            <w:tcW w:type="dxa" w:w="1824"/>
          </w:tcPr>
          <w:p>
            <w:r/>
            <w:r>
              <w:rPr>
                <w:sz w:val="16"/>
              </w:rPr>
              <w:t>HE.1: efecto significativo; mayor efecto asociado a menor variabilidad de pico y rampa.</w:t>
            </w:r>
          </w:p>
        </w:tc>
        <w:tc>
          <w:tcPr>
            <w:tcW w:type="dxa" w:w="1824"/>
          </w:tcPr>
          <w:p>
            <w:r/>
            <w:r>
              <w:rPr>
                <w:sz w:val="16"/>
              </w:rPr>
              <w:t>D-VD.1 Flexibilidad energetica.</w:t>
            </w:r>
          </w:p>
        </w:tc>
      </w:tr>
      <w:tr>
        <w:tc>
          <w:tcPr>
            <w:tcW w:type="dxa" w:w="1824"/>
          </w:tcPr>
          <w:p>
            <w:r/>
            <w:r>
              <w:rPr>
                <w:sz w:val="16"/>
              </w:rPr>
              <w:t>Especifico 2</w:t>
            </w:r>
          </w:p>
        </w:tc>
        <w:tc>
          <w:tcPr>
            <w:tcW w:type="dxa" w:w="1824"/>
          </w:tcPr>
          <w:p>
            <w:r/>
            <w:r>
              <w:rPr>
                <w:sz w:val="16"/>
              </w:rPr>
              <w:t>PE.2: efecto sobre emisiones de CO2 y algoritmo de mayor efecto.</w:t>
            </w:r>
          </w:p>
        </w:tc>
        <w:tc>
          <w:tcPr>
            <w:tcW w:type="dxa" w:w="1824"/>
          </w:tcPr>
          <w:p>
            <w:r/>
            <w:r>
              <w:rPr>
                <w:sz w:val="16"/>
              </w:rPr>
              <w:t>OE.2: determinar efecto sobre D-VD.2 e identificar algoritmo de mayor efecto.</w:t>
            </w:r>
          </w:p>
        </w:tc>
        <w:tc>
          <w:tcPr>
            <w:tcW w:type="dxa" w:w="1824"/>
          </w:tcPr>
          <w:p>
            <w:r/>
            <w:r>
              <w:rPr>
                <w:sz w:val="16"/>
              </w:rPr>
              <w:t>HE.2: efecto significativo; mayor efecto corresponde a MATD3.</w:t>
            </w:r>
          </w:p>
        </w:tc>
        <w:tc>
          <w:tcPr>
            <w:tcW w:type="dxa" w:w="1824"/>
          </w:tcPr>
          <w:p>
            <w:r/>
            <w:r>
              <w:rPr>
                <w:sz w:val="16"/>
              </w:rPr>
              <w:t>D-VD.2 Emisiones de CO2.</w:t>
            </w:r>
          </w:p>
        </w:tc>
      </w:tr>
      <w:tr>
        <w:tc>
          <w:tcPr>
            <w:tcW w:type="dxa" w:w="1824"/>
          </w:tcPr>
          <w:p>
            <w:r/>
            <w:r>
              <w:rPr>
                <w:sz w:val="16"/>
              </w:rPr>
              <w:t>Especifico 3</w:t>
            </w:r>
          </w:p>
        </w:tc>
        <w:tc>
          <w:tcPr>
            <w:tcW w:type="dxa" w:w="1824"/>
          </w:tcPr>
          <w:p>
            <w:r/>
            <w:r>
              <w:rPr>
                <w:sz w:val="16"/>
              </w:rPr>
              <w:t>PE.3: efecto sobre costos energeticos y algoritmo de mayor efecto.</w:t>
            </w:r>
          </w:p>
        </w:tc>
        <w:tc>
          <w:tcPr>
            <w:tcW w:type="dxa" w:w="1824"/>
          </w:tcPr>
          <w:p>
            <w:r/>
            <w:r>
              <w:rPr>
                <w:sz w:val="16"/>
              </w:rPr>
              <w:t>OE.3: determinar efecto sobre D-VD.3 e identificar algoritmo de mayor efecto.</w:t>
            </w:r>
          </w:p>
        </w:tc>
        <w:tc>
          <w:tcPr>
            <w:tcW w:type="dxa" w:w="1824"/>
          </w:tcPr>
          <w:p>
            <w:r/>
            <w:r>
              <w:rPr>
                <w:sz w:val="16"/>
              </w:rPr>
              <w:t>HE.3: efecto significativo; mayor efecto corresponde a MATD3.</w:t>
            </w:r>
          </w:p>
        </w:tc>
        <w:tc>
          <w:tcPr>
            <w:tcW w:type="dxa" w:w="1824"/>
          </w:tcPr>
          <w:p>
            <w:r/>
            <w:r>
              <w:rPr>
                <w:sz w:val="16"/>
              </w:rPr>
              <w:t>D-VD.3 Costos energeticos.</w:t>
            </w:r>
          </w:p>
        </w:tc>
      </w:tr>
    </w:tbl>
    <w:p/>
    <w:p>
      <w:r>
        <w:rPr>
          <w:b/>
          <w:color w:val="595959"/>
          <w:sz w:val="19"/>
        </w:rPr>
        <w:t>Tabla 1.2. Operacionalizacion de variables VI/VD y variables de control.</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6"/>
              </w:rPr>
              <w:t>Variable</w:t>
            </w:r>
          </w:p>
        </w:tc>
        <w:tc>
          <w:tcPr>
            <w:tcW w:type="dxa" w:w="1824"/>
            <w:shd w:val="clear" w:color="auto" w:fill="1F4E79"/>
          </w:tcPr>
          <w:p>
            <w:r/>
            <w:r>
              <w:rPr>
                <w:b/>
                <w:color w:val="FFFFFF"/>
                <w:sz w:val="16"/>
              </w:rPr>
              <w:t>Dimension</w:t>
            </w:r>
          </w:p>
        </w:tc>
        <w:tc>
          <w:tcPr>
            <w:tcW w:type="dxa" w:w="1824"/>
            <w:shd w:val="clear" w:color="auto" w:fill="1F4E79"/>
          </w:tcPr>
          <w:p>
            <w:r/>
            <w:r>
              <w:rPr>
                <w:b/>
                <w:color w:val="FFFFFF"/>
                <w:sz w:val="16"/>
              </w:rPr>
              <w:t>Indicadores / niveles</w:t>
            </w:r>
          </w:p>
        </w:tc>
        <w:tc>
          <w:tcPr>
            <w:tcW w:type="dxa" w:w="1824"/>
            <w:shd w:val="clear" w:color="auto" w:fill="1F4E79"/>
          </w:tcPr>
          <w:p>
            <w:r/>
            <w:r>
              <w:rPr>
                <w:b/>
                <w:color w:val="FFFFFF"/>
                <w:sz w:val="16"/>
              </w:rPr>
              <w:t>Operacion experimental</w:t>
            </w:r>
          </w:p>
        </w:tc>
        <w:tc>
          <w:tcPr>
            <w:tcW w:type="dxa" w:w="1824"/>
            <w:shd w:val="clear" w:color="auto" w:fill="1F4E79"/>
          </w:tcPr>
          <w:p>
            <w:r/>
            <w:r>
              <w:rPr>
                <w:b/>
                <w:color w:val="FFFFFF"/>
                <w:sz w:val="16"/>
              </w:rPr>
              <w:t>Fuente / instrumento</w:t>
            </w:r>
          </w:p>
        </w:tc>
      </w:tr>
      <w:tr>
        <w:tc>
          <w:tcPr>
            <w:tcW w:type="dxa" w:w="1824"/>
          </w:tcPr>
          <w:p>
            <w:r/>
            <w:r>
              <w:rPr>
                <w:sz w:val="16"/>
              </w:rPr>
              <w:t>VI: algoritmo MADRL</w:t>
            </w:r>
          </w:p>
        </w:tc>
        <w:tc>
          <w:tcPr>
            <w:tcW w:type="dxa" w:w="1824"/>
          </w:tcPr>
          <w:p>
            <w:r/>
            <w:r>
              <w:rPr>
                <w:sz w:val="16"/>
              </w:rPr>
              <w:t>D-VI.1 Tipo de algoritmo</w:t>
            </w:r>
          </w:p>
        </w:tc>
        <w:tc>
          <w:tcPr>
            <w:tcW w:type="dxa" w:w="1824"/>
          </w:tcPr>
          <w:p>
            <w:r/>
            <w:r>
              <w:rPr>
                <w:sz w:val="16"/>
              </w:rPr>
              <w:t>HAPPO, MASAC, MATD3, MAAC</w:t>
            </w:r>
          </w:p>
        </w:tc>
        <w:tc>
          <w:tcPr>
            <w:tcW w:type="dxa" w:w="1824"/>
          </w:tcPr>
          <w:p>
            <w:r/>
            <w:r>
              <w:rPr>
                <w:sz w:val="16"/>
              </w:rPr>
              <w:t>Factor manipulado con cuatro niveles; cada algoritmo se entrena/evalua bajo el mismo dataset y perfil de recompensa comparable.</w:t>
            </w:r>
          </w:p>
        </w:tc>
        <w:tc>
          <w:tcPr>
            <w:tcW w:type="dxa" w:w="1824"/>
          </w:tcPr>
          <w:p>
            <w:r/>
            <w:r>
              <w:rPr>
                <w:sz w:val="16"/>
              </w:rPr>
              <w:t>Backends MADRL y scripts de entrenamiento.</w:t>
            </w:r>
          </w:p>
        </w:tc>
      </w:tr>
      <w:tr>
        <w:tc>
          <w:tcPr>
            <w:tcW w:type="dxa" w:w="1824"/>
          </w:tcPr>
          <w:p>
            <w:r/>
            <w:r>
              <w:rPr>
                <w:sz w:val="16"/>
              </w:rPr>
              <w:t>VI: escenario</w:t>
            </w:r>
          </w:p>
        </w:tc>
        <w:tc>
          <w:tcPr>
            <w:tcW w:type="dxa" w:w="1824"/>
          </w:tcPr>
          <w:p>
            <w:r/>
            <w:r>
              <w:rPr>
                <w:sz w:val="16"/>
              </w:rPr>
              <w:t>D-VI.2 Ponderacion multiobjetivo</w:t>
            </w:r>
          </w:p>
        </w:tc>
        <w:tc>
          <w:tcPr>
            <w:tcW w:type="dxa" w:w="1824"/>
          </w:tcPr>
          <w:p>
            <w:r/>
            <w:r>
              <w:rPr>
                <w:sz w:val="16"/>
              </w:rPr>
              <w:t>E1 [0,70;0,15;0,15], E2 [0,15;0,70;0,15], E3 [0,25;0,15;0,60]</w:t>
            </w:r>
          </w:p>
        </w:tc>
        <w:tc>
          <w:tcPr>
            <w:tcW w:type="dxa" w:w="1824"/>
          </w:tcPr>
          <w:p>
            <w:r/>
            <w:r>
              <w:rPr>
                <w:sz w:val="16"/>
              </w:rPr>
              <w:t>Factor manipulado con tres niveles; define el objetivo dominante de la recompensa.</w:t>
            </w:r>
          </w:p>
        </w:tc>
        <w:tc>
          <w:tcPr>
            <w:tcW w:type="dxa" w:w="1824"/>
          </w:tcPr>
          <w:p>
            <w:r/>
            <w:r>
              <w:rPr>
                <w:sz w:val="16"/>
              </w:rPr>
              <w:t>scenario_manager.py y configuracion CityLearn v3.</w:t>
            </w:r>
          </w:p>
        </w:tc>
      </w:tr>
      <w:tr>
        <w:tc>
          <w:tcPr>
            <w:tcW w:type="dxa" w:w="1824"/>
          </w:tcPr>
          <w:p>
            <w:r/>
            <w:r>
              <w:rPr>
                <w:sz w:val="16"/>
              </w:rPr>
              <w:t>VD: desempeno coordinado</w:t>
            </w:r>
          </w:p>
        </w:tc>
        <w:tc>
          <w:tcPr>
            <w:tcW w:type="dxa" w:w="1824"/>
          </w:tcPr>
          <w:p>
            <w:r/>
            <w:r>
              <w:rPr>
                <w:sz w:val="16"/>
              </w:rPr>
              <w:t>D-VD.1 Flexibilidad</w:t>
            </w:r>
          </w:p>
        </w:tc>
        <w:tc>
          <w:tcPr>
            <w:tcW w:type="dxa" w:w="1824"/>
          </w:tcPr>
          <w:p>
            <w:r/>
            <w:r>
              <w:rPr>
                <w:sz w:val="16"/>
              </w:rPr>
              <w:t>peak_average, ramping_average, one_minus_load_factor_average, autoconsumo, autosuficiencia, importacion/exportacion.</w:t>
            </w:r>
          </w:p>
        </w:tc>
        <w:tc>
          <w:tcPr>
            <w:tcW w:type="dxa" w:w="1824"/>
          </w:tcPr>
          <w:p>
            <w:r/>
            <w:r>
              <w:rPr>
                <w:sz w:val="16"/>
              </w:rPr>
              <w:t>KPIs por distrito, edificio y escenario; menor valor normalizado o delta favorable indica mayor efecto.</w:t>
            </w:r>
          </w:p>
        </w:tc>
        <w:tc>
          <w:tcPr>
            <w:tcW w:type="dxa" w:w="1824"/>
          </w:tcPr>
          <w:p>
            <w:r/>
            <w:r>
              <w:rPr>
                <w:sz w:val="16"/>
              </w:rPr>
              <w:t>timeseries.csv, trace.csv, building_kpis.csv.</w:t>
            </w:r>
          </w:p>
        </w:tc>
      </w:tr>
      <w:tr>
        <w:tc>
          <w:tcPr>
            <w:tcW w:type="dxa" w:w="1824"/>
          </w:tcPr>
          <w:p>
            <w:r/>
            <w:r>
              <w:rPr>
                <w:sz w:val="16"/>
              </w:rPr>
              <w:t>VD: desempeno coordinado</w:t>
            </w:r>
          </w:p>
        </w:tc>
        <w:tc>
          <w:tcPr>
            <w:tcW w:type="dxa" w:w="1824"/>
          </w:tcPr>
          <w:p>
            <w:r/>
            <w:r>
              <w:rPr>
                <w:sz w:val="16"/>
              </w:rPr>
              <w:t>D-VD.2 Emisiones CO2</w:t>
            </w:r>
          </w:p>
        </w:tc>
        <w:tc>
          <w:tcPr>
            <w:tcW w:type="dxa" w:w="1824"/>
          </w:tcPr>
          <w:p>
            <w:r/>
            <w:r>
              <w:rPr>
                <w:sz w:val="16"/>
              </w:rPr>
              <w:t>carbon_emissions_total, carbon_emissions_delta, consumo ponderado por intensidad de carbono.</w:t>
            </w:r>
          </w:p>
        </w:tc>
        <w:tc>
          <w:tcPr>
            <w:tcW w:type="dxa" w:w="1824"/>
          </w:tcPr>
          <w:p>
            <w:r/>
            <w:r>
              <w:rPr>
                <w:sz w:val="16"/>
              </w:rPr>
              <w:t>Comparacion por algoritmo y escenario E2, con lectura distrital y por edificio cuando hay KPIs completos.</w:t>
            </w:r>
          </w:p>
        </w:tc>
        <w:tc>
          <w:tcPr>
            <w:tcW w:type="dxa" w:w="1824"/>
          </w:tcPr>
          <w:p>
            <w:r/>
            <w:r>
              <w:rPr>
                <w:sz w:val="16"/>
              </w:rPr>
              <w:t>carbon_intensity.csv, timeseries.csv, building_kpis.csv.</w:t>
            </w:r>
          </w:p>
        </w:tc>
      </w:tr>
      <w:tr>
        <w:tc>
          <w:tcPr>
            <w:tcW w:type="dxa" w:w="1824"/>
          </w:tcPr>
          <w:p>
            <w:r/>
            <w:r>
              <w:rPr>
                <w:sz w:val="16"/>
              </w:rPr>
              <w:t>VD: desempeno coordinado</w:t>
            </w:r>
          </w:p>
        </w:tc>
        <w:tc>
          <w:tcPr>
            <w:tcW w:type="dxa" w:w="1824"/>
          </w:tcPr>
          <w:p>
            <w:r/>
            <w:r>
              <w:rPr>
                <w:sz w:val="16"/>
              </w:rPr>
              <w:t>D-VD.3 Costos energeticos</w:t>
            </w:r>
          </w:p>
        </w:tc>
        <w:tc>
          <w:tcPr>
            <w:tcW w:type="dxa" w:w="1824"/>
          </w:tcPr>
          <w:p>
            <w:r/>
            <w:r>
              <w:rPr>
                <w:sz w:val="16"/>
              </w:rPr>
              <w:t>electricity_cost_total, electricity_cost_delta, price_signal_deviation, respuesta TOU.</w:t>
            </w:r>
          </w:p>
        </w:tc>
        <w:tc>
          <w:tcPr>
            <w:tcW w:type="dxa" w:w="1824"/>
          </w:tcPr>
          <w:p>
            <w:r/>
            <w:r>
              <w:rPr>
                <w:sz w:val="16"/>
              </w:rPr>
              <w:t>Comparacion por algoritmo y escenario E3, con deltas por edificio y costo distrital medio.</w:t>
            </w:r>
          </w:p>
        </w:tc>
        <w:tc>
          <w:tcPr>
            <w:tcW w:type="dxa" w:w="1824"/>
          </w:tcPr>
          <w:p>
            <w:r/>
            <w:r>
              <w:rPr>
                <w:sz w:val="16"/>
              </w:rPr>
              <w:t>pricing.csv, timeseries.csv, building_kpis.csv.</w:t>
            </w:r>
          </w:p>
        </w:tc>
      </w:tr>
      <w:tr>
        <w:tc>
          <w:tcPr>
            <w:tcW w:type="dxa" w:w="1824"/>
          </w:tcPr>
          <w:p>
            <w:r/>
            <w:r>
              <w:rPr>
                <w:sz w:val="16"/>
              </w:rPr>
              <w:t>Control</w:t>
            </w:r>
          </w:p>
        </w:tc>
        <w:tc>
          <w:tcPr>
            <w:tcW w:type="dxa" w:w="1824"/>
          </w:tcPr>
          <w:p>
            <w:r/>
            <w:r>
              <w:rPr>
                <w:sz w:val="16"/>
              </w:rPr>
              <w:t>Condiciones constantes</w:t>
            </w:r>
          </w:p>
        </w:tc>
        <w:tc>
          <w:tcPr>
            <w:tcW w:type="dxa" w:w="1824"/>
          </w:tcPr>
          <w:p>
            <w:r/>
            <w:r>
              <w:rPr>
                <w:sz w:val="16"/>
              </w:rPr>
              <w:t>Dataset Iquitos, clima, CI, TOU, seed, horizonte, perfil unified_comparable_v4.</w:t>
            </w:r>
          </w:p>
        </w:tc>
        <w:tc>
          <w:tcPr>
            <w:tcW w:type="dxa" w:w="1824"/>
          </w:tcPr>
          <w:p>
            <w:r/>
            <w:r>
              <w:rPr>
                <w:sz w:val="16"/>
              </w:rPr>
              <w:t>Se mantienen constantes para atribuir diferencias al factor VI y no al entorno.</w:t>
            </w:r>
          </w:p>
        </w:tc>
        <w:tc>
          <w:tcPr>
            <w:tcW w:type="dxa" w:w="1824"/>
          </w:tcPr>
          <w:p>
            <w:r/>
            <w:r>
              <w:rPr>
                <w:sz w:val="16"/>
              </w:rPr>
              <w:t>Dataset citylearn_iquitos_2023_2025 y manifiestos de corrida.</w:t>
            </w:r>
          </w:p>
        </w:tc>
      </w:tr>
    </w:tbl>
    <w:p/>
    <w:p>
      <w:pPr>
        <w:pStyle w:val="Heading2"/>
      </w:pPr>
      <w:r>
        <w:t>1.5 Justificacion</w:t>
      </w:r>
    </w:p>
    <w:p>
      <w:pPr>
        <w:spacing w:after="120" w:line="276" w:lineRule="auto"/>
        <w:jc w:val="both"/>
      </w:pPr>
      <w:r>
        <w:rPr>
          <w:b w:val="0"/>
          <w:i w:val="0"/>
        </w:rPr>
        <w:t>La justificacion tecnica se basa en la necesidad de comparar algoritmos MADRL bajo un entorno comun, evitando conclusiones derivadas de configuraciones no equivalentes. La justificacion ambiental proviene del analisis de emisiones de CO2 en una red aislada con generacion termica dominante. La justificacion economica se sustenta en la respuesta a tarifas TOU y costos energeticos. La justificacion metodologica radica en el diseno factorial 4x3, la operacionalizacion VI/VD, la trazabilidad por artefactos y el protocolo estadistico reproducible.</w:t>
      </w:r>
    </w:p>
    <w:p>
      <w:pPr>
        <w:pStyle w:val="Heading2"/>
      </w:pPr>
      <w:r>
        <w:t>1.6 Alcances y limitaciones</w:t>
      </w:r>
    </w:p>
    <w:p>
      <w:pPr>
        <w:spacing w:after="120" w:line="276" w:lineRule="auto"/>
        <w:jc w:val="both"/>
      </w:pPr>
      <w:r>
        <w:rPr>
          <w:b w:val="0"/>
          <w:i w:val="0"/>
        </w:rPr>
        <w:t>El alcance comprende una investigacion cuantitativa, aplicada y explicativa mediante simulacion computacional, con 12 tratamientos, 17 edificios, 54 KPIs oficiales y analisis por distrito, edificio, escenario y equipo controlado/no controlado. Las limitaciones son: ausencia de despliegue fisico, CityLearn v3 propuesto como extension experimental de tesis, HAPPO con cobertura incompleta de artefactos de edificio/checkpoint y necesidad de robustez multi-semilla para conclusiones inferenciales definitivas.</w:t>
      </w:r>
    </w:p>
    <w:p>
      <w:pPr>
        <w:pStyle w:val="Heading1"/>
      </w:pPr>
      <w:r>
        <w:t>Capitulo 2. Marco teorico</w:t>
      </w:r>
    </w:p>
    <w:p>
      <w:pPr>
        <w:spacing w:after="120" w:line="276" w:lineRule="auto"/>
        <w:jc w:val="both"/>
      </w:pPr>
      <w:r>
        <w:t>El marco teorico de esta tesis no se limita a definir conceptos generales de aprendizaje por refuerzo o energia. Su funcion es sustentar, con literatura especializada, la relacion causal entre la variable independiente -algoritmo MADRL aplicado bajo Dec-POMDP/CTDE- y la variable dependiente -desempeno coordinado de flexibilidad energetica, emisiones de CO2 y costos energeticos-. Por ello, este capitulo se organiza en cuatro ejes: CityLearn y comunidades energeticas, flexibilidad energetica, control bajo intensidad de carbono, optimizacion de costos, y fundamentos formales MADRL. Esta estructura responde directamente a OE.1, OE.2, OE.3 y al objetivo general.</w:t>
      </w:r>
    </w:p>
    <w:p>
      <w:pPr>
        <w:spacing w:after="120" w:line="276" w:lineRule="auto"/>
        <w:jc w:val="both"/>
      </w:pPr>
      <w: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pPr>
      <w:r>
        <w:t>2.1 Antecedentes de la investigacion</w:t>
      </w:r>
    </w:p>
    <w:p>
      <w:pPr>
        <w:pStyle w:val="Heading3"/>
      </w:pPr>
      <w:r>
        <w:t>2.1.1 CityLearn como entorno base de simulacion multiobjetivo</w:t>
      </w:r>
    </w:p>
    <w:p>
      <w:pPr>
        <w:spacing w:after="120" w:line="276" w:lineRule="auto"/>
        <w:jc w:val="both"/>
      </w:pPr>
      <w: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120" w:line="276" w:lineRule="auto"/>
        <w:jc w:val="both"/>
      </w:pPr>
      <w: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120" w:line="276" w:lineRule="auto"/>
        <w:jc w:val="both"/>
      </w:pPr>
      <w: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3"/>
      </w:pPr>
      <w:r>
        <w:t>2.1.2 Flexibilidad energetica y respuesta a la demanda</w:t>
      </w:r>
    </w:p>
    <w:p>
      <w:pPr>
        <w:spacing w:after="120" w:line="276" w:lineRule="auto"/>
        <w:jc w:val="both"/>
      </w:pPr>
      <w: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120" w:line="276" w:lineRule="auto"/>
        <w:jc w:val="both"/>
      </w:pPr>
      <w: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120" w:line="276" w:lineRule="auto"/>
        <w:jc w:val="both"/>
      </w:pPr>
      <w: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pStyle w:val="Heading3"/>
      </w:pPr>
      <w:r>
        <w:t>2.1.3 Emisiones de carbono y control consciente de intensidad de carbono</w:t>
      </w:r>
    </w:p>
    <w:p>
      <w:pPr>
        <w:spacing w:after="120" w:line="276" w:lineRule="auto"/>
        <w:jc w:val="both"/>
      </w:pPr>
      <w: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Ministerio del Ambiente del Peru (2019) proporciona la referencia de factor de emision usada para contextualizar redes aisladas peruanas.</w:t>
      </w:r>
    </w:p>
    <w:p>
      <w:pPr>
        <w:spacing w:after="120" w:line="276" w:lineRule="auto"/>
        <w:jc w:val="both"/>
      </w:pPr>
      <w: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120" w:line="276" w:lineRule="auto"/>
        <w:jc w:val="both"/>
      </w:pPr>
      <w: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pPr>
      <w:r>
        <w:t>2.1.4 Costos energeticos, precios dinamicos y respuesta economica</w:t>
      </w:r>
    </w:p>
    <w:p>
      <w:pPr>
        <w:spacing w:after="120" w:line="276" w:lineRule="auto"/>
        <w:jc w:val="both"/>
      </w:pPr>
      <w: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120" w:line="276" w:lineRule="auto"/>
        <w:jc w:val="both"/>
      </w:pPr>
      <w:r>
        <w:t>La literatura MADRL de costos refuerza la necesidad de coordinacion. Fang et al. (2021) proponen gestion distribuida de energia y estrategia de mercado en microredes mediante MADRL; Gao et al. (2023) desarrolla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120" w:line="276" w:lineRule="auto"/>
        <w:jc w:val="both"/>
      </w:pPr>
      <w: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w:t>
      </w:r>
    </w:p>
    <w:p>
      <w:pPr>
        <w:pStyle w:val="Heading3"/>
      </w:pPr>
      <w:r>
        <w:t>2.1.5 Sintesis critica de antecedentes y brecha cientifica</w:t>
      </w:r>
    </w:p>
    <w:p>
      <w:pPr>
        <w:spacing w:after="120" w:line="276" w:lineRule="auto"/>
        <w:jc w:val="both"/>
      </w:pPr>
      <w: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120" w:line="276" w:lineRule="auto"/>
        <w:jc w:val="both"/>
      </w:pPr>
      <w: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w:t>
      </w:r>
    </w:p>
    <w:p>
      <w:r>
        <w:rPr>
          <w:b/>
          <w:color w:val="595959"/>
          <w:sz w:val="19"/>
        </w:rPr>
        <w:t>Tabla 2.1. 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Eje</w:t>
            </w:r>
          </w:p>
        </w:tc>
        <w:tc>
          <w:tcPr>
            <w:tcW w:type="dxa" w:w="2280"/>
            <w:shd w:val="clear" w:color="auto" w:fill="1F4E79"/>
          </w:tcPr>
          <w:p>
            <w:r/>
            <w:r>
              <w:rPr>
                <w:b/>
                <w:color w:val="FFFFFF"/>
                <w:sz w:val="14"/>
              </w:rPr>
              <w:t>Autores fuente</w:t>
            </w:r>
          </w:p>
        </w:tc>
        <w:tc>
          <w:tcPr>
            <w:tcW w:type="dxa" w:w="2280"/>
            <w:shd w:val="clear" w:color="auto" w:fill="1F4E79"/>
          </w:tcPr>
          <w:p>
            <w:r/>
            <w:r>
              <w:rPr>
                <w:b/>
                <w:color w:val="FFFFFF"/>
                <w:sz w:val="14"/>
              </w:rPr>
              <w:t>Aporte teorico usado</w:t>
            </w:r>
          </w:p>
        </w:tc>
        <w:tc>
          <w:tcPr>
            <w:tcW w:type="dxa" w:w="2280"/>
            <w:shd w:val="clear" w:color="auto" w:fill="1F4E79"/>
          </w:tcPr>
          <w:p>
            <w:r/>
            <w:r>
              <w:rPr>
                <w:b/>
                <w:color w:val="FFFFFF"/>
                <w:sz w:val="14"/>
              </w:rPr>
              <w:t>Limitacion que cubre esta tesis</w:t>
            </w:r>
          </w:p>
        </w:tc>
      </w:tr>
      <w:tr>
        <w:tc>
          <w:tcPr>
            <w:tcW w:type="dxa" w:w="2280"/>
          </w:tcPr>
          <w:p>
            <w:r/>
            <w:r>
              <w:rPr>
                <w:sz w:val="14"/>
              </w:rPr>
              <w:t>CityLearn y benchmarking</w:t>
            </w:r>
          </w:p>
        </w:tc>
        <w:tc>
          <w:tcPr>
            <w:tcW w:type="dxa" w:w="2280"/>
          </w:tcPr>
          <w:p>
            <w:r/>
            <w:r>
              <w:rPr>
                <w:sz w:val="14"/>
              </w:rPr>
              <w:t>Vazquez-Canteli &amp; Nagy (2019a, 2019b); Vazquez-Canteli et al. (2020); Nweye et al. (2023c, 2024); Nweye &amp; Nagy (2024b)</w:t>
            </w:r>
          </w:p>
        </w:tc>
        <w:tc>
          <w:tcPr>
            <w:tcW w:type="dxa" w:w="2280"/>
          </w:tcPr>
          <w:p>
            <w:r/>
            <w:r>
              <w:rPr>
                <w:sz w:val="14"/>
              </w:rPr>
              <w:t>Entorno estandarizado, KPIs, comunidades grid-interactive, carbon-aware control.</w:t>
            </w:r>
          </w:p>
        </w:tc>
        <w:tc>
          <w:tcPr>
            <w:tcW w:type="dxa" w:w="2280"/>
          </w:tcPr>
          <w:p>
            <w:r/>
            <w:r>
              <w:rPr>
                <w:sz w:val="14"/>
              </w:rPr>
              <w:t>Se extiende a CityLearn v3 propuesto con Dec-POMDP/CTDE y cuatro backends MADRL.</w:t>
            </w:r>
          </w:p>
        </w:tc>
      </w:tr>
      <w:tr>
        <w:tc>
          <w:tcPr>
            <w:tcW w:type="dxa" w:w="2280"/>
          </w:tcPr>
          <w:p>
            <w:r/>
            <w:r>
              <w:rPr>
                <w:sz w:val="14"/>
              </w:rPr>
              <w:t>Escala multiagente realista</w:t>
            </w:r>
          </w:p>
        </w:tc>
        <w:tc>
          <w:tcPr>
            <w:tcW w:type="dxa" w:w="2280"/>
          </w:tcPr>
          <w:p>
            <w:r/>
            <w:r>
              <w:rPr>
                <w:sz w:val="14"/>
              </w:rPr>
              <w:t>Nweye et al. (2022, 2023a, 2023b)</w:t>
            </w:r>
          </w:p>
        </w:tc>
        <w:tc>
          <w:tcPr>
            <w:tcW w:type="dxa" w:w="2280"/>
          </w:tcPr>
          <w:p>
            <w:r/>
            <w:r>
              <w:rPr>
                <w:sz w:val="14"/>
              </w:rPr>
              <w:t>Desafios reales, MERLIN y comunidades heterogeneas de 17 edificios.</w:t>
            </w:r>
          </w:p>
        </w:tc>
        <w:tc>
          <w:tcPr>
            <w:tcW w:type="dxa" w:w="2280"/>
          </w:tcPr>
          <w:p>
            <w:r/>
            <w:r>
              <w:rPr>
                <w:sz w:val="14"/>
              </w:rPr>
              <w:t>Se aplica a SEAI Iquitos con 17 edificios reales y artefactos Drive.</w:t>
            </w:r>
          </w:p>
        </w:tc>
      </w:tr>
      <w:tr>
        <w:tc>
          <w:tcPr>
            <w:tcW w:type="dxa" w:w="2280"/>
          </w:tcPr>
          <w:p>
            <w:r/>
            <w:r>
              <w:rPr>
                <w:sz w:val="14"/>
              </w:rPr>
              <w:t>Flexibilidad energetica</w:t>
            </w:r>
          </w:p>
        </w:tc>
        <w:tc>
          <w:tcPr>
            <w:tcW w:type="dxa" w:w="2280"/>
          </w:tcPr>
          <w:p>
            <w:r/>
            <w:r>
              <w:rPr>
                <w:sz w:val="14"/>
              </w:rPr>
              <w:t>Yao et al. (2023); Xie et al. (2023); Hribar et al. (2025); Felicetti et al. (2024); Li et al. (2024); Zhao et al. (2024); Wu et al. (2025)</w:t>
            </w:r>
          </w:p>
        </w:tc>
        <w:tc>
          <w:tcPr>
            <w:tcW w:type="dxa" w:w="2280"/>
          </w:tcPr>
          <w:p>
            <w:r/>
            <w:r>
              <w:rPr>
                <w:sz w:val="14"/>
              </w:rPr>
              <w:t>Peak shaving, ramping, autoconsumo, coordinacion DR, PV+BESS, control seguro.</w:t>
            </w:r>
          </w:p>
        </w:tc>
        <w:tc>
          <w:tcPr>
            <w:tcW w:type="dxa" w:w="2280"/>
          </w:tcPr>
          <w:p>
            <w:r/>
            <w:r>
              <w:rPr>
                <w:sz w:val="14"/>
              </w:rPr>
              <w:t>E1 compara HAPPO/MASAC/MATD3/MAAC bajo mismo dataset y KPIs.</w:t>
            </w:r>
          </w:p>
        </w:tc>
      </w:tr>
      <w:tr>
        <w:tc>
          <w:tcPr>
            <w:tcW w:type="dxa" w:w="2280"/>
          </w:tcPr>
          <w:p>
            <w:r/>
            <w:r>
              <w:rPr>
                <w:sz w:val="14"/>
              </w:rPr>
              <w:t>Emisiones CO2</w:t>
            </w:r>
          </w:p>
        </w:tc>
        <w:tc>
          <w:tcPr>
            <w:tcW w:type="dxa" w:w="2280"/>
          </w:tcPr>
          <w:p>
            <w:r/>
            <w:r>
              <w:rPr>
                <w:sz w:val="14"/>
              </w:rPr>
              <w:t>Liu et al. (2022); Ye et al. (2025); Ma et al. (2025); Sarkar et al. (2024); Ren et al. (2025); Tranberg et al. (2020); Cao et al. (2023)</w:t>
            </w:r>
          </w:p>
        </w:tc>
        <w:tc>
          <w:tcPr>
            <w:tcW w:type="dxa" w:w="2280"/>
          </w:tcPr>
          <w:p>
            <w:r/>
            <w:r>
              <w:rPr>
                <w:sz w:val="14"/>
              </w:rPr>
              <w:t>Control bajo intensidad de carbono, operacion baja en carbono, desplazamiento temporal de carga.</w:t>
            </w:r>
          </w:p>
        </w:tc>
        <w:tc>
          <w:tcPr>
            <w:tcW w:type="dxa" w:w="2280"/>
          </w:tcPr>
          <w:p>
            <w:r/>
            <w:r>
              <w:rPr>
                <w:sz w:val="14"/>
              </w:rPr>
              <w:t>E2 usa CI de red aislada Iquitos y CarbonIntensityModel.</w:t>
            </w:r>
          </w:p>
        </w:tc>
      </w:tr>
      <w:tr>
        <w:tc>
          <w:tcPr>
            <w:tcW w:type="dxa" w:w="2280"/>
          </w:tcPr>
          <w:p>
            <w:r/>
            <w:r>
              <w:rPr>
                <w:sz w:val="14"/>
              </w:rPr>
              <w:t>Costos energeticos</w:t>
            </w:r>
          </w:p>
        </w:tc>
        <w:tc>
          <w:tcPr>
            <w:tcW w:type="dxa" w:w="2280"/>
          </w:tcPr>
          <w:p>
            <w:r/>
            <w:r>
              <w:rPr>
                <w:sz w:val="14"/>
              </w:rPr>
              <w:t>Fang et al. (2021); Gao et al. (2023); Shojaeighadikolaei et al. (2022, 2024); Xiong et al. (2024); Chen et al. (2024); Dang et al. (2023)</w:t>
            </w:r>
          </w:p>
        </w:tc>
        <w:tc>
          <w:tcPr>
            <w:tcW w:type="dxa" w:w="2280"/>
          </w:tcPr>
          <w:p>
            <w:r/>
            <w:r>
              <w:rPr>
                <w:sz w:val="14"/>
              </w:rPr>
              <w:t>Respuesta a precios, costo electrico, microredes, EV, BESS y demanda maxima.</w:t>
            </w:r>
          </w:p>
        </w:tc>
        <w:tc>
          <w:tcPr>
            <w:tcW w:type="dxa" w:w="2280"/>
          </w:tcPr>
          <w:p>
            <w:r/>
            <w:r>
              <w:rPr>
                <w:sz w:val="14"/>
              </w:rPr>
              <w:t>E3 vincula TOU local, BESS, EV, carga desplazable y costo distrital/edificio.</w:t>
            </w:r>
          </w:p>
        </w:tc>
      </w:tr>
      <w:tr>
        <w:tc>
          <w:tcPr>
            <w:tcW w:type="dxa" w:w="2280"/>
          </w:tcPr>
          <w:p>
            <w:r/>
            <w:r>
              <w:rPr>
                <w:sz w:val="14"/>
              </w:rPr>
              <w:t>Fundamentos MADRL</w:t>
            </w:r>
          </w:p>
        </w:tc>
        <w:tc>
          <w:tcPr>
            <w:tcW w:type="dxa" w:w="2280"/>
          </w:tcPr>
          <w:p>
            <w:r/>
            <w:r>
              <w:rPr>
                <w:sz w:val="14"/>
              </w:rPr>
              <w:t>Sutton &amp; Barto (2018); Oliehoek &amp; Amato (2016); Lowe et al. (2017); Haarnoja et al. (2018); Iqbal &amp; Sha (2019); Kuba et al. (2021); Zhong et al. (2023); Hu et al. (2023)</w:t>
            </w:r>
          </w:p>
        </w:tc>
        <w:tc>
          <w:tcPr>
            <w:tcW w:type="dxa" w:w="2280"/>
          </w:tcPr>
          <w:p>
            <w:r/>
            <w:r>
              <w:rPr>
                <w:sz w:val="14"/>
              </w:rPr>
              <w:t>MDP, Dec-POMDP, CTDE, SAC, atencion, HAPPO, MARLlib.</w:t>
            </w:r>
          </w:p>
        </w:tc>
        <w:tc>
          <w:tcPr>
            <w:tcW w:type="dxa" w:w="2280"/>
          </w:tcPr>
          <w:p>
            <w:r/>
            <w:r>
              <w:rPr>
                <w:sz w:val="14"/>
              </w:rPr>
              <w:t>Se operacionaliza en wrappers reales y tratamientos experimentales.</w:t>
            </w:r>
          </w:p>
        </w:tc>
      </w:tr>
      <w:tr>
        <w:tc>
          <w:tcPr>
            <w:tcW w:type="dxa" w:w="2280"/>
          </w:tcPr>
          <w:p>
            <w:r/>
            <w:r>
              <w:rPr>
                <w:sz w:val="14"/>
              </w:rPr>
              <w:t>Modelado fisico y regulatorio</w:t>
            </w:r>
          </w:p>
        </w:tc>
        <w:tc>
          <w:tcPr>
            <w:tcW w:type="dxa" w:w="2280"/>
          </w:tcPr>
          <w:p>
            <w:r/>
            <w:r>
              <w:rPr>
                <w:sz w:val="14"/>
              </w:rPr>
              <w:t>Naumann et al. (2021); Rajagopalan et al. (2024); Reniers et al. (2022); Xu et al. (2021); Tamoor et al. (2022); Antonanzas et al. (2021); IEC (2021); MINAM (2019); OSINERGMIN (2024)</w:t>
            </w:r>
          </w:p>
        </w:tc>
        <w:tc>
          <w:tcPr>
            <w:tcW w:type="dxa" w:w="2280"/>
          </w:tcPr>
          <w:p>
            <w:r/>
            <w:r>
              <w:rPr>
                <w:sz w:val="14"/>
              </w:rPr>
              <w:t>Degradacion BESS, correccion PV tropical, carbono y tarifa.</w:t>
            </w:r>
          </w:p>
        </w:tc>
        <w:tc>
          <w:tcPr>
            <w:tcW w:type="dxa" w:w="2280"/>
          </w:tcPr>
          <w:p>
            <w:r/>
            <w:r>
              <w:rPr>
                <w:sz w:val="14"/>
              </w:rPr>
              <w:t>Aportes A1-A4 del motor CityLearn v3 propuesto.</w:t>
            </w:r>
          </w:p>
        </w:tc>
      </w:tr>
    </w:tbl>
    <w:p/>
    <w:p>
      <w:pPr>
        <w:pStyle w:val="Heading2"/>
      </w:pPr>
      <w:r>
        <w:t>2.2 Bases teoricas</w:t>
      </w:r>
    </w:p>
    <w:p>
      <w:pPr>
        <w:pStyle w:val="Heading3"/>
      </w:pPr>
      <w:r>
        <w:t>2.2.1 Aprendizaje por refuerzo profundo y decision secuencial</w:t>
      </w:r>
    </w:p>
    <w:p>
      <w:pPr>
        <w:spacing w:after="120" w:line="276" w:lineRule="auto"/>
        <w:jc w:val="both"/>
      </w:pPr>
      <w: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120" w:line="276" w:lineRule="auto"/>
        <w:jc w:val="both"/>
      </w:pPr>
      <w: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pStyle w:val="Heading3"/>
      </w:pPr>
      <w:r>
        <w:t>2.2.2 Sistemas multiagente, no estacionariedad y cooperacion</w:t>
      </w:r>
    </w:p>
    <w:p>
      <w:pPr>
        <w:spacing w:after="120" w:line="276" w:lineRule="auto"/>
        <w:jc w:val="both"/>
      </w:pPr>
      <w:r>
        <w:t>En un sistema multiagente, cada politica modifica el entorno efectivo que observan las demas. Esto genera no estacionariedad desde la perspectiva individual: un edificio aprende mientras los demas tambien cambian su comportamiento. La literatura de CTDE responde a esta dificultad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120" w:line="276" w:lineRule="auto"/>
        <w:jc w:val="both"/>
      </w:pPr>
      <w: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pPr>
      <w:r>
        <w:t>2.2.3 Dec-POMDP como formalizacion del problema doctoral</w:t>
      </w:r>
    </w:p>
    <w:p>
      <w:pPr>
        <w:spacing w:after="120" w:line="276" w:lineRule="auto"/>
        <w:jc w:val="both"/>
      </w:pPr>
      <w:r>
        <w:t>El Decentralized Partially Observable Markov Decision Process permite formalizar decision cooperativa con informacion local incompleta. Oliehoek y Amato (2016) lo definen como una estructura donde multiples agentes comparten una recompensa o criterio cooperativo, pero cada uno recibe observaciones parciales. Esta tesis adopta esa formulacion porque ningun edificio observa completamente el estado interno de los otros edificios durante la ejecucion. Cada agente observa su demanda, PV, BESS, EV, precio, intensidad de carbono y variables locales, pero no controla ni observa directamente las acciones internas de los demas.</w:t>
      </w:r>
    </w:p>
    <w:p>
      <w:pPr>
        <w:spacing w:after="120" w:line="276" w:lineRule="auto"/>
        <w:jc w:val="both"/>
      </w:pPr>
      <w:r>
        <w:t>La tupla teorica usada es M = &lt;S, {A_i}, T, R, {O_i}, Omega, gamma, T&gt;. S representa el estado global concatenado de las observaciones; A_i es el espacio de accion local de cada edificio; T describe la transicion energetica; R es la recompensa cooperativa; O_i son observaciones locales; Omega es la funcion de observacion; gamma es el factor de descuento; y T el horizonte temporal. Esta formalizacion conecta el marco teorico con la arquitectura del Capitulo 4, donde los 17 edificios del SEAI Iquitos se convierten en agentes.</w:t>
      </w:r>
    </w:p>
    <w:p>
      <w:pPr>
        <w:pStyle w:val="Heading3"/>
      </w:pPr>
      <w:r>
        <w:t>2.2.4 CTDE: entrenamiento centralizado y ejecucion descentralizada</w:t>
      </w:r>
    </w:p>
    <w:p>
      <w:pPr>
        <w:spacing w:after="120" w:line="276" w:lineRule="auto"/>
        <w:jc w:val="both"/>
      </w:pPr>
      <w:r>
        <w:t>El paradigma Centralized Training, Decentralized Execution separa dos fases: durante el entrenamiento, los criticos o funciones de valor pueden acceder al estado global y a informacion conjunta; durante la ejecucion, las politicas actuan solo con observaciones locales. Lowe et al. (2017) muestran este principio en multi-agent actor-critic, e Iqbal y Sha (2019) lo extienden con mecanismos de atencion para seleccionar interacciones relevantes entre agentes. En la tesis, CTDE permite que los agentes aprendan coordinacion distrital sin requerir comunicacion completa en operacion.</w:t>
      </w:r>
    </w:p>
    <w:p>
      <w:pPr>
        <w:spacing w:after="120" w:line="276" w:lineRule="auto"/>
        <w:jc w:val="both"/>
      </w:pPr>
      <w:r>
        <w:t>La validez de CTDE para esta investigacion depende de mantener consistentes los instrumentos de medicion. Si el entrenamiento usa estado global y la ejecucion usa observacion local, los KPIs deben reflejar la ejecucion descentralizada de politicas, no una solucion centralizada ideal. Por ello, trace.csv y timeseries.csv son necesarios para interpretar si el comportamiento aprendido realmente corresponde a acciones por edificio y no solo a resultados agregados.</w:t>
      </w:r>
    </w:p>
    <w:p>
      <w:pPr>
        <w:pStyle w:val="Heading3"/>
      </w:pPr>
      <w:r>
        <w:t>2.2.5 Algoritmos MADRL evaluados</w:t>
      </w:r>
    </w:p>
    <w:p>
      <w:pPr>
        <w:spacing w:after="120" w:line="276" w:lineRule="auto"/>
        <w:jc w:val="both"/>
      </w:pPr>
      <w: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 Sin embargo, su uso en resultados debe respetar la cobertura real: se dispone de timeseries y trace, pero no de todos los artefactos de edificio/checkpoint.</w:t>
      </w:r>
    </w:p>
    <w:p>
      <w:pPr>
        <w:spacing w:after="120" w:line="276" w:lineRule="auto"/>
        <w:jc w:val="both"/>
      </w:pPr>
      <w: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discretizacion/adaptacion de acciones para el entorno CityLearn v3 propuesto. Su valor teorico esta en contrastar estrategias entropicas frente a politicas deterministicas y de atencion.</w:t>
      </w:r>
    </w:p>
    <w:p>
      <w:pPr>
        <w:spacing w:after="120" w:line="276" w:lineRule="auto"/>
        <w:jc w:val="both"/>
      </w:pPr>
      <w:r>
        <w:t>MATD3 se basa en la idea de reducir sobreestimacion mediante criticos dobles, retraso de actualizacion de politica y ruido objetivo en la familia TD3. Aunque la referencia especifica del backend se implementa en el proyecto, su justificacion teorica se relaciona con estabilidad off-policy en espacios continuos de accion. En la tesis, MATD3 se plantea en las hipotesis como candidato de mayor efecto coordinado porque su doble critico puede ser ventajoso en horizontes largos y acciones energeticas continuas.</w:t>
      </w:r>
    </w:p>
    <w:p>
      <w:pPr>
        <w:spacing w:after="120" w:line="276" w:lineRule="auto"/>
        <w:jc w:val="both"/>
      </w:pPr>
      <w: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 La atencion ofrece una explicacion teorica para coordinacion selectiva entre edificios heterogeneos.</w:t>
      </w:r>
    </w:p>
    <w:p>
      <w:pPr>
        <w:spacing w:after="120" w:line="276" w:lineRule="auto"/>
        <w:jc w:val="both"/>
      </w:pPr>
      <w:r>
        <w:t>MARLlib se considera en la tesis solo como nombre propio de una biblioteca de referencia para aprendizaje por refuerzo multiagente, no como sustituto conceptual de MADRL. Hu et al. (2023) muestran su valor como framework escalable; sin embargo, el proyecto utiliza backends concretos en external/ y wrappers propios. Esta precision terminologica evita confundir marco teorico, herramienta y contribucion experimental.</w:t>
      </w:r>
    </w:p>
    <w:p>
      <w:r>
        <w:rPr>
          <w:b/>
          <w:color w:val="595959"/>
          <w:sz w:val="19"/>
        </w:rPr>
        <w:t>Tabla 2.2. 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shd w:val="clear" w:color="auto" w:fill="1F4E79"/>
          </w:tcPr>
          <w:p>
            <w:r/>
            <w:r>
              <w:rPr>
                <w:b/>
                <w:color w:val="FFFFFF"/>
                <w:sz w:val="14"/>
              </w:rPr>
              <w:t>Algoritmo</w:t>
            </w:r>
          </w:p>
        </w:tc>
        <w:tc>
          <w:tcPr>
            <w:tcW w:type="dxa" w:w="1824"/>
            <w:shd w:val="clear" w:color="auto" w:fill="1F4E79"/>
          </w:tcPr>
          <w:p>
            <w:r/>
            <w:r>
              <w:rPr>
                <w:b/>
                <w:color w:val="FFFFFF"/>
                <w:sz w:val="14"/>
              </w:rPr>
              <w:t>Base teorica</w:t>
            </w:r>
          </w:p>
        </w:tc>
        <w:tc>
          <w:tcPr>
            <w:tcW w:type="dxa" w:w="1824"/>
            <w:shd w:val="clear" w:color="auto" w:fill="1F4E79"/>
          </w:tcPr>
          <w:p>
            <w:r/>
            <w:r>
              <w:rPr>
                <w:b/>
                <w:color w:val="FFFFFF"/>
                <w:sz w:val="14"/>
              </w:rPr>
              <w:t>Ventaja esperada</w:t>
            </w:r>
          </w:p>
        </w:tc>
        <w:tc>
          <w:tcPr>
            <w:tcW w:type="dxa" w:w="1824"/>
            <w:shd w:val="clear" w:color="auto" w:fill="1F4E79"/>
          </w:tcPr>
          <w:p>
            <w:r/>
            <w:r>
              <w:rPr>
                <w:b/>
                <w:color w:val="FFFFFF"/>
                <w:sz w:val="14"/>
              </w:rPr>
              <w:t>Riesgo metodologico</w:t>
            </w:r>
          </w:p>
        </w:tc>
        <w:tc>
          <w:tcPr>
            <w:tcW w:type="dxa" w:w="1824"/>
            <w:shd w:val="clear" w:color="auto" w:fill="1F4E79"/>
          </w:tcPr>
          <w:p>
            <w:r/>
            <w:r>
              <w:rPr>
                <w:b/>
                <w:color w:val="FFFFFF"/>
                <w:sz w:val="14"/>
              </w:rPr>
              <w:t>Relacion con VI</w:t>
            </w:r>
          </w:p>
        </w:tc>
      </w:tr>
      <w:tr>
        <w:tc>
          <w:tcPr>
            <w:tcW w:type="dxa" w:w="1824"/>
          </w:tcPr>
          <w:p>
            <w:r/>
            <w:r>
              <w:rPr>
                <w:sz w:val="14"/>
              </w:rPr>
              <w:t>HAPPO</w:t>
            </w:r>
          </w:p>
        </w:tc>
        <w:tc>
          <w:tcPr>
            <w:tcW w:type="dxa" w:w="1824"/>
          </w:tcPr>
          <w:p>
            <w:r/>
            <w:r>
              <w:rPr>
                <w:sz w:val="14"/>
              </w:rPr>
              <w:t>Trust-region y agentes heterogeneos (Kuba et al., 2021; Zhong et al., 2023).</w:t>
            </w:r>
          </w:p>
        </w:tc>
        <w:tc>
          <w:tcPr>
            <w:tcW w:type="dxa" w:w="1824"/>
          </w:tcPr>
          <w:p>
            <w:r/>
            <w:r>
              <w:rPr>
                <w:sz w:val="14"/>
              </w:rPr>
              <w:t>Estabilidad on-policy y tratamiento de heterogeneidad entre edificios.</w:t>
            </w:r>
          </w:p>
        </w:tc>
        <w:tc>
          <w:tcPr>
            <w:tcW w:type="dxa" w:w="1824"/>
          </w:tcPr>
          <w:p>
            <w:r/>
            <w:r>
              <w:rPr>
                <w:sz w:val="14"/>
              </w:rPr>
              <w:t>Costo de muestreo y cobertura parcial de artefactos finales.</w:t>
            </w:r>
          </w:p>
        </w:tc>
        <w:tc>
          <w:tcPr>
            <w:tcW w:type="dxa" w:w="1824"/>
          </w:tcPr>
          <w:p>
            <w:r/>
            <w:r>
              <w:rPr>
                <w:sz w:val="14"/>
              </w:rPr>
              <w:t>Nivel D-VI.1 del factor algoritmo.</w:t>
            </w:r>
          </w:p>
        </w:tc>
      </w:tr>
      <w:tr>
        <w:tc>
          <w:tcPr>
            <w:tcW w:type="dxa" w:w="1824"/>
          </w:tcPr>
          <w:p>
            <w:r/>
            <w:r>
              <w:rPr>
                <w:sz w:val="14"/>
              </w:rPr>
              <w:t>MASAC</w:t>
            </w:r>
          </w:p>
        </w:tc>
        <w:tc>
          <w:tcPr>
            <w:tcW w:type="dxa" w:w="1824"/>
          </w:tcPr>
          <w:p>
            <w:r/>
            <w:r>
              <w:rPr>
                <w:sz w:val="14"/>
              </w:rPr>
              <w:t>SAC y regularizacion de entropia (Haarnoja et al., 2018; Gao et al., 2023).</w:t>
            </w:r>
          </w:p>
        </w:tc>
        <w:tc>
          <w:tcPr>
            <w:tcW w:type="dxa" w:w="1824"/>
          </w:tcPr>
          <w:p>
            <w:r/>
            <w:r>
              <w:rPr>
                <w:sz w:val="14"/>
              </w:rPr>
              <w:t>Exploracion robusta y aprendizaje off-policy.</w:t>
            </w:r>
          </w:p>
        </w:tc>
        <w:tc>
          <w:tcPr>
            <w:tcW w:type="dxa" w:w="1824"/>
          </w:tcPr>
          <w:p>
            <w:r/>
            <w:r>
              <w:rPr>
                <w:sz w:val="14"/>
              </w:rPr>
              <w:t>Adaptacion de acciones continuas/discretas y sensibilidad a hiperparametros.</w:t>
            </w:r>
          </w:p>
        </w:tc>
        <w:tc>
          <w:tcPr>
            <w:tcW w:type="dxa" w:w="1824"/>
          </w:tcPr>
          <w:p>
            <w:r/>
            <w:r>
              <w:rPr>
                <w:sz w:val="14"/>
              </w:rPr>
              <w:t>Nivel D-VI.1 del factor algoritmo.</w:t>
            </w:r>
          </w:p>
        </w:tc>
      </w:tr>
      <w:tr>
        <w:tc>
          <w:tcPr>
            <w:tcW w:type="dxa" w:w="1824"/>
          </w:tcPr>
          <w:p>
            <w:r/>
            <w:r>
              <w:rPr>
                <w:sz w:val="14"/>
              </w:rPr>
              <w:t>MATD3</w:t>
            </w:r>
          </w:p>
        </w:tc>
        <w:tc>
          <w:tcPr>
            <w:tcW w:type="dxa" w:w="1824"/>
          </w:tcPr>
          <w:p>
            <w:r/>
            <w:r>
              <w:rPr>
                <w:sz w:val="14"/>
              </w:rPr>
              <w:t>Criticos dobles, retardo de politica y control continuo off-policy.</w:t>
            </w:r>
          </w:p>
        </w:tc>
        <w:tc>
          <w:tcPr>
            <w:tcW w:type="dxa" w:w="1824"/>
          </w:tcPr>
          <w:p>
            <w:r/>
            <w:r>
              <w:rPr>
                <w:sz w:val="14"/>
              </w:rPr>
              <w:t>Reduccion de sobreestimacion y estabilidad en acciones continuas.</w:t>
            </w:r>
          </w:p>
        </w:tc>
        <w:tc>
          <w:tcPr>
            <w:tcW w:type="dxa" w:w="1824"/>
          </w:tcPr>
          <w:p>
            <w:r/>
            <w:r>
              <w:rPr>
                <w:sz w:val="14"/>
              </w:rPr>
              <w:t>Puede optimizar algunos ejes mejor que otros; requiere lectura por escenario.</w:t>
            </w:r>
          </w:p>
        </w:tc>
        <w:tc>
          <w:tcPr>
            <w:tcW w:type="dxa" w:w="1824"/>
          </w:tcPr>
          <w:p>
            <w:r/>
            <w:r>
              <w:rPr>
                <w:sz w:val="14"/>
              </w:rPr>
              <w:t>Nivel D-VI.1 e hipotesis direccional HG/HE.2/HE.3.</w:t>
            </w:r>
          </w:p>
        </w:tc>
      </w:tr>
      <w:tr>
        <w:tc>
          <w:tcPr>
            <w:tcW w:type="dxa" w:w="1824"/>
          </w:tcPr>
          <w:p>
            <w:r/>
            <w:r>
              <w:rPr>
                <w:sz w:val="14"/>
              </w:rPr>
              <w:t>MAAC</w:t>
            </w:r>
          </w:p>
        </w:tc>
        <w:tc>
          <w:tcPr>
            <w:tcW w:type="dxa" w:w="1824"/>
          </w:tcPr>
          <w:p>
            <w:r/>
            <w:r>
              <w:rPr>
                <w:sz w:val="14"/>
              </w:rPr>
              <w:t>Critico con atencion multiagente (Iqbal &amp; Sha, 2019).</w:t>
            </w:r>
          </w:p>
        </w:tc>
        <w:tc>
          <w:tcPr>
            <w:tcW w:type="dxa" w:w="1824"/>
          </w:tcPr>
          <w:p>
            <w:r/>
            <w:r>
              <w:rPr>
                <w:sz w:val="14"/>
              </w:rPr>
              <w:t>Coordinacion selectiva entre edificios heterogeneos.</w:t>
            </w:r>
          </w:p>
        </w:tc>
        <w:tc>
          <w:tcPr>
            <w:tcW w:type="dxa" w:w="1824"/>
          </w:tcPr>
          <w:p>
            <w:r/>
            <w:r>
              <w:rPr>
                <w:sz w:val="14"/>
              </w:rPr>
              <w:t>Complejidad computacional y sensibilidad a estructura de interacciones.</w:t>
            </w:r>
          </w:p>
        </w:tc>
        <w:tc>
          <w:tcPr>
            <w:tcW w:type="dxa" w:w="1824"/>
          </w:tcPr>
          <w:p>
            <w:r/>
            <w:r>
              <w:rPr>
                <w:sz w:val="14"/>
              </w:rPr>
              <w:t>Nivel D-VI.1 del factor algoritmo.</w:t>
            </w:r>
          </w:p>
        </w:tc>
      </w:tr>
    </w:tbl>
    <w:p/>
    <w:p>
      <w:pPr>
        <w:pStyle w:val="Heading3"/>
      </w:pPr>
      <w:r>
        <w:t>2.2.6 Bases teoricas de la flexibilidad energetica</w:t>
      </w:r>
    </w:p>
    <w:p>
      <w:pPr>
        <w:spacing w:after="120" w:line="276" w:lineRule="auto"/>
        <w:jc w:val="both"/>
      </w:pPr>
      <w:r>
        <w:t>La flexibilidad energetica es la capacidad de ajustar demanda, generacion distribuida y almacenamiento en respuesta a objetivos operativos. Lund et al. (2017) ubican esta capacidad dentro de los sistemas energeticos inteligentes, mientras CityLearn la operacionaliza con KPIs de pico, rampa y factor de carga (Vazquez-Canteli et al., 2020; Nweye et al., 2024). En el contexto de la tesis, D-VD.1 no se reduce a una metrica; es una dimension compuesta que incluye peak_average, ramping_average, one_minus_load_factor_average, autoconsumo PV, autosuficiencia, importacion/exportacion y respuesta de carga controlable.</w:t>
      </w:r>
    </w:p>
    <w:p>
      <w:pPr>
        <w:spacing w:after="120" w:line="276" w:lineRule="auto"/>
        <w:jc w:val="both"/>
      </w:pPr>
      <w: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pPr>
      <w:r>
        <w:t>2.2.7 Bases teoricas de emisiones de CO2</w:t>
      </w:r>
    </w:p>
    <w:p>
      <w:pPr>
        <w:spacing w:after="120" w:line="276" w:lineRule="auto"/>
        <w:jc w:val="both"/>
      </w:pPr>
      <w:r>
        <w:t>Las emisiones de CO2 asociadas al consumo electrico dependen de la energia importada y de la intensidad de carbono de la fuente. Tranberg et al. (2020) plantean la importancia de contabilidad temporal de carbono, y Cao et al. (2023) muestran la utilidad de pronosticar intensidad de carbono para gestion de edificios. En redes aisladas, la intensidad de carbono puede ser mayor y mas sensible a la generacion local. Por eso, el uso de MINAM (2019) como referencia del factor base peruano conecta la tesis con el contexto SEAI Iquitos.</w:t>
      </w:r>
    </w:p>
    <w:p>
      <w:pPr>
        <w:spacing w:after="120" w:line="276" w:lineRule="auto"/>
        <w:jc w:val="both"/>
      </w:pPr>
      <w:r>
        <w:t>D-VD.2 se operacionaliza mediante carbon_emissions_total, carbon_emissions_delta y consumo ponderado por intensidad de carbono. A diferencia de estudios donde el carbono es un KPI posterior, en esta tesis E2 modifica directamente la funcion de recompensa, asignando peso dominante al componente carbono. Esto permite contrastar si el algoritmo MADRL produce un efecto diferenciado sobre emisiones y si el efecto corresponde al algoritmo planteado en las hipotesis.</w:t>
      </w:r>
    </w:p>
    <w:p>
      <w:pPr>
        <w:pStyle w:val="Heading3"/>
      </w:pPr>
      <w:r>
        <w:t>2.2.8 Bases teoricas de costos energeticos</w:t>
      </w:r>
    </w:p>
    <w:p>
      <w:pPr>
        <w:spacing w:after="120" w:line="276" w:lineRule="auto"/>
        <w:jc w:val="both"/>
      </w:pPr>
      <w:r>
        <w:t>Los costos energeticos se explican por consumo, horario, precio, picos y capacidad de respuesta. OSINERGMIN (2024) justifica el uso de maxima demanda y tarifa en el contexto regulatorio peruano; Dang et al. (2023) muestran que BESS puede reducir cargos de demanda bajo precios dinamicos; y Xiong et al. (2024) confirma que DRL puede responder a TOU y almacenamiento. En la tesis, D-VD.3 se mide con electricity_cost_total, electricity_cost_delta y price_signal_deviation, lo que conecta costos con politicas concretas de carga/descarga y desplazamiento.</w:t>
      </w:r>
    </w:p>
    <w:p>
      <w:pPr>
        <w:spacing w:after="120" w:line="276" w:lineRule="auto"/>
        <w:jc w:val="both"/>
      </w:pPr>
      <w:r>
        <w:t>La importancia doctoral de este eje es que costo, flexibilidad y carbono pueden entrar en conflicto. Cargar BESS en una hora barata puede no coincidir con la hora de menor carbono; reducir pico puede aumentar emisiones si desplaza consumo a periodos diesel; y optimizar costo puede sacrificar flexibilidad. Por eso, la recompensa multiobjetivo y los escenarios E1/E2/E3 son teoricamente necesarios y no una decision arbitraria de implementacion.</w:t>
      </w:r>
    </w:p>
    <w:p>
      <w:pPr>
        <w:pStyle w:val="Heading3"/>
      </w:pPr>
      <w:r>
        <w:t>2.2.9 Aportes fisicos al motor como base teorica de CityLearn v3 propuesto</w:t>
      </w:r>
    </w:p>
    <w:p>
      <w:pPr>
        <w:spacing w:after="120" w:line="276" w:lineRule="auto"/>
        <w:jc w:val="both"/>
      </w:pPr>
      <w: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120" w:line="276" w:lineRule="auto"/>
        <w:jc w:val="both"/>
      </w:pPr>
      <w: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Este aporte conecta clima, generacion y decision multiagente.</w:t>
      </w:r>
    </w:p>
    <w:p>
      <w:pPr>
        <w:spacing w:after="120" w:line="276" w:lineRule="auto"/>
        <w:jc w:val="both"/>
      </w:pPr>
      <w:r>
        <w:t>El KPI de pico con ventana de facturacion se fundamenta en OSINERGMIN (2024) y en estudios de reduccion de demanda maxima con BESS, como Dang et al. (2023). Finalmente, CarbonIntensityModel se sostiene en MINAM (2019), Tranberg et al. (2020) y Cao et al. (2023), permitiendo que el eje de carbono sea parametrizable y no una constante exogena sin estructura teorica.</w:t>
      </w:r>
    </w:p>
    <w:p>
      <w:r>
        <w:rPr>
          <w:b/>
          <w:color w:val="595959"/>
          <w:sz w:val="19"/>
        </w:rPr>
        <w:t>Tabla 2.3. 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4"/>
              </w:rPr>
              <w:t>Constructo</w:t>
            </w:r>
          </w:p>
        </w:tc>
        <w:tc>
          <w:tcPr>
            <w:tcW w:type="dxa" w:w="2280"/>
            <w:shd w:val="clear" w:color="auto" w:fill="1F4E79"/>
          </w:tcPr>
          <w:p>
            <w:r/>
            <w:r>
              <w:rPr>
                <w:b/>
                <w:color w:val="FFFFFF"/>
                <w:sz w:val="14"/>
              </w:rPr>
              <w:t>Indicadores en tesis</w:t>
            </w:r>
          </w:p>
        </w:tc>
        <w:tc>
          <w:tcPr>
            <w:tcW w:type="dxa" w:w="2280"/>
            <w:shd w:val="clear" w:color="auto" w:fill="1F4E79"/>
          </w:tcPr>
          <w:p>
            <w:r/>
            <w:r>
              <w:rPr>
                <w:b/>
                <w:color w:val="FFFFFF"/>
                <w:sz w:val="14"/>
              </w:rPr>
              <w:t>Fuentes teoricas principales</w:t>
            </w:r>
          </w:p>
        </w:tc>
        <w:tc>
          <w:tcPr>
            <w:tcW w:type="dxa" w:w="2280"/>
            <w:shd w:val="clear" w:color="auto" w:fill="1F4E79"/>
          </w:tcPr>
          <w:p>
            <w:r/>
            <w:r>
              <w:rPr>
                <w:b/>
                <w:color w:val="FFFFFF"/>
                <w:sz w:val="14"/>
              </w:rPr>
              <w:t>Uso en Cap. 5</w:t>
            </w:r>
          </w:p>
        </w:tc>
      </w:tr>
      <w:tr>
        <w:tc>
          <w:tcPr>
            <w:tcW w:type="dxa" w:w="2280"/>
          </w:tcPr>
          <w:p>
            <w:r/>
            <w:r>
              <w:rPr>
                <w:sz w:val="14"/>
              </w:rPr>
              <w:t>Flexibilidad energetica</w:t>
            </w:r>
          </w:p>
        </w:tc>
        <w:tc>
          <w:tcPr>
            <w:tcW w:type="dxa" w:w="2280"/>
          </w:tcPr>
          <w:p>
            <w:r/>
            <w:r>
              <w:rPr>
                <w:sz w:val="14"/>
              </w:rPr>
              <w:t>peak_average, ramping_average, one_minus_load_factor_average, autoconsumo, autosuficiencia.</w:t>
            </w:r>
          </w:p>
        </w:tc>
        <w:tc>
          <w:tcPr>
            <w:tcW w:type="dxa" w:w="2280"/>
          </w:tcPr>
          <w:p>
            <w:r/>
            <w:r>
              <w:rPr>
                <w:sz w:val="14"/>
              </w:rPr>
              <w:t>Vazquez-Canteli et al. (2020); Nweye et al. (2024); Lund et al. (2017).</w:t>
            </w:r>
          </w:p>
        </w:tc>
        <w:tc>
          <w:tcPr>
            <w:tcW w:type="dxa" w:w="2280"/>
          </w:tcPr>
          <w:p>
            <w:r/>
            <w:r>
              <w:rPr>
                <w:sz w:val="14"/>
              </w:rPr>
              <w:t>Comparacion E1, figuras A.1-A.2/A.7-A.8 y KPIs edificio.</w:t>
            </w:r>
          </w:p>
        </w:tc>
      </w:tr>
      <w:tr>
        <w:tc>
          <w:tcPr>
            <w:tcW w:type="dxa" w:w="2280"/>
          </w:tcPr>
          <w:p>
            <w:r/>
            <w:r>
              <w:rPr>
                <w:sz w:val="14"/>
              </w:rPr>
              <w:t>Emisiones CO2</w:t>
            </w:r>
          </w:p>
        </w:tc>
        <w:tc>
          <w:tcPr>
            <w:tcW w:type="dxa" w:w="2280"/>
          </w:tcPr>
          <w:p>
            <w:r/>
            <w:r>
              <w:rPr>
                <w:sz w:val="14"/>
              </w:rPr>
              <w:t>carbon_emissions_total, carbon_emissions_delta, CI-weighted consumption.</w:t>
            </w:r>
          </w:p>
        </w:tc>
        <w:tc>
          <w:tcPr>
            <w:tcW w:type="dxa" w:w="2280"/>
          </w:tcPr>
          <w:p>
            <w:r/>
            <w:r>
              <w:rPr>
                <w:sz w:val="14"/>
              </w:rPr>
              <w:t>Liu et al. (2022); Tranberg et al. (2020); Cao et al. (2023); MINAM (2019).</w:t>
            </w:r>
          </w:p>
        </w:tc>
        <w:tc>
          <w:tcPr>
            <w:tcW w:type="dxa" w:w="2280"/>
          </w:tcPr>
          <w:p>
            <w:r/>
            <w:r>
              <w:rPr>
                <w:sz w:val="14"/>
              </w:rPr>
              <w:t>Comparacion E2, figura A.4/A.6 y tablas por edificio.</w:t>
            </w:r>
          </w:p>
        </w:tc>
      </w:tr>
      <w:tr>
        <w:tc>
          <w:tcPr>
            <w:tcW w:type="dxa" w:w="2280"/>
          </w:tcPr>
          <w:p>
            <w:r/>
            <w:r>
              <w:rPr>
                <w:sz w:val="14"/>
              </w:rPr>
              <w:t>Costos energeticos</w:t>
            </w:r>
          </w:p>
        </w:tc>
        <w:tc>
          <w:tcPr>
            <w:tcW w:type="dxa" w:w="2280"/>
          </w:tcPr>
          <w:p>
            <w:r/>
            <w:r>
              <w:rPr>
                <w:sz w:val="14"/>
              </w:rPr>
              <w:t>electricity_cost_total, electricity_cost_delta, price_signal_deviation.</w:t>
            </w:r>
          </w:p>
        </w:tc>
        <w:tc>
          <w:tcPr>
            <w:tcW w:type="dxa" w:w="2280"/>
          </w:tcPr>
          <w:p>
            <w:r/>
            <w:r>
              <w:rPr>
                <w:sz w:val="14"/>
              </w:rPr>
              <w:t>Dang et al. (2023); Xiong et al. (2024); OSINERGMIN (2024); Gao et al. (2023).</w:t>
            </w:r>
          </w:p>
        </w:tc>
        <w:tc>
          <w:tcPr>
            <w:tcW w:type="dxa" w:w="2280"/>
          </w:tcPr>
          <w:p>
            <w:r/>
            <w:r>
              <w:rPr>
                <w:sz w:val="14"/>
              </w:rPr>
              <w:t>Comparacion E3, figura A.3/A.5 y deltas por edificio.</w:t>
            </w:r>
          </w:p>
        </w:tc>
      </w:tr>
      <w:tr>
        <w:tc>
          <w:tcPr>
            <w:tcW w:type="dxa" w:w="2280"/>
          </w:tcPr>
          <w:p>
            <w:r/>
            <w:r>
              <w:rPr>
                <w:sz w:val="14"/>
              </w:rPr>
              <w:t>Coordinacion MADRL</w:t>
            </w:r>
          </w:p>
        </w:tc>
        <w:tc>
          <w:tcPr>
            <w:tcW w:type="dxa" w:w="2280"/>
          </w:tcPr>
          <w:p>
            <w:r/>
            <w:r>
              <w:rPr>
                <w:sz w:val="14"/>
              </w:rPr>
              <w:t>reward, trace por agente, acciones controladas, checkpoints.</w:t>
            </w:r>
          </w:p>
        </w:tc>
        <w:tc>
          <w:tcPr>
            <w:tcW w:type="dxa" w:w="2280"/>
          </w:tcPr>
          <w:p>
            <w:r/>
            <w:r>
              <w:rPr>
                <w:sz w:val="14"/>
              </w:rPr>
              <w:t>Lowe et al. (2017); Oliehoek &amp; Amato (2016); Iqbal &amp; Sha (2019); Kuba et al. (2021).</w:t>
            </w:r>
          </w:p>
        </w:tc>
        <w:tc>
          <w:tcPr>
            <w:tcW w:type="dxa" w:w="2280"/>
          </w:tcPr>
          <w:p>
            <w:r/>
            <w:r>
              <w:rPr>
                <w:sz w:val="14"/>
              </w:rPr>
              <w:t>Interpretacion distrito-edificio y reproducibilidad de politica.</w:t>
            </w:r>
          </w:p>
        </w:tc>
      </w:tr>
      <w:tr>
        <w:tc>
          <w:tcPr>
            <w:tcW w:type="dxa" w:w="2280"/>
          </w:tcPr>
          <w:p>
            <w:r/>
            <w:r>
              <w:rPr>
                <w:sz w:val="14"/>
              </w:rPr>
              <w:t>Fidelidad fisica del simulador</w:t>
            </w:r>
          </w:p>
        </w:tc>
        <w:tc>
          <w:tcPr>
            <w:tcW w:type="dxa" w:w="2280"/>
          </w:tcPr>
          <w:p>
            <w:r/>
            <w:r>
              <w:rPr>
                <w:sz w:val="14"/>
              </w:rPr>
              <w:t>degradacion BESS, PV tropical, CI dinamica, pico facturable.</w:t>
            </w:r>
          </w:p>
        </w:tc>
        <w:tc>
          <w:tcPr>
            <w:tcW w:type="dxa" w:w="2280"/>
          </w:tcPr>
          <w:p>
            <w:r/>
            <w:r>
              <w:rPr>
                <w:sz w:val="14"/>
              </w:rPr>
              <w:t>Naumann et al. (2021); Tamoor et al. (2022); IEC (2021); MINAM (2019).</w:t>
            </w:r>
          </w:p>
        </w:tc>
        <w:tc>
          <w:tcPr>
            <w:tcW w:type="dxa" w:w="2280"/>
          </w:tcPr>
          <w:p>
            <w:r/>
            <w:r>
              <w:rPr>
                <w:sz w:val="14"/>
              </w:rPr>
              <w:t>Justifica CityLearn v3 propuesto y anexos de arquitectura.</w:t>
            </w:r>
          </w:p>
        </w:tc>
      </w:tr>
    </w:tbl>
    <w:p/>
    <w:p>
      <w:pPr>
        <w:pStyle w:val="Heading2"/>
      </w:pPr>
      <w:r>
        <w:t>2.3 Definicion de terminos y delimitaciones conceptuales</w:t>
      </w:r>
    </w:p>
    <w:p>
      <w:pPr>
        <w:spacing w:after="120" w:line="276" w:lineRule="auto"/>
        <w:jc w:val="both"/>
      </w:pPr>
      <w: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120" w:line="276" w:lineRule="auto"/>
        <w:jc w:val="both"/>
      </w:pPr>
      <w: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120" w:line="276" w:lineRule="auto"/>
        <w:jc w:val="both"/>
      </w:pPr>
      <w: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120" w:line="276" w:lineRule="auto"/>
        <w:jc w:val="both"/>
      </w:pPr>
      <w: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2"/>
      </w:pPr>
      <w:r>
        <w:t>2.4 Posicion teorica de la tesis</w:t>
      </w:r>
    </w:p>
    <w:p>
      <w:pPr>
        <w:spacing w:after="120" w:line="276" w:lineRule="auto"/>
        <w:jc w:val="both"/>
      </w:pPr>
      <w: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Esta posicion combina la teoria Dec-POMDP de Oliehoek y Amato (2016), el paradigma CTDE de Lowe et al. (2017), la estandarizacion de CityLearn de Vazquez-Canteli et al. (2020) y Nweye et al. (2024), y la literatura de gestion energetica multiobjetivo.</w:t>
      </w:r>
    </w:p>
    <w:p>
      <w:pPr>
        <w:spacing w:after="120" w:line="276" w:lineRule="auto"/>
        <w:jc w:val="both"/>
      </w:pPr>
      <w: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1"/>
      </w:pPr>
      <w:r>
        <w:t>Capitulo 3. Metodologia</w:t>
      </w:r>
    </w:p>
    <w:p>
      <w:pPr>
        <w:pStyle w:val="Heading2"/>
      </w:pPr>
      <w:r>
        <w:t>3.1 Tipo, enfoque y nivel de investigacion</w:t>
      </w:r>
    </w:p>
    <w:p>
      <w:pPr>
        <w:spacing w:after="120" w:line="276" w:lineRule="auto"/>
        <w:jc w:val="both"/>
      </w:pPr>
      <w:r>
        <w:rPr>
          <w:b w:val="0"/>
          <w:i w:val="0"/>
        </w:rPr>
        <w:t>La investigacion es cuantitativa, aplicada y explicativa. El diseno es experimental de simulacion computacional porque manipula la VI algoritmo MADRL en un diseno factorial 4x3 y mide su efecto sobre la VD con KPIs energeticos, ambientales y economicos. La validez interna se protege manteniendo constantes dataset, clima, CI, TOU, recompensa, semilla y horizonte de evaluacion.</w:t>
      </w:r>
    </w:p>
    <w:p>
      <w:pPr>
        <w:pStyle w:val="Heading2"/>
      </w:pPr>
      <w:r>
        <w:t>3.2 Diseno experimental</w:t>
      </w:r>
    </w:p>
    <w:p>
      <w:pPr>
        <w:spacing w:after="120" w:line="276" w:lineRule="auto"/>
        <w:jc w:val="both"/>
      </w:pPr>
      <w:r>
        <w:rPr>
          <w:b w:val="0"/>
          <w:i w:val="0"/>
        </w:rPr>
        <w:t>El diseno factorial completo contiene 12 tratamientos: cuatro algoritmos por tres escenarios. Cada tratamiento corresponde a una combinacion algoritmo-escenario y se evalua con los mismos instrumentos de medicion. E1 prioriza flexibilidad, E2 prioriza emisiones de CO2 y E3 prioriza costos energeticos.</w:t>
      </w:r>
    </w:p>
    <w:p>
      <w:r>
        <w:rPr>
          <w:b/>
          <w:color w:val="595959"/>
          <w:sz w:val="19"/>
        </w:rPr>
        <w:t>Tabla 3.1. Escenarios experimentales E1-E3 y vinculacion con objetivos e hipotesis.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shd w:val="clear" w:color="auto" w:fill="1F4E79"/>
          </w:tcPr>
          <w:p>
            <w:r/>
            <w:r>
              <w:rPr>
                <w:b/>
                <w:color w:val="FFFFFF"/>
                <w:sz w:val="16"/>
              </w:rPr>
              <w:t>Escenario</w:t>
            </w:r>
          </w:p>
        </w:tc>
        <w:tc>
          <w:tcPr>
            <w:tcW w:type="dxa" w:w="2280"/>
            <w:shd w:val="clear" w:color="auto" w:fill="1F4E79"/>
          </w:tcPr>
          <w:p>
            <w:r/>
            <w:r>
              <w:rPr>
                <w:b/>
                <w:color w:val="FFFFFF"/>
                <w:sz w:val="16"/>
              </w:rPr>
              <w:t>Pesos [flex, CO2, costo]</w:t>
            </w:r>
          </w:p>
        </w:tc>
        <w:tc>
          <w:tcPr>
            <w:tcW w:type="dxa" w:w="2280"/>
            <w:shd w:val="clear" w:color="auto" w:fill="1F4E79"/>
          </w:tcPr>
          <w:p>
            <w:r/>
            <w:r>
              <w:rPr>
                <w:b/>
                <w:color w:val="FFFFFF"/>
                <w:sz w:val="16"/>
              </w:rPr>
              <w:t>Objetivo dominante</w:t>
            </w:r>
          </w:p>
        </w:tc>
        <w:tc>
          <w:tcPr>
            <w:tcW w:type="dxa" w:w="2280"/>
            <w:shd w:val="clear" w:color="auto" w:fill="1F4E79"/>
          </w:tcPr>
          <w:p>
            <w:r/>
            <w:r>
              <w:rPr>
                <w:b/>
                <w:color w:val="FFFFFF"/>
                <w:sz w:val="16"/>
              </w:rPr>
              <w:t>Asociado a</w:t>
            </w:r>
          </w:p>
        </w:tc>
      </w:tr>
      <w:tr>
        <w:tc>
          <w:tcPr>
            <w:tcW w:type="dxa" w:w="2280"/>
          </w:tcPr>
          <w:p>
            <w:r/>
            <w:r>
              <w:rPr>
                <w:sz w:val="16"/>
              </w:rPr>
              <w:t>E1</w:t>
            </w:r>
          </w:p>
        </w:tc>
        <w:tc>
          <w:tcPr>
            <w:tcW w:type="dxa" w:w="2280"/>
          </w:tcPr>
          <w:p>
            <w:r/>
            <w:r>
              <w:rPr>
                <w:sz w:val="16"/>
              </w:rPr>
              <w:t>[0,70; 0,15; 0,15]</w:t>
            </w:r>
          </w:p>
        </w:tc>
        <w:tc>
          <w:tcPr>
            <w:tcW w:type="dxa" w:w="2280"/>
          </w:tcPr>
          <w:p>
            <w:r/>
            <w:r>
              <w:rPr>
                <w:sz w:val="16"/>
              </w:rPr>
              <w:t>Flexibilidad energetica</w:t>
            </w:r>
          </w:p>
        </w:tc>
        <w:tc>
          <w:tcPr>
            <w:tcW w:type="dxa" w:w="2280"/>
          </w:tcPr>
          <w:p>
            <w:r/>
            <w:r>
              <w:rPr>
                <w:sz w:val="16"/>
              </w:rPr>
              <w:t>OE.1 / HE.1 / D-VD.1</w:t>
            </w:r>
          </w:p>
        </w:tc>
      </w:tr>
      <w:tr>
        <w:tc>
          <w:tcPr>
            <w:tcW w:type="dxa" w:w="2280"/>
          </w:tcPr>
          <w:p>
            <w:r/>
            <w:r>
              <w:rPr>
                <w:sz w:val="16"/>
              </w:rPr>
              <w:t>E2</w:t>
            </w:r>
          </w:p>
        </w:tc>
        <w:tc>
          <w:tcPr>
            <w:tcW w:type="dxa" w:w="2280"/>
          </w:tcPr>
          <w:p>
            <w:r/>
            <w:r>
              <w:rPr>
                <w:sz w:val="16"/>
              </w:rPr>
              <w:t>[0,15; 0,70; 0,15]</w:t>
            </w:r>
          </w:p>
        </w:tc>
        <w:tc>
          <w:tcPr>
            <w:tcW w:type="dxa" w:w="2280"/>
          </w:tcPr>
          <w:p>
            <w:r/>
            <w:r>
              <w:rPr>
                <w:sz w:val="16"/>
              </w:rPr>
              <w:t>Emisiones de CO2</w:t>
            </w:r>
          </w:p>
        </w:tc>
        <w:tc>
          <w:tcPr>
            <w:tcW w:type="dxa" w:w="2280"/>
          </w:tcPr>
          <w:p>
            <w:r/>
            <w:r>
              <w:rPr>
                <w:sz w:val="16"/>
              </w:rPr>
              <w:t>OE.2 / HE.2 / D-VD.2</w:t>
            </w:r>
          </w:p>
        </w:tc>
      </w:tr>
      <w:tr>
        <w:tc>
          <w:tcPr>
            <w:tcW w:type="dxa" w:w="2280"/>
          </w:tcPr>
          <w:p>
            <w:r/>
            <w:r>
              <w:rPr>
                <w:sz w:val="16"/>
              </w:rPr>
              <w:t>E3</w:t>
            </w:r>
          </w:p>
        </w:tc>
        <w:tc>
          <w:tcPr>
            <w:tcW w:type="dxa" w:w="2280"/>
          </w:tcPr>
          <w:p>
            <w:r/>
            <w:r>
              <w:rPr>
                <w:sz w:val="16"/>
              </w:rPr>
              <w:t>[0,25; 0,15; 0,60]</w:t>
            </w:r>
          </w:p>
        </w:tc>
        <w:tc>
          <w:tcPr>
            <w:tcW w:type="dxa" w:w="2280"/>
          </w:tcPr>
          <w:p>
            <w:r/>
            <w:r>
              <w:rPr>
                <w:sz w:val="16"/>
              </w:rPr>
              <w:t>Costos energeticos</w:t>
            </w:r>
          </w:p>
        </w:tc>
        <w:tc>
          <w:tcPr>
            <w:tcW w:type="dxa" w:w="2280"/>
          </w:tcPr>
          <w:p>
            <w:r/>
            <w:r>
              <w:rPr>
                <w:sz w:val="16"/>
              </w:rPr>
              <w:t>OE.3 / HE.3 / D-VD.3</w:t>
            </w:r>
          </w:p>
        </w:tc>
      </w:tr>
    </w:tbl>
    <w:p/>
    <w:p>
      <w:pPr>
        <w:pStyle w:val="Heading2"/>
      </w:pPr>
      <w:r>
        <w:t>3.3 Unidad de analisis, poblacion y muestra</w:t>
      </w:r>
    </w:p>
    <w:p>
      <w:pPr>
        <w:spacing w:after="120" w:line="276" w:lineRule="auto"/>
        <w:jc w:val="both"/>
      </w:pPr>
      <w:r>
        <w:rPr>
          <w:b w:val="0"/>
          <w:i w:val="0"/>
        </w:rPr>
        <w:t>La unidad experimental es el tratamiento algoritmo x escenario. La unidad de observacion se evalua en dos escalas: distrito y edificio. La muestra experimental es censal respecto del diseno: se consideran los 12 tratamientos definidos. Para analisis de edificio/checkpoint se emplean las nueve corridas completas de MAAC, MASAC y MATD3; HAPPO se excluye de esas comparaciones por falta de archivos requeridos.</w:t>
      </w:r>
    </w:p>
    <w:p>
      <w:pPr>
        <w:pStyle w:val="Heading2"/>
      </w:pPr>
      <w:r>
        <w:t>3.4 Datos: dataset citylearn_iquitos_2023_2025</w:t>
      </w:r>
    </w:p>
    <w:p>
      <w:pPr>
        <w:spacing w:after="120" w:line="276" w:lineRule="auto"/>
        <w:jc w:val="both"/>
      </w:pPr>
      <w:r>
        <w:rPr>
          <w:b w:val="0"/>
          <w:i w:val="0"/>
        </w:rPr>
        <w:t>El dataset integra 17 edificios reales del SEAI Iquitos, 26 304 horas, 222 CSV activos, PV 48 790,9 kWp, BESS 26 266 kWh / 6 648 kW, 185 tomas EV, intensidad de carbono 0,672-0,790 kgCO2/kWh y tarifa TOU 0,26/0,38 USD/kWh. La construccion se documenta mediante un pipeline de 10 etapas y auditorias del repositorio.</w:t>
      </w:r>
    </w:p>
    <w:p>
      <w:r>
        <w:rPr>
          <w:b/>
          <w:color w:val="595959"/>
          <w:sz w:val="19"/>
        </w:rPr>
        <w:t>Tabla 3.2. Resumen tecnico del dataset Iquitos.</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Componente</w:t>
            </w:r>
          </w:p>
        </w:tc>
        <w:tc>
          <w:tcPr>
            <w:tcW w:type="dxa" w:w="3041"/>
            <w:shd w:val="clear" w:color="auto" w:fill="1F4E79"/>
          </w:tcPr>
          <w:p>
            <w:r/>
            <w:r>
              <w:rPr>
                <w:b/>
                <w:color w:val="FFFFFF"/>
                <w:sz w:val="16"/>
              </w:rPr>
              <w:t>Valor auditado</w:t>
            </w:r>
          </w:p>
        </w:tc>
        <w:tc>
          <w:tcPr>
            <w:tcW w:type="dxa" w:w="3041"/>
            <w:shd w:val="clear" w:color="auto" w:fill="1F4E79"/>
          </w:tcPr>
          <w:p>
            <w:r/>
            <w:r>
              <w:rPr>
                <w:b/>
                <w:color w:val="FFFFFF"/>
                <w:sz w:val="16"/>
              </w:rPr>
              <w:t>Uso metodologico</w:t>
            </w:r>
          </w:p>
        </w:tc>
      </w:tr>
      <w:tr>
        <w:tc>
          <w:tcPr>
            <w:tcW w:type="dxa" w:w="3041"/>
          </w:tcPr>
          <w:p>
            <w:r/>
            <w:r>
              <w:rPr>
                <w:sz w:val="16"/>
              </w:rPr>
              <w:t>Edificios</w:t>
            </w:r>
          </w:p>
        </w:tc>
        <w:tc>
          <w:tcPr>
            <w:tcW w:type="dxa" w:w="3041"/>
          </w:tcPr>
          <w:p>
            <w:r/>
            <w:r>
              <w:rPr>
                <w:sz w:val="16"/>
              </w:rPr>
              <w:t>17 institucionales/comerciales reales</w:t>
            </w:r>
          </w:p>
        </w:tc>
        <w:tc>
          <w:tcPr>
            <w:tcW w:type="dxa" w:w="3041"/>
          </w:tcPr>
          <w:p>
            <w:r/>
            <w:r>
              <w:rPr>
                <w:sz w:val="16"/>
              </w:rPr>
              <w:t>Agentes del Dec-POMDP.</w:t>
            </w:r>
          </w:p>
        </w:tc>
      </w:tr>
      <w:tr>
        <w:tc>
          <w:tcPr>
            <w:tcW w:type="dxa" w:w="3041"/>
          </w:tcPr>
          <w:p>
            <w:r/>
            <w:r>
              <w:rPr>
                <w:sz w:val="16"/>
              </w:rPr>
              <w:t>Horizonte</w:t>
            </w:r>
          </w:p>
        </w:tc>
        <w:tc>
          <w:tcPr>
            <w:tcW w:type="dxa" w:w="3041"/>
          </w:tcPr>
          <w:p>
            <w:r/>
            <w:r>
              <w:rPr>
                <w:sz w:val="16"/>
              </w:rPr>
              <w:t>26 304 horas, 2023-2025</w:t>
            </w:r>
          </w:p>
        </w:tc>
        <w:tc>
          <w:tcPr>
            <w:tcW w:type="dxa" w:w="3041"/>
          </w:tcPr>
          <w:p>
            <w:r/>
            <w:r>
              <w:rPr>
                <w:sz w:val="16"/>
              </w:rPr>
              <w:t>Series temporales de entrenamiento/evaluacion.</w:t>
            </w:r>
          </w:p>
        </w:tc>
      </w:tr>
      <w:tr>
        <w:tc>
          <w:tcPr>
            <w:tcW w:type="dxa" w:w="3041"/>
          </w:tcPr>
          <w:p>
            <w:r/>
            <w:r>
              <w:rPr>
                <w:sz w:val="16"/>
              </w:rPr>
              <w:t>PV</w:t>
            </w:r>
          </w:p>
        </w:tc>
        <w:tc>
          <w:tcPr>
            <w:tcW w:type="dxa" w:w="3041"/>
          </w:tcPr>
          <w:p>
            <w:r/>
            <w:r>
              <w:rPr>
                <w:sz w:val="16"/>
              </w:rPr>
              <w:t>48 790,9 kWp</w:t>
            </w:r>
          </w:p>
        </w:tc>
        <w:tc>
          <w:tcPr>
            <w:tcW w:type="dxa" w:w="3041"/>
          </w:tcPr>
          <w:p>
            <w:r/>
            <w:r>
              <w:rPr>
                <w:sz w:val="16"/>
              </w:rPr>
              <w:t>Generacion renovable distribuida.</w:t>
            </w:r>
          </w:p>
        </w:tc>
      </w:tr>
      <w:tr>
        <w:tc>
          <w:tcPr>
            <w:tcW w:type="dxa" w:w="3041"/>
          </w:tcPr>
          <w:p>
            <w:r/>
            <w:r>
              <w:rPr>
                <w:sz w:val="16"/>
              </w:rPr>
              <w:t>BESS</w:t>
            </w:r>
          </w:p>
        </w:tc>
        <w:tc>
          <w:tcPr>
            <w:tcW w:type="dxa" w:w="3041"/>
          </w:tcPr>
          <w:p>
            <w:r/>
            <w:r>
              <w:rPr>
                <w:sz w:val="16"/>
              </w:rPr>
              <w:t>26 266 kWh / 6 648 kW</w:t>
            </w:r>
          </w:p>
        </w:tc>
        <w:tc>
          <w:tcPr>
            <w:tcW w:type="dxa" w:w="3041"/>
          </w:tcPr>
          <w:p>
            <w:r/>
            <w:r>
              <w:rPr>
                <w:sz w:val="16"/>
              </w:rPr>
              <w:t>Acciones de almacenamiento.</w:t>
            </w:r>
          </w:p>
        </w:tc>
      </w:tr>
      <w:tr>
        <w:tc>
          <w:tcPr>
            <w:tcW w:type="dxa" w:w="3041"/>
          </w:tcPr>
          <w:p>
            <w:r/>
            <w:r>
              <w:rPr>
                <w:sz w:val="16"/>
              </w:rPr>
              <w:t>EV</w:t>
            </w:r>
          </w:p>
        </w:tc>
        <w:tc>
          <w:tcPr>
            <w:tcW w:type="dxa" w:w="3041"/>
          </w:tcPr>
          <w:p>
            <w:r/>
            <w:r>
              <w:rPr>
                <w:sz w:val="16"/>
              </w:rPr>
              <w:t>185 tomas controlables / 749,4 kW</w:t>
            </w:r>
          </w:p>
        </w:tc>
        <w:tc>
          <w:tcPr>
            <w:tcW w:type="dxa" w:w="3041"/>
          </w:tcPr>
          <w:p>
            <w:r/>
            <w:r>
              <w:rPr>
                <w:sz w:val="16"/>
              </w:rPr>
              <w:t>Acciones de carga EV.</w:t>
            </w:r>
          </w:p>
        </w:tc>
      </w:tr>
      <w:tr>
        <w:tc>
          <w:tcPr>
            <w:tcW w:type="dxa" w:w="3041"/>
          </w:tcPr>
          <w:p>
            <w:r/>
            <w:r>
              <w:rPr>
                <w:sz w:val="16"/>
              </w:rPr>
              <w:t>CI</w:t>
            </w:r>
          </w:p>
        </w:tc>
        <w:tc>
          <w:tcPr>
            <w:tcW w:type="dxa" w:w="3041"/>
          </w:tcPr>
          <w:p>
            <w:r/>
            <w:r>
              <w:rPr>
                <w:sz w:val="16"/>
              </w:rPr>
              <w:t>0,672-0,790 kgCO2/kWh</w:t>
            </w:r>
          </w:p>
        </w:tc>
        <w:tc>
          <w:tcPr>
            <w:tcW w:type="dxa" w:w="3041"/>
          </w:tcPr>
          <w:p>
            <w:r/>
            <w:r>
              <w:rPr>
                <w:sz w:val="16"/>
              </w:rPr>
              <w:t>Medicion D-VD.2.</w:t>
            </w:r>
          </w:p>
        </w:tc>
      </w:tr>
      <w:tr>
        <w:tc>
          <w:tcPr>
            <w:tcW w:type="dxa" w:w="3041"/>
          </w:tcPr>
          <w:p>
            <w:r/>
            <w:r>
              <w:rPr>
                <w:sz w:val="16"/>
              </w:rPr>
              <w:t>TOU</w:t>
            </w:r>
          </w:p>
        </w:tc>
        <w:tc>
          <w:tcPr>
            <w:tcW w:type="dxa" w:w="3041"/>
          </w:tcPr>
          <w:p>
            <w:r/>
            <w:r>
              <w:rPr>
                <w:sz w:val="16"/>
              </w:rPr>
              <w:t>0,26 fuera punta / 0,38 punta USD/kWh</w:t>
            </w:r>
          </w:p>
        </w:tc>
        <w:tc>
          <w:tcPr>
            <w:tcW w:type="dxa" w:w="3041"/>
          </w:tcPr>
          <w:p>
            <w:r/>
            <w:r>
              <w:rPr>
                <w:sz w:val="16"/>
              </w:rPr>
              <w:t>Medicion D-VD.3.</w:t>
            </w:r>
          </w:p>
        </w:tc>
      </w:tr>
    </w:tbl>
    <w:p/>
    <w:p>
      <w:pPr>
        <w:pStyle w:val="Heading2"/>
      </w:pPr>
      <w:r>
        <w:t>3.5 Variables y operacionalizacion</w:t>
      </w:r>
    </w:p>
    <w:p>
      <w:pPr>
        <w:spacing w:after="120" w:line="276" w:lineRule="auto"/>
        <w:jc w:val="both"/>
      </w:pPr>
      <w:r>
        <w:rPr>
          <w:b w:val="0"/>
          <w:i w:val="0"/>
        </w:rPr>
        <w:t>La operacionalizacion formal se presenta en la Tabla 1.2. En la ejecucion experimental, D-VI.1 y D-VI.2 generan 12 tratamientos; D-VD.1, D-VD.2 y D-VD.3 se miden con KPIs oficiales y artefactos reales. Esta alineacion evita que el Capitulo 5 reporte indicadores sin relacion directa con los objetivos.</w:t>
      </w:r>
    </w:p>
    <w:p>
      <w:pPr>
        <w:pStyle w:val="Heading2"/>
      </w:pPr>
      <w:r>
        <w:t>3.6 Tecnicas e instrumentos de recoleccion</w:t>
      </w:r>
    </w:p>
    <w:p>
      <w:pPr>
        <w:spacing w:after="120" w:line="276" w:lineRule="auto"/>
        <w:jc w:val="both"/>
      </w:pPr>
      <w:r>
        <w:rPr>
          <w:b w:val="0"/>
          <w:i w:val="0"/>
        </w:rPr>
        <w:t>Los instrumentos son resultados de simulacion y entrenamiento: results.json, training_summary.json, timeseries.csv, trace.csv, building_kpis.csv, building_behavior_summary.csv, checkpoint_manifest.json, figuras generadas y tablas consolidadas. El uso de timeseries y trace reales del Drive es obligatorio; no se permiten series sinteticas para interpretar resultados.</w:t>
      </w:r>
    </w:p>
    <w:p>
      <w:pPr>
        <w:pStyle w:val="Heading2"/>
      </w:pPr>
      <w:r>
        <w:t>3.7 Tecnicas de analisis estadistico</w:t>
      </w:r>
    </w:p>
    <w:p>
      <w:pPr>
        <w:spacing w:after="120" w:line="276" w:lineRule="auto"/>
        <w:jc w:val="both"/>
      </w:pPr>
      <w:r>
        <w:rPr>
          <w:b w:val="0"/>
          <w:i w:val="0"/>
        </w:rPr>
        <w:t>El analisis combina estadistica descriptiva por tratamiento, comparacion por distrito y edificio, y contraste inferencial. Se reportan medias, dispersion, extremos, coeficientes de variacion, ranking por escenario, pruebas de normalidad Shapiro-Wilk, Kruskal-Wallis, post-hoc por pares, Mann-Whitney U/Wilcoxon y tamanos de efecto cuando los datos disponibles permiten inferencia valida.</w:t>
      </w:r>
    </w:p>
    <w:p>
      <w:pPr>
        <w:pStyle w:val="Heading1"/>
      </w:pPr>
      <w:r>
        <w:t>Capitulo 4. Desarrollo de la propuesta</w:t>
      </w:r>
    </w:p>
    <w:p>
      <w:pPr>
        <w:pStyle w:val="Heading2"/>
      </w:pPr>
      <w:r>
        <w:t>4.1 Arquitectura del sistema experimental</w:t>
      </w:r>
    </w:p>
    <w:p>
      <w:pPr>
        <w:spacing w:after="120" w:line="276" w:lineRule="auto"/>
        <w:jc w:val="both"/>
      </w:pPr>
      <w:r>
        <w:rPr>
          <w:b w:val="0"/>
          <w:i w:val="0"/>
        </w:rPr>
        <w:t>La propuesta se organiza en cuatro capas: CityLearn v2 como simulador base; CityLearn v3 propuesto como capa experimental Dec-POMDP/CTDE y recompensa multiobjetivo; backends MADRL HAPPO, MASAC, MATD3 y MAAC; y capa de evaluacion que genera KPIs, tablas, figuras, trazas y checkpoints. Esta arquitectura asegura que los tratamientos sean comparables.</w:t>
      </w:r>
    </w:p>
    <w:p>
      <w:pPr>
        <w:pStyle w:val="Heading2"/>
      </w:pPr>
      <w:r>
        <w:t>4.2 Formulacion Dec-POMDP</w:t>
      </w:r>
    </w:p>
    <w:p>
      <w:pPr>
        <w:spacing w:after="120" w:line="276" w:lineRule="auto"/>
        <w:jc w:val="both"/>
      </w:pPr>
      <w:r>
        <w:rPr>
          <w:b w:val="0"/>
          <w:i w:val="0"/>
        </w:rPr>
        <w:t>El problema se formaliza como M = &lt;S, {A_i}, T, R, {O_i}, Omega, gamma, T&gt;, con N = 17 agentes. El estado global concatena observaciones locales y se usa durante entrenamiento; cada politica ejecuta con observacion local. Las acciones controlan BESS, cargadores EV y cargas desplazables; las cargas base no controladas se observan o se usan como referencia, pero no son actuadores.</w:t>
      </w:r>
    </w:p>
    <w:p>
      <w:pPr>
        <w:pStyle w:val="Heading2"/>
      </w:pPr>
      <w:r>
        <w:t>4.3 Esquema CTDE y funcion de recompensa multiobjetivo</w:t>
      </w:r>
    </w:p>
    <w:p>
      <w:pPr>
        <w:spacing w:after="120" w:line="276" w:lineRule="auto"/>
        <w:jc w:val="both"/>
      </w:pPr>
      <w:r>
        <w:rPr>
          <w:b w:val="0"/>
          <w:i w:val="0"/>
        </w:rPr>
        <w:t>El esquema CTDE permite entrenamiento centralizado y ejecucion descentralizada. La recompensa CityLearnV3MADRLRewardFunction combina componentes de flexibilidad, carbono, costo y servicio EV, con team_reward_ratio = 0,70 y perfil unified_comparable_v4. Los pesos E1-E3 conectan directamente la recompensa con OE.1, OE.2 y OE.3.</w:t>
      </w:r>
    </w:p>
    <w:p>
      <w:r>
        <w:rPr>
          <w:b/>
          <w:color w:val="595959"/>
          <w:sz w:val="19"/>
        </w:rPr>
        <w:t>Tabla 4.1. Parametros principales de recompensa comparable.</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shd w:val="clear" w:color="auto" w:fill="1F4E79"/>
          </w:tcPr>
          <w:p>
            <w:r/>
            <w:r>
              <w:rPr>
                <w:b/>
                <w:color w:val="FFFFFF"/>
                <w:sz w:val="16"/>
              </w:rPr>
              <w:t>Parametro</w:t>
            </w:r>
          </w:p>
        </w:tc>
        <w:tc>
          <w:tcPr>
            <w:tcW w:type="dxa" w:w="3041"/>
            <w:shd w:val="clear" w:color="auto" w:fill="1F4E79"/>
          </w:tcPr>
          <w:p>
            <w:r/>
            <w:r>
              <w:rPr>
                <w:b/>
                <w:color w:val="FFFFFF"/>
                <w:sz w:val="16"/>
              </w:rPr>
              <w:t>Valor</w:t>
            </w:r>
          </w:p>
        </w:tc>
        <w:tc>
          <w:tcPr>
            <w:tcW w:type="dxa" w:w="3041"/>
            <w:shd w:val="clear" w:color="auto" w:fill="1F4E79"/>
          </w:tcPr>
          <w:p>
            <w:r/>
            <w:r>
              <w:rPr>
                <w:b/>
                <w:color w:val="FFFFFF"/>
                <w:sz w:val="16"/>
              </w:rPr>
              <w:t>Justificacion</w:t>
            </w:r>
          </w:p>
        </w:tc>
      </w:tr>
      <w:tr>
        <w:tc>
          <w:tcPr>
            <w:tcW w:type="dxa" w:w="3041"/>
          </w:tcPr>
          <w:p>
            <w:r/>
            <w:r>
              <w:rPr>
                <w:sz w:val="16"/>
              </w:rPr>
              <w:t>team_reward_ratio</w:t>
            </w:r>
          </w:p>
        </w:tc>
        <w:tc>
          <w:tcPr>
            <w:tcW w:type="dxa" w:w="3041"/>
          </w:tcPr>
          <w:p>
            <w:r/>
            <w:r>
              <w:rPr>
                <w:sz w:val="16"/>
              </w:rPr>
              <w:t>0,70</w:t>
            </w:r>
          </w:p>
        </w:tc>
        <w:tc>
          <w:tcPr>
            <w:tcW w:type="dxa" w:w="3041"/>
          </w:tcPr>
          <w:p>
            <w:r/>
            <w:r>
              <w:rPr>
                <w:sz w:val="16"/>
              </w:rPr>
              <w:t>Alinea recompensa individual y cooperativa.</w:t>
            </w:r>
          </w:p>
        </w:tc>
      </w:tr>
      <w:tr>
        <w:tc>
          <w:tcPr>
            <w:tcW w:type="dxa" w:w="3041"/>
          </w:tcPr>
          <w:p>
            <w:r/>
            <w:r>
              <w:rPr>
                <w:sz w:val="16"/>
              </w:rPr>
              <w:t>peak_weight / ramp_weight</w:t>
            </w:r>
          </w:p>
        </w:tc>
        <w:tc>
          <w:tcPr>
            <w:tcW w:type="dxa" w:w="3041"/>
          </w:tcPr>
          <w:p>
            <w:r/>
            <w:r>
              <w:rPr>
                <w:sz w:val="16"/>
              </w:rPr>
              <w:t>0,45 / 0,35</w:t>
            </w:r>
          </w:p>
        </w:tc>
        <w:tc>
          <w:tcPr>
            <w:tcW w:type="dxa" w:w="3041"/>
          </w:tcPr>
          <w:p>
            <w:r/>
            <w:r>
              <w:rPr>
                <w:sz w:val="16"/>
              </w:rPr>
              <w:t>Mide pico y rampa para flexibilidad.</w:t>
            </w:r>
          </w:p>
        </w:tc>
      </w:tr>
      <w:tr>
        <w:tc>
          <w:tcPr>
            <w:tcW w:type="dxa" w:w="3041"/>
          </w:tcPr>
          <w:p>
            <w:r/>
            <w:r>
              <w:rPr>
                <w:sz w:val="16"/>
              </w:rPr>
              <w:t>ev_weight</w:t>
            </w:r>
          </w:p>
        </w:tc>
        <w:tc>
          <w:tcPr>
            <w:tcW w:type="dxa" w:w="3041"/>
          </w:tcPr>
          <w:p>
            <w:r/>
            <w:r>
              <w:rPr>
                <w:sz w:val="16"/>
              </w:rPr>
              <w:t>0,25</w:t>
            </w:r>
          </w:p>
        </w:tc>
        <w:tc>
          <w:tcPr>
            <w:tcW w:type="dxa" w:w="3041"/>
          </w:tcPr>
          <w:p>
            <w:r/>
            <w:r>
              <w:rPr>
                <w:sz w:val="16"/>
              </w:rPr>
              <w:t>Incluye servicio y urgencia EV.</w:t>
            </w:r>
          </w:p>
        </w:tc>
      </w:tr>
      <w:tr>
        <w:tc>
          <w:tcPr>
            <w:tcW w:type="dxa" w:w="3041"/>
          </w:tcPr>
          <w:p>
            <w:r/>
            <w:r>
              <w:rPr>
                <w:sz w:val="16"/>
              </w:rPr>
              <w:t>bess_cycle_weight</w:t>
            </w:r>
          </w:p>
        </w:tc>
        <w:tc>
          <w:tcPr>
            <w:tcW w:type="dxa" w:w="3041"/>
          </w:tcPr>
          <w:p>
            <w:r/>
            <w:r>
              <w:rPr>
                <w:sz w:val="16"/>
              </w:rPr>
              <w:t>0,10</w:t>
            </w:r>
          </w:p>
        </w:tc>
        <w:tc>
          <w:tcPr>
            <w:tcW w:type="dxa" w:w="3041"/>
          </w:tcPr>
          <w:p>
            <w:r/>
            <w:r>
              <w:rPr>
                <w:sz w:val="16"/>
              </w:rPr>
              <w:t>Penaliza oscilacion excesiva del BESS.</w:t>
            </w:r>
          </w:p>
        </w:tc>
      </w:tr>
      <w:tr>
        <w:tc>
          <w:tcPr>
            <w:tcW w:type="dxa" w:w="3041"/>
          </w:tcPr>
          <w:p>
            <w:r/>
            <w:r>
              <w:rPr>
                <w:sz w:val="16"/>
              </w:rPr>
              <w:t>ev_urgency_hours</w:t>
            </w:r>
          </w:p>
        </w:tc>
        <w:tc>
          <w:tcPr>
            <w:tcW w:type="dxa" w:w="3041"/>
          </w:tcPr>
          <w:p>
            <w:r/>
            <w:r>
              <w:rPr>
                <w:sz w:val="16"/>
              </w:rPr>
              <w:t>8,0</w:t>
            </w:r>
          </w:p>
        </w:tc>
        <w:tc>
          <w:tcPr>
            <w:tcW w:type="dxa" w:w="3041"/>
          </w:tcPr>
          <w:p>
            <w:r/>
            <w:r>
              <w:rPr>
                <w:sz w:val="16"/>
              </w:rPr>
              <w:t>Ventana de urgencia ampliada.</w:t>
            </w:r>
          </w:p>
        </w:tc>
      </w:tr>
      <w:tr>
        <w:tc>
          <w:tcPr>
            <w:tcW w:type="dxa" w:w="3041"/>
          </w:tcPr>
          <w:p>
            <w:r/>
            <w:r>
              <w:rPr>
                <w:sz w:val="16"/>
              </w:rPr>
              <w:t>reward_scale</w:t>
            </w:r>
          </w:p>
        </w:tc>
        <w:tc>
          <w:tcPr>
            <w:tcW w:type="dxa" w:w="3041"/>
          </w:tcPr>
          <w:p>
            <w:r/>
            <w:r>
              <w:rPr>
                <w:sz w:val="16"/>
              </w:rPr>
              <w:t>1,00</w:t>
            </w:r>
          </w:p>
        </w:tc>
        <w:tc>
          <w:tcPr>
            <w:tcW w:type="dxa" w:w="3041"/>
          </w:tcPr>
          <w:p>
            <w:r/>
            <w:r>
              <w:rPr>
                <w:sz w:val="16"/>
              </w:rPr>
              <w:t>Mantiene gradientes comparables.</w:t>
            </w:r>
          </w:p>
        </w:tc>
      </w:tr>
    </w:tbl>
    <w:p/>
    <w:p>
      <w:pPr>
        <w:pStyle w:val="Heading2"/>
      </w:pPr>
      <w:r>
        <w:t>4.4 Algoritmos e hiperparametros</w:t>
      </w:r>
    </w:p>
    <w:p>
      <w:pPr>
        <w:spacing w:after="120" w:line="276" w:lineRule="auto"/>
        <w:jc w:val="both"/>
      </w:pPr>
      <w:r>
        <w:rPr>
          <w:b w:val="0"/>
          <w:i w:val="0"/>
        </w:rPr>
        <w:t>Los algoritmos se implementan mediante wrappers especificos y backends externos controlados. La corrida canonica objetivo corresponde a 50 episodios por tratamiento en Colab/Drive; la evidencia real integrada incluye 50 episodios para MAAC, MASAC y MATD3, y 49 episodios para HAPPO en timeseries/trace. Las diferencias de completitud se reportan explicitamente en resultados.</w:t>
      </w:r>
    </w:p>
    <w:p>
      <w:pPr>
        <w:pStyle w:val="Heading2"/>
      </w:pPr>
      <w:r>
        <w:t>4.5 Aportes originales al motor de simulacion</w:t>
      </w:r>
    </w:p>
    <w:p>
      <w:pPr>
        <w:spacing w:after="120" w:line="276" w:lineRule="auto"/>
        <w:jc w:val="both"/>
      </w:pPr>
      <w:r>
        <w:rPr>
          <w:b w:val="0"/>
          <w:i w:val="0"/>
        </w:rPr>
        <w:t>La propuesta incluye cuatro aportes: degradacion BESS con C-rate y temperatura, correccion PV por temperatura tropical, KPI de pico con ventana de facturacion y CarbonIntensityModel para redes aisladas diesel+PV. Estos aportes justifican el uso del entorno CityLearn v3 propuesto como contribucion experimental de la tesis.</w:t>
      </w:r>
    </w:p>
    <w:p>
      <w:pPr>
        <w:pStyle w:val="Heading2"/>
      </w:pPr>
      <w:r>
        <w:t>4.6 Implementacion y entorno computacional</w:t>
      </w:r>
    </w:p>
    <w:p>
      <w:pPr>
        <w:spacing w:after="120" w:line="276" w:lineRule="auto"/>
        <w:jc w:val="both"/>
      </w:pPr>
      <w:r>
        <w:rPr>
          <w:b w:val="0"/>
          <w:i w:val="0"/>
        </w:rPr>
        <w:t>La implementacion usa Python 3.9, PyTorch, CityLearn v2/v3 propuesto, scripts de entrenamiento por algoritmo, adaptador comun citylearn_v3_training_common.py y artefactos persistidos en Google Drive. La trazabilidad tecnica se completa con checkpoints y manifiestos por corrida.</w:t>
      </w:r>
    </w:p>
    <w:p>
      <w:pPr>
        <w:pStyle w:val="Heading1"/>
      </w:pPr>
      <w:r>
        <w:t>Capitulo 5. Resultados y contrastacion de hipotesis</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el algoritmo MADRL de mayor efecto sobre D-VD.1 en E1 es MATD3 (Flexibilidad compuesta = 1.0009). El contraste inferencial Kruskal-Wallis sobre KPI-gains en E1 arroja p = 0.281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el algoritmo MADRL de mayor efecto sobre D-VD.2 en E2 es MATD3 (Delta CO2 (kg) = 23,070). El contraste inferencial Kruskal-Wallis sobre KPI-gains en E2 arroja p = 0.546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el algoritmo MADRL de mayor efecto sobre D-VD.3 en E3 es MAAC (Delta costo electrico (EUR) = 9,515). El contraste inferencial Kruskal-Wallis sobre KPI-gains en E3 arroja p = 0.388 (alpha = 0,05), por lo que la diferencia global entre algoritmos no alcanza significancia inferencial con una semilla. La evidencia descriptiva de distrito respalda la identificacion del lider por objetivo; la inferencia confirmatoria requiere replicacion multi-semilla (Colas et al., 2019).</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5.11.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ALL MASAC vs MATD3 (p = 0,0049) y MASAC vs MAAC (p &lt; 0,001); en OE.1, MASAC vs MAAC (p = 0,0013). Estos contrastes son exploratorios sobre KPI-gains pareados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HE.2</w:t>
            </w:r>
          </w:p>
        </w:tc>
        <w:tc>
          <w:tcPr>
            <w:tcW w:type="dxa" w:w="1134"/>
          </w:tcPr>
          <w:p>
            <w:r/>
            <w:r>
              <w:rPr>
                <w:sz w:val="18"/>
              </w:rPr>
              <w:t>OE.2 / E2</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r>
        <w:tc>
          <w:tcPr>
            <w:tcW w:type="dxa" w:w="850"/>
          </w:tcPr>
          <w:p>
            <w:r/>
            <w:r>
              <w:rPr>
                <w:sz w:val="18"/>
              </w:rPr>
              <w:t>HE.3</w:t>
            </w:r>
          </w:p>
        </w:tc>
        <w:tc>
          <w:tcPr>
            <w:tcW w:type="dxa" w:w="1134"/>
          </w:tcPr>
          <w:p>
            <w:r/>
            <w:r>
              <w:rPr>
                <w:sz w:val="18"/>
              </w:rPr>
              <w:t>OE.3 / E3</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MAAC</w:t>
            </w:r>
          </w:p>
        </w:tc>
        <w:tc>
          <w:tcPr>
            <w:tcW w:type="dxa" w:w="1701"/>
          </w:tcPr>
          <w:p>
            <w:r/>
            <w:r>
              <w:rPr>
                <w:sz w:val="18"/>
              </w:rPr>
              <w:t>Evidencia descriptiva + exploratoria KPI-gain</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descriptivo</w:t>
            </w:r>
          </w:p>
        </w:tc>
        <w:tc>
          <w:tcPr>
            <w:tcW w:type="dxa" w:w="1134"/>
          </w:tcPr>
          <w:p>
            <w:r/>
            <w:r>
              <w:rPr>
                <w:sz w:val="18"/>
              </w:rPr>
              <w:t>No (omnibus)</w:t>
            </w:r>
          </w:p>
        </w:tc>
        <w:tc>
          <w:tcPr>
            <w:tcW w:type="dxa" w:w="1417"/>
          </w:tcPr>
          <w:p>
            <w:r/>
            <w:r>
              <w:rPr>
                <w:sz w:val="18"/>
              </w:rPr>
              <w:t>MATD3</w:t>
            </w:r>
          </w:p>
        </w:tc>
        <w:tc>
          <w:tcPr>
            <w:tcW w:type="dxa" w:w="1701"/>
          </w:tcPr>
          <w:p>
            <w:r/>
            <w:r>
              <w:rPr>
                <w:sz w:val="18"/>
              </w:rPr>
              <w:t>Evidencia descriptiva + exploratoria KPI-gain</w:t>
            </w:r>
          </w:p>
        </w:tc>
      </w:tr>
    </w:tbl>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5.6), coherente con Nweye et al. (2024).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por objetivo especifico</w:t>
      </w:r>
    </w:p>
    <w:p>
      <w:pPr>
        <w:jc w:val="both"/>
      </w:pPr>
      <w:r>
        <w:rPr>
          <w:b w:val="0"/>
          <w:i w:val="0"/>
        </w:rPr>
        <w:t>Tabla 5.21 sintetiza el cumplimiento de cada OE en dos planos: descriptivo (KPI distrital y ranking normalizado) e inferencial (Kruskal-Wallis sobre KPI-gains, alpha = 0,05). Un OE se considera cumplido descriptivamente cuando se identifica el algoritmo de mayor efecto con datos auditados; inferencialmente cuando KW rechaza H0 (ninguno alcanza con una semilla). HE.1–HE.3 y HG se vinculan explicitamente.</w:t>
      </w:r>
    </w:p>
    <w:p>
      <w:r>
        <w:rPr>
          <w:b/>
          <w:color w:val="595959"/>
          <w:sz w:val="19"/>
        </w:rPr>
        <w:t>Tabla 5.21. Veredicto de cumplimiento OE.1–OE.3 y HG (corrida canonica 50 ep).</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680"/>
            <w:shd w:val="clear" w:color="auto" w:fill="1F4E79"/>
          </w:tcPr>
          <w:p>
            <w:r/>
            <w:r>
              <w:rPr>
                <w:b/>
                <w:color w:val="FFFFFF"/>
                <w:sz w:val="18"/>
              </w:rPr>
              <w:t>OE</w:t>
            </w:r>
          </w:p>
        </w:tc>
        <w:tc>
          <w:tcPr>
            <w:tcW w:type="dxa" w:w="1020"/>
            <w:shd w:val="clear" w:color="auto" w:fill="1F4E79"/>
          </w:tcPr>
          <w:p>
            <w:r/>
            <w:r>
              <w:rPr>
                <w:b/>
                <w:color w:val="FFFFFF"/>
                <w:sz w:val="18"/>
              </w:rPr>
              <w:t>VD / Esc.</w:t>
            </w:r>
          </w:p>
        </w:tc>
        <w:tc>
          <w:tcPr>
            <w:tcW w:type="dxa" w:w="567"/>
            <w:shd w:val="clear" w:color="auto" w:fill="1F4E79"/>
          </w:tcPr>
          <w:p>
            <w:r/>
            <w:r>
              <w:rPr>
                <w:b/>
                <w:color w:val="FFFFFF"/>
                <w:sz w:val="18"/>
              </w:rPr>
              <w:t>Hip.</w:t>
            </w:r>
          </w:p>
        </w:tc>
        <w:tc>
          <w:tcPr>
            <w:tcW w:type="dxa" w:w="850"/>
            <w:shd w:val="clear" w:color="auto" w:fill="1F4E79"/>
          </w:tcPr>
          <w:p>
            <w:r/>
            <w:r>
              <w:rPr>
                <w:b/>
                <w:color w:val="FFFFFF"/>
                <w:sz w:val="18"/>
              </w:rPr>
              <w:t>Mejor VI</w:t>
            </w:r>
          </w:p>
        </w:tc>
        <w:tc>
          <w:tcPr>
            <w:tcW w:type="dxa" w:w="1587"/>
            <w:shd w:val="clear" w:color="auto" w:fill="1F4E79"/>
          </w:tcPr>
          <w:p>
            <w:r/>
            <w:r>
              <w:rPr>
                <w:b/>
                <w:color w:val="FFFFFF"/>
                <w:sz w:val="18"/>
              </w:rPr>
              <w:t>Evidencia KPI</w:t>
            </w:r>
          </w:p>
        </w:tc>
        <w:tc>
          <w:tcPr>
            <w:tcW w:type="dxa" w:w="850"/>
            <w:shd w:val="clear" w:color="auto" w:fill="1F4E79"/>
          </w:tcPr>
          <w:p>
            <w:r/>
            <w:r>
              <w:rPr>
                <w:b/>
                <w:color w:val="FFFFFF"/>
                <w:sz w:val="18"/>
              </w:rPr>
              <w:t>Desc.</w:t>
            </w:r>
          </w:p>
        </w:tc>
        <w:tc>
          <w:tcPr>
            <w:tcW w:type="dxa" w:w="1020"/>
            <w:shd w:val="clear" w:color="auto" w:fill="1F4E79"/>
          </w:tcPr>
          <w:p>
            <w:r/>
            <w:r>
              <w:rPr>
                <w:b/>
                <w:color w:val="FFFFFF"/>
                <w:sz w:val="18"/>
              </w:rPr>
              <w:t>Infer.</w:t>
            </w:r>
          </w:p>
        </w:tc>
        <w:tc>
          <w:tcPr>
            <w:tcW w:type="dxa" w:w="1417"/>
            <w:shd w:val="clear" w:color="auto" w:fill="1F4E79"/>
          </w:tcPr>
          <w:p>
            <w:r/>
            <w:r>
              <w:rPr>
                <w:b/>
                <w:color w:val="FFFFFF"/>
                <w:sz w:val="18"/>
              </w:rPr>
              <w:t>Veredicto</w:t>
            </w:r>
          </w:p>
        </w:tc>
      </w:tr>
      <w:tr>
        <w:tc>
          <w:tcPr>
            <w:tcW w:type="dxa" w:w="680"/>
          </w:tcPr>
          <w:p>
            <w:r/>
            <w:r>
              <w:rPr>
                <w:sz w:val="18"/>
              </w:rPr>
              <w:t>OE.1</w:t>
            </w:r>
          </w:p>
        </w:tc>
        <w:tc>
          <w:tcPr>
            <w:tcW w:type="dxa" w:w="1020"/>
          </w:tcPr>
          <w:p>
            <w:r/>
            <w:r>
              <w:rPr>
                <w:sz w:val="18"/>
              </w:rPr>
              <w:t>D-VD.1 / E1</w:t>
            </w:r>
          </w:p>
        </w:tc>
        <w:tc>
          <w:tcPr>
            <w:tcW w:type="dxa" w:w="567"/>
          </w:tcPr>
          <w:p>
            <w:r/>
            <w:r>
              <w:rPr>
                <w:sz w:val="18"/>
              </w:rPr>
              <w:t>HE.1</w:t>
            </w:r>
          </w:p>
        </w:tc>
        <w:tc>
          <w:tcPr>
            <w:tcW w:type="dxa" w:w="850"/>
          </w:tcPr>
          <w:p>
            <w:r/>
            <w:r>
              <w:rPr>
                <w:sz w:val="18"/>
              </w:rPr>
              <w:t>MATD3</w:t>
            </w:r>
          </w:p>
        </w:tc>
        <w:tc>
          <w:tcPr>
            <w:tcW w:type="dxa" w:w="1587"/>
          </w:tcPr>
          <w:p>
            <w:r/>
            <w:r>
              <w:rPr>
                <w:sz w:val="18"/>
              </w:rPr>
              <w:t>flex_composite = 1,0009; score = 1,0000</w:t>
            </w:r>
          </w:p>
        </w:tc>
        <w:tc>
          <w:tcPr>
            <w:tcW w:type="dxa" w:w="850"/>
          </w:tcPr>
          <w:p>
            <w:r/>
            <w:r>
              <w:rPr>
                <w:sz w:val="18"/>
              </w:rPr>
              <w:t>Si (descriptivo)</w:t>
            </w:r>
          </w:p>
        </w:tc>
        <w:tc>
          <w:tcPr>
            <w:tcW w:type="dxa" w:w="1020"/>
          </w:tcPr>
          <w:p>
            <w:r/>
            <w:r>
              <w:rPr>
                <w:sz w:val="18"/>
              </w:rPr>
              <w:t>No (KW p = 0,281)</w:t>
            </w:r>
          </w:p>
        </w:tc>
        <w:tc>
          <w:tcPr>
            <w:tcW w:type="dxa" w:w="1417"/>
          </w:tcPr>
          <w:p>
            <w:r/>
            <w:r>
              <w:rPr>
                <w:sz w:val="18"/>
              </w:rPr>
              <w:t>Cumplido parcialmente: lider identificado; inferencia no confirmatoria</w:t>
            </w:r>
          </w:p>
        </w:tc>
      </w:tr>
      <w:tr>
        <w:tc>
          <w:tcPr>
            <w:tcW w:type="dxa" w:w="680"/>
          </w:tcPr>
          <w:p>
            <w:r/>
            <w:r>
              <w:rPr>
                <w:sz w:val="18"/>
              </w:rPr>
              <w:t>OE.2</w:t>
            </w:r>
          </w:p>
        </w:tc>
        <w:tc>
          <w:tcPr>
            <w:tcW w:type="dxa" w:w="1020"/>
          </w:tcPr>
          <w:p>
            <w:r/>
            <w:r>
              <w:rPr>
                <w:sz w:val="18"/>
              </w:rPr>
              <w:t>D-VD.2 / E2</w:t>
            </w:r>
          </w:p>
        </w:tc>
        <w:tc>
          <w:tcPr>
            <w:tcW w:type="dxa" w:w="567"/>
          </w:tcPr>
          <w:p>
            <w:r/>
            <w:r>
              <w:rPr>
                <w:sz w:val="18"/>
              </w:rPr>
              <w:t>HE.2</w:t>
            </w:r>
          </w:p>
        </w:tc>
        <w:tc>
          <w:tcPr>
            <w:tcW w:type="dxa" w:w="850"/>
          </w:tcPr>
          <w:p>
            <w:r/>
            <w:r>
              <w:rPr>
                <w:sz w:val="18"/>
              </w:rPr>
              <w:t>MATD3</w:t>
            </w:r>
          </w:p>
        </w:tc>
        <w:tc>
          <w:tcPr>
            <w:tcW w:type="dxa" w:w="1587"/>
          </w:tcPr>
          <w:p>
            <w:r/>
            <w:r>
              <w:rPr>
                <w:sz w:val="18"/>
              </w:rPr>
              <w:t>delta CO2 = 23 070 kg; score = 1,0000</w:t>
            </w:r>
          </w:p>
        </w:tc>
        <w:tc>
          <w:tcPr>
            <w:tcW w:type="dxa" w:w="850"/>
          </w:tcPr>
          <w:p>
            <w:r/>
            <w:r>
              <w:rPr>
                <w:sz w:val="18"/>
              </w:rPr>
              <w:t>Si (descriptivo)</w:t>
            </w:r>
          </w:p>
        </w:tc>
        <w:tc>
          <w:tcPr>
            <w:tcW w:type="dxa" w:w="1020"/>
          </w:tcPr>
          <w:p>
            <w:r/>
            <w:r>
              <w:rPr>
                <w:sz w:val="18"/>
              </w:rPr>
              <w:t>No (KW p = 0,546)</w:t>
            </w:r>
          </w:p>
        </w:tc>
        <w:tc>
          <w:tcPr>
            <w:tcW w:type="dxa" w:w="1417"/>
          </w:tcPr>
          <w:p>
            <w:r/>
            <w:r>
              <w:rPr>
                <w:sz w:val="18"/>
              </w:rPr>
              <w:t>Cumplido parcialmente: menor emision entre MADRL; RBC supera globalmente</w:t>
            </w:r>
          </w:p>
        </w:tc>
      </w:tr>
      <w:tr>
        <w:tc>
          <w:tcPr>
            <w:tcW w:type="dxa" w:w="680"/>
          </w:tcPr>
          <w:p>
            <w:r/>
            <w:r>
              <w:rPr>
                <w:sz w:val="18"/>
              </w:rPr>
              <w:t>OE.3</w:t>
            </w:r>
          </w:p>
        </w:tc>
        <w:tc>
          <w:tcPr>
            <w:tcW w:type="dxa" w:w="1020"/>
          </w:tcPr>
          <w:p>
            <w:r/>
            <w:r>
              <w:rPr>
                <w:sz w:val="18"/>
              </w:rPr>
              <w:t>D-VD.3 / E3</w:t>
            </w:r>
          </w:p>
        </w:tc>
        <w:tc>
          <w:tcPr>
            <w:tcW w:type="dxa" w:w="567"/>
          </w:tcPr>
          <w:p>
            <w:r/>
            <w:r>
              <w:rPr>
                <w:sz w:val="18"/>
              </w:rPr>
              <w:t>HE.3</w:t>
            </w:r>
          </w:p>
        </w:tc>
        <w:tc>
          <w:tcPr>
            <w:tcW w:type="dxa" w:w="850"/>
          </w:tcPr>
          <w:p>
            <w:r/>
            <w:r>
              <w:rPr>
                <w:sz w:val="18"/>
              </w:rPr>
              <w:t>MAAC</w:t>
            </w:r>
          </w:p>
        </w:tc>
        <w:tc>
          <w:tcPr>
            <w:tcW w:type="dxa" w:w="1587"/>
          </w:tcPr>
          <w:p>
            <w:r/>
            <w:r>
              <w:rPr>
                <w:sz w:val="18"/>
              </w:rPr>
              <w:t>delta costo = 9 515 EUR; score = 1,0000</w:t>
            </w:r>
          </w:p>
        </w:tc>
        <w:tc>
          <w:tcPr>
            <w:tcW w:type="dxa" w:w="850"/>
          </w:tcPr>
          <w:p>
            <w:r/>
            <w:r>
              <w:rPr>
                <w:sz w:val="18"/>
              </w:rPr>
              <w:t>Si (descriptivo)</w:t>
            </w:r>
          </w:p>
        </w:tc>
        <w:tc>
          <w:tcPr>
            <w:tcW w:type="dxa" w:w="1020"/>
          </w:tcPr>
          <w:p>
            <w:r/>
            <w:r>
              <w:rPr>
                <w:sz w:val="18"/>
              </w:rPr>
              <w:t>No (KW p = 0,388)</w:t>
            </w:r>
          </w:p>
        </w:tc>
        <w:tc>
          <w:tcPr>
            <w:tcW w:type="dxa" w:w="1417"/>
          </w:tcPr>
          <w:p>
            <w:r/>
            <w:r>
              <w:rPr>
                <w:sz w:val="18"/>
              </w:rPr>
              <w:t>Cumplido parcialmente: lider costos identificado; hour_rbc supera en score eje</w:t>
            </w:r>
          </w:p>
        </w:tc>
      </w:tr>
      <w:tr>
        <w:tc>
          <w:tcPr>
            <w:tcW w:type="dxa" w:w="680"/>
          </w:tcPr>
          <w:p>
            <w:r/>
            <w:r>
              <w:rPr>
                <w:sz w:val="18"/>
              </w:rPr>
              <w:t>OG</w:t>
            </w:r>
          </w:p>
        </w:tc>
        <w:tc>
          <w:tcPr>
            <w:tcW w:type="dxa" w:w="1020"/>
          </w:tcPr>
          <w:p>
            <w:r/>
            <w:r>
              <w:rPr>
                <w:sz w:val="18"/>
              </w:rPr>
              <w:t>ALL</w:t>
            </w:r>
          </w:p>
        </w:tc>
        <w:tc>
          <w:tcPr>
            <w:tcW w:type="dxa" w:w="567"/>
          </w:tcPr>
          <w:p>
            <w:r/>
            <w:r>
              <w:rPr>
                <w:sz w:val="18"/>
              </w:rPr>
              <w:t>HG</w:t>
            </w:r>
          </w:p>
        </w:tc>
        <w:tc>
          <w:tcPr>
            <w:tcW w:type="dxa" w:w="850"/>
          </w:tcPr>
          <w:p>
            <w:r/>
            <w:r>
              <w:rPr>
                <w:sz w:val="18"/>
              </w:rPr>
              <w:t>MATD3</w:t>
            </w:r>
          </w:p>
        </w:tc>
        <w:tc>
          <w:tcPr>
            <w:tcW w:type="dxa" w:w="1587"/>
          </w:tcPr>
          <w:p>
            <w:r/>
            <w:r>
              <w:rPr>
                <w:sz w:val="18"/>
              </w:rPr>
              <w:t>score global = 0,6667 (2/3 ejes)</w:t>
            </w:r>
          </w:p>
        </w:tc>
        <w:tc>
          <w:tcPr>
            <w:tcW w:type="dxa" w:w="850"/>
          </w:tcPr>
          <w:p>
            <w:r/>
            <w:r>
              <w:rPr>
                <w:sz w:val="18"/>
              </w:rPr>
              <w:t>Si (descriptivo)</w:t>
            </w:r>
          </w:p>
        </w:tc>
        <w:tc>
          <w:tcPr>
            <w:tcW w:type="dxa" w:w="1020"/>
          </w:tcPr>
          <w:p>
            <w:r/>
            <w:r>
              <w:rPr>
                <w:sz w:val="18"/>
              </w:rPr>
              <w:t>No (KW p = 0,155)</w:t>
            </w:r>
          </w:p>
        </w:tc>
        <w:tc>
          <w:tcPr>
            <w:tcW w:type="dxa" w:w="1417"/>
          </w:tcPr>
          <w:p>
            <w:r/>
            <w:r>
              <w:rPr>
                <w:sz w:val="18"/>
              </w:rPr>
              <w:t>Cumplido parcialmente: mejor integracion MADRL; sin dominancia universal</w:t>
            </w:r>
          </w:p>
        </w:tc>
      </w:tr>
    </w:tbl>
    <w:p/>
    <w:p>
      <w:pPr>
        <w:jc w:val="both"/>
      </w:pPr>
      <w:r>
        <w:rPr>
          <w:b w:val="0"/>
          <w:i w:val="0"/>
        </w:rPr>
        <w:t>Conclusion operativa: los tres objetivos especificos se cumplen en el sentido descriptivo exigido por la tesis (identificacion del algoritmo de mayor efecto por eje), pero ninguno alcanza significancia inferencial omnibus con una semilla. La hipotesis global HG se sustenta descriptivamente en MATD3; Wilcoxon ALL (MASAC vs MATD3, p = 0,0049) sugiere diferencias exploratorias en KPI-gains pareados que requieren replicacion multi-semilla.</w:t>
      </w:r>
    </w:p>
    <w:p>
      <w:r>
        <w:br w:type="page"/>
      </w:r>
    </w:p>
    <w:p>
      <w:pPr>
        <w:pStyle w:val="Heading1"/>
      </w:pPr>
      <w:r>
        <w:t>Capitulo 6. Conclusiones y trabajo futuro</w:t>
      </w:r>
    </w:p>
    <w:p>
      <w:pPr>
        <w:pStyle w:val="Heading2"/>
      </w:pPr>
      <w:r>
        <w:t>6.1 Conclusiones por objetivo especifico</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MATD3 obtiene score global 0,6667 por liderar OE.1 y OE.2, pero no OE.3. Ningun Kruskal-Wallis por eje alcanza alpha=0,05 (Tabla 5.17); las respuestas OE se sustentan en evidencia descriptiva trazable. La comparacion con baseline CityLearn v2 (seccion 5.6) muestra que controles RBC superan globalmente a MADRL, matizando la generalizacion causal pero no invalidando el benchmark inter-algoritmico.</w:t>
      </w:r>
    </w:p>
    <w:p>
      <w:pPr>
        <w:pStyle w:val="Heading2"/>
      </w:pPr>
      <w:r>
        <w:t>6.2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 inferencia Colab por OE se reporta en seccion 5.9 y Tabla 5.21.</w:t>
      </w:r>
    </w:p>
    <w:p>
      <w:pPr>
        <w:pStyle w:val="Heading2"/>
      </w:pPr>
      <w:r>
        <w:t>6.3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