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Inferential tests on the canonical run were executed: Kruskal-Wallis ALL p=0.155 (not significant at alpha=0.05); Wilcoxon MASAC vs MATD3 p=0.0049. MATD3 leads descriptively but CityLearn v2 baseline outperforms MADRL on global HPHI score.</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2.2b resume la notacion formal; la operacionalizacion computacional se desarrolla en el Capitulo 4 sin alterar esta definicion teorica.</w:t>
      </w:r>
    </w:p>
    <w:p>
      <w:r>
        <w:rPr>
          <w:b/>
          <w:color w:val="595959"/>
          <w:sz w:val="19"/>
        </w:rPr>
        <w:t>Tabla 2.2b.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Estado global y observaciones locales. El estado global S se construye como la concatenacion de observaciones locales (ctde_state = concatenated_local_observations). Cada observacion o_i combina variables temporales (mes, hora, day_type), fisica del edificio (non_shiftable_load, dhw_demand, cooling_demand, solar_generation), estado del BESS (SOC, potencia nominal, acciones previas), estado de cada cargador EV (SOC_k, hora de salida_k, SOC requerido_k, llegada estimada_k, estado_k) y senales globales (carbon_intensity, electricity_pricing, outdoor_dry_bulb_temperature, diffuse_solar_irradiance, direct_solar_irradiance). La heterogeneidad dimensional refleja la diversidad operativa del distrito: edificios con flotas EV extensas (p. ej. B06 con 32 cargadores, B07 con 42) concentran observaciones y acciones de mayor dimension.</w:t>
      </w:r>
    </w:p>
    <w:p>
      <w:pPr>
        <w:spacing w:after="120" w:line="276" w:lineRule="auto"/>
        <w:jc w:val="both"/>
      </w:pPr>
      <w:r>
        <w:t>Espacios de accion. Cada accion a_i controla recursos flexibles del edificio i: potencia de carga/descarga del BESS (electrical_storage), potencia de carga de cada cargador EV (electric_vehicle_storage_charger_k) y control de carga desplazable (washing_machine). Las cargas no controlables permanecen como referencia de demanda base. La transicion T incorpora el balance energetico del distrito, el modelo RC de temperatura, la dinamica del almacenamiento con eficiencia round-trip 0.9025 y los perfiles estocasticos de llegada/salida de vehiculos electricos.</w:t>
      </w:r>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Los valores numericos del perfil unificado comparable v4 (peak_weight = 0.45, ramp_weight = 0.35, ev_weight = 0.25, reward_scale = 1.00) y la implementacion exacta de cada termino se documentan en las Secciones 4.2-4.5, evitando duplicar aqui el detalle de codigo.</w:t>
      </w:r>
    </w:p>
    <w:p>
      <w:pPr>
        <w:spacing w:after="120" w:line="276" w:lineRule="auto"/>
        <w:jc w:val="both"/>
      </w:pPr>
      <w:r>
        <w:t>Condicion de observabilidad parcial estricta. Durante la ejecucion descentralizada, cada politica pi_i(a_i | o_i) actua solo con o_i; el estado global s solo es accesible durante el entrenamiento bajo CTDE (Seccion 2.2.4). Esta separacion es coherente con el paradigma Dec-POMDP: la informacion completa del distrito no esta disponible en operacion, pero puede usarse para aprender coordinacion. El Capitulo 4 desarrolla wrappers PettingZoo, espacios de estado/accion y la clase CityLearnV3MADRLRewardFunction que instancian esta formalizacion sobre CityLearn v2 extendido (CityLearn v3 propuesto).</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pPr>
      <w:r>
        <w:t>2.5 Antecedentes internacionales y nacionales usados en la version final</w:t>
      </w:r>
    </w:p>
    <w:p>
      <w:pPr>
        <w:spacing w:after="120" w:line="276" w:lineRule="auto"/>
        <w:jc w:val="both"/>
      </w:pPr>
      <w:r>
        <w:t>Para cerrar el marco teorico, se incorporan antecedentes internacionales y nacionales/contextuales. Los internacionales provienen de la lista APA del proyecto y sustentan CityLearn, MADRL, flexibilidad, CO2 y costos. Los nacionales sustentan el contexto peruano de emisiones, tarifas, red aislada, vehiculos electricos y evidencia local de aprendizaje automatico aplicado al sector energetico. Las fuentes nacionales no se usan para inventar resultados MADRL; se emplean para justificar pertinencia del caso SEAI Iquitos y condiciones de frontera.</w:t>
      </w:r>
    </w:p>
    <w:p>
      <w:r>
        <w:rPr>
          <w:b/>
          <w:color w:val="595959"/>
          <w:sz w:val="19"/>
        </w:rPr>
        <w:t>Tabla 2.4. Cinco antecedentes internacionales y cinco nacionales/contextuales.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Tipo</w:t>
            </w:r>
          </w:p>
        </w:tc>
        <w:tc>
          <w:tcPr>
            <w:tcW w:type="dxa" w:w="2280"/>
            <w:shd w:val="clear" w:color="auto" w:fill="1F4E79"/>
          </w:tcPr>
          <w:p>
            <w:r/>
            <w:r>
              <w:rPr>
                <w:b/>
                <w:color w:val="FFFFFF"/>
                <w:sz w:val="14"/>
              </w:rPr>
              <w:t>Fuente</w:t>
            </w:r>
          </w:p>
        </w:tc>
        <w:tc>
          <w:tcPr>
            <w:tcW w:type="dxa" w:w="2280"/>
            <w:shd w:val="clear" w:color="auto" w:fill="1F4E79"/>
          </w:tcPr>
          <w:p>
            <w:r/>
            <w:r>
              <w:rPr>
                <w:b/>
                <w:color w:val="FFFFFF"/>
                <w:sz w:val="14"/>
              </w:rPr>
              <w:t>Aporte</w:t>
            </w:r>
          </w:p>
        </w:tc>
        <w:tc>
          <w:tcPr>
            <w:tcW w:type="dxa" w:w="2280"/>
            <w:shd w:val="clear" w:color="auto" w:fill="1F4E79"/>
          </w:tcPr>
          <w:p>
            <w:r/>
            <w:r>
              <w:rPr>
                <w:b/>
                <w:color w:val="FFFFFF"/>
                <w:sz w:val="14"/>
              </w:rPr>
              <w:t>Uso en la tesis</w:t>
            </w:r>
          </w:p>
        </w:tc>
      </w:tr>
      <w:tr>
        <w:tc>
          <w:tcPr>
            <w:tcW w:type="dxa" w:w="2280"/>
          </w:tcPr>
          <w:p>
            <w:r/>
            <w:r>
              <w:rPr>
                <w:sz w:val="14"/>
              </w:rPr>
              <w:t>Internacional</w:t>
            </w:r>
          </w:p>
        </w:tc>
        <w:tc>
          <w:tcPr>
            <w:tcW w:type="dxa" w:w="2280"/>
          </w:tcPr>
          <w:p>
            <w:r/>
            <w:r>
              <w:rPr>
                <w:sz w:val="14"/>
              </w:rPr>
              <w:t>Vazquez-Canteli &amp; Nagy (2019a)</w:t>
            </w:r>
          </w:p>
        </w:tc>
        <w:tc>
          <w:tcPr>
            <w:tcW w:type="dxa" w:w="2280"/>
          </w:tcPr>
          <w:p>
            <w:r/>
            <w:r>
              <w:rPr>
                <w:sz w:val="14"/>
              </w:rPr>
              <w:t>CityLearn v1.0 para respuesta a la demanda multiedificio.</w:t>
            </w:r>
          </w:p>
        </w:tc>
        <w:tc>
          <w:tcPr>
            <w:tcW w:type="dxa" w:w="2280"/>
          </w:tcPr>
          <w:p>
            <w:r/>
            <w:r>
              <w:rPr>
                <w:sz w:val="14"/>
              </w:rPr>
              <w:t>Base historica del entorno de simulacion y KPIs de flexibilidad.</w:t>
            </w:r>
          </w:p>
        </w:tc>
      </w:tr>
      <w:tr>
        <w:tc>
          <w:tcPr>
            <w:tcW w:type="dxa" w:w="2280"/>
          </w:tcPr>
          <w:p>
            <w:r/>
            <w:r>
              <w:rPr>
                <w:sz w:val="14"/>
              </w:rPr>
              <w:t>Internacional</w:t>
            </w:r>
          </w:p>
        </w:tc>
        <w:tc>
          <w:tcPr>
            <w:tcW w:type="dxa" w:w="2280"/>
          </w:tcPr>
          <w:p>
            <w:r/>
            <w:r>
              <w:rPr>
                <w:sz w:val="14"/>
              </w:rPr>
              <w:t>Nweye et al. (2024)</w:t>
            </w:r>
          </w:p>
        </w:tc>
        <w:tc>
          <w:tcPr>
            <w:tcW w:type="dxa" w:w="2280"/>
          </w:tcPr>
          <w:p>
            <w:r/>
            <w:r>
              <w:rPr>
                <w:sz w:val="14"/>
              </w:rPr>
              <w:t>CityLearn v2 integra EV, BESS, PV, carbono y comunidades grid-interactive.</w:t>
            </w:r>
          </w:p>
        </w:tc>
        <w:tc>
          <w:tcPr>
            <w:tcW w:type="dxa" w:w="2280"/>
          </w:tcPr>
          <w:p>
            <w:r/>
            <w:r>
              <w:rPr>
                <w:sz w:val="14"/>
              </w:rPr>
              <w:t>Base oficial sobre la que se construye CityLearn v3 propuesto.</w:t>
            </w:r>
          </w:p>
        </w:tc>
      </w:tr>
      <w:tr>
        <w:tc>
          <w:tcPr>
            <w:tcW w:type="dxa" w:w="2280"/>
          </w:tcPr>
          <w:p>
            <w:r/>
            <w:r>
              <w:rPr>
                <w:sz w:val="14"/>
              </w:rPr>
              <w:t>Internacional</w:t>
            </w:r>
          </w:p>
        </w:tc>
        <w:tc>
          <w:tcPr>
            <w:tcW w:type="dxa" w:w="2280"/>
          </w:tcPr>
          <w:p>
            <w:r/>
            <w:r>
              <w:rPr>
                <w:sz w:val="14"/>
              </w:rPr>
              <w:t>Yao et al. (2023)</w:t>
            </w:r>
          </w:p>
        </w:tc>
        <w:tc>
          <w:tcPr>
            <w:tcW w:type="dxa" w:w="2280"/>
          </w:tcPr>
          <w:p>
            <w:r/>
            <w:r>
              <w:rPr>
                <w:sz w:val="14"/>
              </w:rPr>
              <w:t>MADRL para gestion energetica de comunidades con PV/BESS/EV.</w:t>
            </w:r>
          </w:p>
        </w:tc>
        <w:tc>
          <w:tcPr>
            <w:tcW w:type="dxa" w:w="2280"/>
          </w:tcPr>
          <w:p>
            <w:r/>
            <w:r>
              <w:rPr>
                <w:sz w:val="14"/>
              </w:rPr>
              <w:t>Antecedente directo para OE.1 y OE.3.</w:t>
            </w:r>
          </w:p>
        </w:tc>
      </w:tr>
      <w:tr>
        <w:tc>
          <w:tcPr>
            <w:tcW w:type="dxa" w:w="2280"/>
          </w:tcPr>
          <w:p>
            <w:r/>
            <w:r>
              <w:rPr>
                <w:sz w:val="14"/>
              </w:rPr>
              <w:t>Internacional</w:t>
            </w:r>
          </w:p>
        </w:tc>
        <w:tc>
          <w:tcPr>
            <w:tcW w:type="dxa" w:w="2280"/>
          </w:tcPr>
          <w:p>
            <w:r/>
            <w:r>
              <w:rPr>
                <w:sz w:val="14"/>
              </w:rPr>
              <w:t>Liu et al. (2022)</w:t>
            </w:r>
          </w:p>
        </w:tc>
        <w:tc>
          <w:tcPr>
            <w:tcW w:type="dxa" w:w="2280"/>
          </w:tcPr>
          <w:p>
            <w:r/>
            <w:r>
              <w:rPr>
                <w:sz w:val="14"/>
              </w:rPr>
              <w:t>MADRL en edificios con renovables para costo y CO2.</w:t>
            </w:r>
          </w:p>
        </w:tc>
        <w:tc>
          <w:tcPr>
            <w:tcW w:type="dxa" w:w="2280"/>
          </w:tcPr>
          <w:p>
            <w:r/>
            <w:r>
              <w:rPr>
                <w:sz w:val="14"/>
              </w:rPr>
              <w:t>Antecedente directo para OE.2 y multiobjetivo.</w:t>
            </w:r>
          </w:p>
        </w:tc>
      </w:tr>
      <w:tr>
        <w:tc>
          <w:tcPr>
            <w:tcW w:type="dxa" w:w="2280"/>
          </w:tcPr>
          <w:p>
            <w:r/>
            <w:r>
              <w:rPr>
                <w:sz w:val="14"/>
              </w:rPr>
              <w:t>Internacional</w:t>
            </w:r>
          </w:p>
        </w:tc>
        <w:tc>
          <w:tcPr>
            <w:tcW w:type="dxa" w:w="2280"/>
          </w:tcPr>
          <w:p>
            <w:r/>
            <w:r>
              <w:rPr>
                <w:sz w:val="14"/>
              </w:rPr>
              <w:t>Iqbal &amp; Sha (2019)</w:t>
            </w:r>
          </w:p>
        </w:tc>
        <w:tc>
          <w:tcPr>
            <w:tcW w:type="dxa" w:w="2280"/>
          </w:tcPr>
          <w:p>
            <w:r/>
            <w:r>
              <w:rPr>
                <w:sz w:val="14"/>
              </w:rPr>
              <w:t>Actor-Attention-Critic para coordinacion multiagente.</w:t>
            </w:r>
          </w:p>
        </w:tc>
        <w:tc>
          <w:tcPr>
            <w:tcW w:type="dxa" w:w="2280"/>
          </w:tcPr>
          <w:p>
            <w:r/>
            <w:r>
              <w:rPr>
                <w:sz w:val="14"/>
              </w:rPr>
              <w:t>Fundamento teorico de MAAC y coordinacion selectiva.</w:t>
            </w:r>
          </w:p>
        </w:tc>
      </w:tr>
      <w:tr>
        <w:tc>
          <w:tcPr>
            <w:tcW w:type="dxa" w:w="2280"/>
          </w:tcPr>
          <w:p>
            <w:r/>
            <w:r>
              <w:rPr>
                <w:sz w:val="14"/>
              </w:rPr>
              <w:t>Nacional</w:t>
            </w:r>
          </w:p>
        </w:tc>
        <w:tc>
          <w:tcPr>
            <w:tcW w:type="dxa" w:w="2280"/>
          </w:tcPr>
          <w:p>
            <w:r/>
            <w:r>
              <w:rPr>
                <w:sz w:val="14"/>
              </w:rPr>
              <w:t>MINAM (2019)</w:t>
            </w:r>
          </w:p>
        </w:tc>
        <w:tc>
          <w:tcPr>
            <w:tcW w:type="dxa" w:w="2280"/>
          </w:tcPr>
          <w:p>
            <w:r/>
            <w:r>
              <w:rPr>
                <w:sz w:val="14"/>
              </w:rPr>
              <w:t>Factor de emision RAGEI para energia en Peru.</w:t>
            </w:r>
          </w:p>
        </w:tc>
        <w:tc>
          <w:tcPr>
            <w:tcW w:type="dxa" w:w="2280"/>
          </w:tcPr>
          <w:p>
            <w:r/>
            <w:r>
              <w:rPr>
                <w:sz w:val="14"/>
              </w:rPr>
              <w:t>Sustenta CI base 0,790 kgCO2/kWh del SEAI Iquitos.</w:t>
            </w:r>
          </w:p>
        </w:tc>
      </w:tr>
      <w:tr>
        <w:tc>
          <w:tcPr>
            <w:tcW w:type="dxa" w:w="2280"/>
          </w:tcPr>
          <w:p>
            <w:r/>
            <w:r>
              <w:rPr>
                <w:sz w:val="14"/>
              </w:rPr>
              <w:t>Nacional</w:t>
            </w:r>
          </w:p>
        </w:tc>
        <w:tc>
          <w:tcPr>
            <w:tcW w:type="dxa" w:w="2280"/>
          </w:tcPr>
          <w:p>
            <w:r/>
            <w:r>
              <w:rPr>
                <w:sz w:val="14"/>
              </w:rPr>
              <w:t>OSINERGMIN (2024)</w:t>
            </w:r>
          </w:p>
        </w:tc>
        <w:tc>
          <w:tcPr>
            <w:tcW w:type="dxa" w:w="2280"/>
          </w:tcPr>
          <w:p>
            <w:r/>
            <w:r>
              <w:rPr>
                <w:sz w:val="14"/>
              </w:rPr>
              <w:t>Tarifas de distribucion y demanda maxima para Electro Oriente.</w:t>
            </w:r>
          </w:p>
        </w:tc>
        <w:tc>
          <w:tcPr>
            <w:tcW w:type="dxa" w:w="2280"/>
          </w:tcPr>
          <w:p>
            <w:r/>
            <w:r>
              <w:rPr>
                <w:sz w:val="14"/>
              </w:rPr>
              <w:t>Sustenta costos, TOU y KPI de pico facturable.</w:t>
            </w:r>
          </w:p>
        </w:tc>
      </w:tr>
      <w:tr>
        <w:tc>
          <w:tcPr>
            <w:tcW w:type="dxa" w:w="2280"/>
          </w:tcPr>
          <w:p>
            <w:r/>
            <w:r>
              <w:rPr>
                <w:sz w:val="14"/>
              </w:rPr>
              <w:t>Nacional</w:t>
            </w:r>
          </w:p>
        </w:tc>
        <w:tc>
          <w:tcPr>
            <w:tcW w:type="dxa" w:w="2280"/>
          </w:tcPr>
          <w:p>
            <w:r/>
            <w:r>
              <w:rPr>
                <w:sz w:val="14"/>
              </w:rPr>
              <w:t>Electro Oriente S.A. / dataset del proyecto</w:t>
            </w:r>
          </w:p>
        </w:tc>
        <w:tc>
          <w:tcPr>
            <w:tcW w:type="dxa" w:w="2280"/>
          </w:tcPr>
          <w:p>
            <w:r/>
            <w:r>
              <w:rPr>
                <w:sz w:val="14"/>
              </w:rPr>
              <w:t>Facturacion y perfiles de edificios reales del SEAI Iquitos.</w:t>
            </w:r>
          </w:p>
        </w:tc>
        <w:tc>
          <w:tcPr>
            <w:tcW w:type="dxa" w:w="2280"/>
          </w:tcPr>
          <w:p>
            <w:r/>
            <w:r>
              <w:rPr>
                <w:sz w:val="14"/>
              </w:rPr>
              <w:t>Sustenta demanda, edificios y caso aplicado nacional.</w:t>
            </w:r>
          </w:p>
        </w:tc>
      </w:tr>
      <w:tr>
        <w:tc>
          <w:tcPr>
            <w:tcW w:type="dxa" w:w="2280"/>
          </w:tcPr>
          <w:p>
            <w:r/>
            <w:r>
              <w:rPr>
                <w:sz w:val="14"/>
              </w:rPr>
              <w:t>Nacional</w:t>
            </w:r>
          </w:p>
        </w:tc>
        <w:tc>
          <w:tcPr>
            <w:tcW w:type="dxa" w:w="2280"/>
          </w:tcPr>
          <w:p>
            <w:r/>
            <w:r>
              <w:rPr>
                <w:sz w:val="14"/>
              </w:rPr>
              <w:t>Juarez Valles (2024), registro ALICIA/CONCYTEC</w:t>
            </w:r>
          </w:p>
        </w:tc>
        <w:tc>
          <w:tcPr>
            <w:tcW w:type="dxa" w:w="2280"/>
          </w:tcPr>
          <w:p>
            <w:r/>
            <w:r>
              <w:rPr>
                <w:sz w:val="14"/>
              </w:rPr>
              <w:t>Aprendizaje por refuerzo y LSTM para eficiencia de subestacion de 215 kVA.</w:t>
            </w:r>
          </w:p>
        </w:tc>
        <w:tc>
          <w:tcPr>
            <w:tcW w:type="dxa" w:w="2280"/>
          </w:tcPr>
          <w:p>
            <w:r/>
            <w:r>
              <w:rPr>
                <w:sz w:val="14"/>
              </w:rPr>
              <w:t>Antecedente peruano de IA/RL aplicada a eficiencia electrica; requiere ficha APA completa antes de deposito final.</w:t>
            </w:r>
          </w:p>
        </w:tc>
      </w:tr>
      <w:tr>
        <w:tc>
          <w:tcPr>
            <w:tcW w:type="dxa" w:w="2280"/>
          </w:tcPr>
          <w:p>
            <w:r/>
            <w:r>
              <w:rPr>
                <w:sz w:val="14"/>
              </w:rPr>
              <w:t>Nacional</w:t>
            </w:r>
          </w:p>
        </w:tc>
        <w:tc>
          <w:tcPr>
            <w:tcW w:type="dxa" w:w="2280"/>
          </w:tcPr>
          <w:p>
            <w:r/>
            <w:r>
              <w:rPr>
                <w:sz w:val="14"/>
              </w:rPr>
              <w:t>Prociencia (2024), proyecto PUCP 94714</w:t>
            </w:r>
          </w:p>
        </w:tc>
        <w:tc>
          <w:tcPr>
            <w:tcW w:type="dxa" w:w="2280"/>
          </w:tcPr>
          <w:p>
            <w:r/>
            <w:r>
              <w:rPr>
                <w:sz w:val="14"/>
              </w:rPr>
              <w:t>IA e ISO 15118 para gestion inteligente de estaciones de recarga EV con PV y baterias de segundo uso.</w:t>
            </w:r>
          </w:p>
        </w:tc>
        <w:tc>
          <w:tcPr>
            <w:tcW w:type="dxa" w:w="2280"/>
          </w:tcPr>
          <w:p>
            <w:r/>
            <w:r>
              <w:rPr>
                <w:sz w:val="14"/>
              </w:rPr>
              <w:t>Antecedente nacional de I+D en EV, PV, baterias e IA aplicada.</w:t>
            </w:r>
          </w:p>
        </w:tc>
      </w:tr>
    </w:tbl>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el algoritmo MADRL de mayor efecto sobre D-VD.1 en E1 es MATD3 (Flexibilidad compuesta = 1.0009). El contraste inferencial Kruskal-Wallis sobre KPI-gains en E1 arroja p = 0.281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el algoritmo MADRL de mayor efecto sobre D-VD.2 en E2 es MATD3 (Delta CO2 (kg) = 23,070). El contraste inferencial Kruskal-Wallis sobre KPI-gains en E2 arroja p = 0.546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el algoritmo MADRL de mayor efecto sobre D-VD.3 en E3 es MAAC (Delta costo electrico (EUR) = 9,515). El contraste inferencial Kruskal-Wallis sobre KPI-gains en E3 arroja p = 0.388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5.11.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 La columna «Mejor (mediana KPI-gain)» de la Tabla 5.17 refiere al lider inferencial por mediana de signed_relative_gain, que puede diferir del lider descriptivo de distrito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(KPI-gains pareados): OE.1: MASAC vs MATD3 (p = 0,041), MASAC vs MAAC (p = 0,001); OE.2: MASAC vs MAAC (p = 0,008); OE.3: MASAC vs MAAC (p = 0,033); ALL: MASAC vs MATD3 (p = 0,005), MASAC vs MAAC (p = 5,81e-06). Estos contrastes son exploratorios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Descriptivo distrito + 2 par(es) Wilcoxon significativo(s)</w:t>
            </w:r>
          </w:p>
        </w:tc>
      </w:tr>
      <w:tr>
        <w:tc>
          <w:tcPr>
            <w:tcW w:type="dxa" w:w="850"/>
          </w:tcPr>
          <w:p>
            <w:r/>
            <w:r>
              <w:rPr>
                <w:sz w:val="18"/>
              </w:rPr>
              <w:t>HE.2</w:t>
            </w:r>
          </w:p>
        </w:tc>
        <w:tc>
          <w:tcPr>
            <w:tcW w:type="dxa" w:w="1134"/>
          </w:tcPr>
          <w:p>
            <w:r/>
            <w:r>
              <w:rPr>
                <w:sz w:val="18"/>
              </w:rPr>
              <w:t>OE.2 / E2</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Descriptivo distrito + 1 par(es) Wilcoxon significativo(s)</w:t>
            </w:r>
          </w:p>
        </w:tc>
      </w:tr>
      <w:tr>
        <w:tc>
          <w:tcPr>
            <w:tcW w:type="dxa" w:w="850"/>
          </w:tcPr>
          <w:p>
            <w:r/>
            <w:r>
              <w:rPr>
                <w:sz w:val="18"/>
              </w:rPr>
              <w:t>HE.3</w:t>
            </w:r>
          </w:p>
        </w:tc>
        <w:tc>
          <w:tcPr>
            <w:tcW w:type="dxa" w:w="1134"/>
          </w:tcPr>
          <w:p>
            <w:r/>
            <w:r>
              <w:rPr>
                <w:sz w:val="18"/>
              </w:rPr>
              <w:t>OE.3 / E3</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Descriptivo distrito + 1 par(es) Wilcoxon significativo(s)</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Descriptivo distrito + 2 par(es) Wilcoxon significativo(s)</w:t>
            </w:r>
          </w:p>
        </w:tc>
      </w:tr>
    </w:tbl>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5.6), coherente con Nweye et al. (2024).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2"/>
      </w:pPr>
      <w:r>
        <w:t>5.11 Veredicto de cumplimiento por objetivo especifico</w:t>
      </w:r>
    </w:p>
    <w:p>
      <w:pPr>
        <w:jc w:val="both"/>
      </w:pPr>
      <w:r>
        <w:rPr>
          <w:b w:val="0"/>
          <w:i w:val="0"/>
        </w:rPr>
        <w:t>Tabla 5.21 sintetiza el cumplimiento de cada OE en dos planos: descriptivo (KPI distrital y ranking normalizado) e inferencial (Kruskal-Wallis sobre KPI-gains, alpha = 0,05). Un OE se considera cumplido descriptivamente cuando se identifica el algoritmo de mayor efecto con datos auditados; inferencialmente cuando KW rechaza H0 (ninguno alcanza con una semilla). HE.1–HE.3 y HG se vinculan explicitamente.</w:t>
      </w:r>
    </w:p>
    <w:p>
      <w:r>
        <w:rPr>
          <w:b/>
          <w:color w:val="595959"/>
          <w:sz w:val="19"/>
        </w:rPr>
        <w:t>Tabla 5.21. Veredicto de cumplimiento OE.1–OE.3 y HG (corrida canonica 50 ep).</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680"/>
            <w:shd w:val="clear" w:color="auto" w:fill="1F4E79"/>
          </w:tcPr>
          <w:p>
            <w:r/>
            <w:r>
              <w:rPr>
                <w:b/>
                <w:color w:val="FFFFFF"/>
                <w:sz w:val="18"/>
              </w:rPr>
              <w:t>OE</w:t>
            </w:r>
          </w:p>
        </w:tc>
        <w:tc>
          <w:tcPr>
            <w:tcW w:type="dxa" w:w="1020"/>
            <w:shd w:val="clear" w:color="auto" w:fill="1F4E79"/>
          </w:tcPr>
          <w:p>
            <w:r/>
            <w:r>
              <w:rPr>
                <w:b/>
                <w:color w:val="FFFFFF"/>
                <w:sz w:val="18"/>
              </w:rPr>
              <w:t>VD / Esc.</w:t>
            </w:r>
          </w:p>
        </w:tc>
        <w:tc>
          <w:tcPr>
            <w:tcW w:type="dxa" w:w="567"/>
            <w:shd w:val="clear" w:color="auto" w:fill="1F4E79"/>
          </w:tcPr>
          <w:p>
            <w:r/>
            <w:r>
              <w:rPr>
                <w:b/>
                <w:color w:val="FFFFFF"/>
                <w:sz w:val="18"/>
              </w:rPr>
              <w:t>Hip.</w:t>
            </w:r>
          </w:p>
        </w:tc>
        <w:tc>
          <w:tcPr>
            <w:tcW w:type="dxa" w:w="850"/>
            <w:shd w:val="clear" w:color="auto" w:fill="1F4E79"/>
          </w:tcPr>
          <w:p>
            <w:r/>
            <w:r>
              <w:rPr>
                <w:b/>
                <w:color w:val="FFFFFF"/>
                <w:sz w:val="18"/>
              </w:rPr>
              <w:t>Mejor VI</w:t>
            </w:r>
          </w:p>
        </w:tc>
        <w:tc>
          <w:tcPr>
            <w:tcW w:type="dxa" w:w="1587"/>
            <w:shd w:val="clear" w:color="auto" w:fill="1F4E79"/>
          </w:tcPr>
          <w:p>
            <w:r/>
            <w:r>
              <w:rPr>
                <w:b/>
                <w:color w:val="FFFFFF"/>
                <w:sz w:val="18"/>
              </w:rPr>
              <w:t>Evidencia KPI</w:t>
            </w:r>
          </w:p>
        </w:tc>
        <w:tc>
          <w:tcPr>
            <w:tcW w:type="dxa" w:w="850"/>
            <w:shd w:val="clear" w:color="auto" w:fill="1F4E79"/>
          </w:tcPr>
          <w:p>
            <w:r/>
            <w:r>
              <w:rPr>
                <w:b/>
                <w:color w:val="FFFFFF"/>
                <w:sz w:val="18"/>
              </w:rPr>
              <w:t>Desc.</w:t>
            </w:r>
          </w:p>
        </w:tc>
        <w:tc>
          <w:tcPr>
            <w:tcW w:type="dxa" w:w="1020"/>
            <w:shd w:val="clear" w:color="auto" w:fill="1F4E79"/>
          </w:tcPr>
          <w:p>
            <w:r/>
            <w:r>
              <w:rPr>
                <w:b/>
                <w:color w:val="FFFFFF"/>
                <w:sz w:val="18"/>
              </w:rPr>
              <w:t>Infer.</w:t>
            </w:r>
          </w:p>
        </w:tc>
        <w:tc>
          <w:tcPr>
            <w:tcW w:type="dxa" w:w="1417"/>
            <w:shd w:val="clear" w:color="auto" w:fill="1F4E79"/>
          </w:tcPr>
          <w:p>
            <w:r/>
            <w:r>
              <w:rPr>
                <w:b/>
                <w:color w:val="FFFFFF"/>
                <w:sz w:val="18"/>
              </w:rPr>
              <w:t>Veredicto</w:t>
            </w:r>
          </w:p>
        </w:tc>
      </w:tr>
      <w:tr>
        <w:tc>
          <w:tcPr>
            <w:tcW w:type="dxa" w:w="680"/>
          </w:tcPr>
          <w:p>
            <w:r/>
            <w:r>
              <w:rPr>
                <w:sz w:val="18"/>
              </w:rPr>
              <w:t>OE.1</w:t>
            </w:r>
          </w:p>
        </w:tc>
        <w:tc>
          <w:tcPr>
            <w:tcW w:type="dxa" w:w="1020"/>
          </w:tcPr>
          <w:p>
            <w:r/>
            <w:r>
              <w:rPr>
                <w:sz w:val="18"/>
              </w:rPr>
              <w:t>D-VD.1 / E1</w:t>
            </w:r>
          </w:p>
        </w:tc>
        <w:tc>
          <w:tcPr>
            <w:tcW w:type="dxa" w:w="567"/>
          </w:tcPr>
          <w:p>
            <w:r/>
            <w:r>
              <w:rPr>
                <w:sz w:val="18"/>
              </w:rPr>
              <w:t>HE.1</w:t>
            </w:r>
          </w:p>
        </w:tc>
        <w:tc>
          <w:tcPr>
            <w:tcW w:type="dxa" w:w="850"/>
          </w:tcPr>
          <w:p>
            <w:r/>
            <w:r>
              <w:rPr>
                <w:sz w:val="18"/>
              </w:rPr>
              <w:t>MATD3</w:t>
            </w:r>
          </w:p>
        </w:tc>
        <w:tc>
          <w:tcPr>
            <w:tcW w:type="dxa" w:w="1587"/>
          </w:tcPr>
          <w:p>
            <w:r/>
            <w:r>
              <w:rPr>
                <w:sz w:val="18"/>
              </w:rPr>
              <w:t>Flexibilidad compuesta = 1.0009; score = 1.0000</w:t>
            </w:r>
          </w:p>
        </w:tc>
        <w:tc>
          <w:tcPr>
            <w:tcW w:type="dxa" w:w="850"/>
          </w:tcPr>
          <w:p>
            <w:r/>
            <w:r>
              <w:rPr>
                <w:sz w:val="18"/>
              </w:rPr>
              <w:t>Si (descriptivo)</w:t>
            </w:r>
          </w:p>
        </w:tc>
        <w:tc>
          <w:tcPr>
            <w:tcW w:type="dxa" w:w="1020"/>
          </w:tcPr>
          <w:p>
            <w:r/>
            <w:r>
              <w:rPr>
                <w:sz w:val="18"/>
              </w:rPr>
              <w:t>No (KW p = 0,281)</w:t>
            </w:r>
          </w:p>
        </w:tc>
        <w:tc>
          <w:tcPr>
            <w:tcW w:type="dxa" w:w="1417"/>
          </w:tcPr>
          <w:p>
            <w:r/>
            <w:r>
              <w:rPr>
                <w:sz w:val="18"/>
              </w:rPr>
              <w:t>Cumplido parcialmente: lider descriptivo identificado; inferencia omnibus no confirmatoria</w:t>
            </w:r>
          </w:p>
        </w:tc>
      </w:tr>
      <w:tr>
        <w:tc>
          <w:tcPr>
            <w:tcW w:type="dxa" w:w="680"/>
          </w:tcPr>
          <w:p>
            <w:r/>
            <w:r>
              <w:rPr>
                <w:sz w:val="18"/>
              </w:rPr>
              <w:t>OE.2</w:t>
            </w:r>
          </w:p>
        </w:tc>
        <w:tc>
          <w:tcPr>
            <w:tcW w:type="dxa" w:w="1020"/>
          </w:tcPr>
          <w:p>
            <w:r/>
            <w:r>
              <w:rPr>
                <w:sz w:val="18"/>
              </w:rPr>
              <w:t>D-VD.2 / E2</w:t>
            </w:r>
          </w:p>
        </w:tc>
        <w:tc>
          <w:tcPr>
            <w:tcW w:type="dxa" w:w="567"/>
          </w:tcPr>
          <w:p>
            <w:r/>
            <w:r>
              <w:rPr>
                <w:sz w:val="18"/>
              </w:rPr>
              <w:t>HE.2</w:t>
            </w:r>
          </w:p>
        </w:tc>
        <w:tc>
          <w:tcPr>
            <w:tcW w:type="dxa" w:w="850"/>
          </w:tcPr>
          <w:p>
            <w:r/>
            <w:r>
              <w:rPr>
                <w:sz w:val="18"/>
              </w:rPr>
              <w:t>MATD3</w:t>
            </w:r>
          </w:p>
        </w:tc>
        <w:tc>
          <w:tcPr>
            <w:tcW w:type="dxa" w:w="1587"/>
          </w:tcPr>
          <w:p>
            <w:r/>
            <w:r>
              <w:rPr>
                <w:sz w:val="18"/>
              </w:rPr>
              <w:t>Delta CO2 (kg) = 23,070; score = 1.0000</w:t>
            </w:r>
          </w:p>
        </w:tc>
        <w:tc>
          <w:tcPr>
            <w:tcW w:type="dxa" w:w="850"/>
          </w:tcPr>
          <w:p>
            <w:r/>
            <w:r>
              <w:rPr>
                <w:sz w:val="18"/>
              </w:rPr>
              <w:t>Si (descriptivo)</w:t>
            </w:r>
          </w:p>
        </w:tc>
        <w:tc>
          <w:tcPr>
            <w:tcW w:type="dxa" w:w="1020"/>
          </w:tcPr>
          <w:p>
            <w:r/>
            <w:r>
              <w:rPr>
                <w:sz w:val="18"/>
              </w:rPr>
              <w:t>No (KW p = 0,546)</w:t>
            </w:r>
          </w:p>
        </w:tc>
        <w:tc>
          <w:tcPr>
            <w:tcW w:type="dxa" w:w="1417"/>
          </w:tcPr>
          <w:p>
            <w:r/>
            <w:r>
              <w:rPr>
                <w:sz w:val="18"/>
              </w:rPr>
              <w:t>Cumplido parcialmente: lider descriptivo identificado; inferencia omnibus no confirmatoria</w:t>
            </w:r>
          </w:p>
        </w:tc>
      </w:tr>
      <w:tr>
        <w:tc>
          <w:tcPr>
            <w:tcW w:type="dxa" w:w="680"/>
          </w:tcPr>
          <w:p>
            <w:r/>
            <w:r>
              <w:rPr>
                <w:sz w:val="18"/>
              </w:rPr>
              <w:t>OE.3</w:t>
            </w:r>
          </w:p>
        </w:tc>
        <w:tc>
          <w:tcPr>
            <w:tcW w:type="dxa" w:w="1020"/>
          </w:tcPr>
          <w:p>
            <w:r/>
            <w:r>
              <w:rPr>
                <w:sz w:val="18"/>
              </w:rPr>
              <w:t>D-VD.3 / E3</w:t>
            </w:r>
          </w:p>
        </w:tc>
        <w:tc>
          <w:tcPr>
            <w:tcW w:type="dxa" w:w="567"/>
          </w:tcPr>
          <w:p>
            <w:r/>
            <w:r>
              <w:rPr>
                <w:sz w:val="18"/>
              </w:rPr>
              <w:t>HE.3</w:t>
            </w:r>
          </w:p>
        </w:tc>
        <w:tc>
          <w:tcPr>
            <w:tcW w:type="dxa" w:w="850"/>
          </w:tcPr>
          <w:p>
            <w:r/>
            <w:r>
              <w:rPr>
                <w:sz w:val="18"/>
              </w:rPr>
              <w:t>MAAC</w:t>
            </w:r>
          </w:p>
        </w:tc>
        <w:tc>
          <w:tcPr>
            <w:tcW w:type="dxa" w:w="1587"/>
          </w:tcPr>
          <w:p>
            <w:r/>
            <w:r>
              <w:rPr>
                <w:sz w:val="18"/>
              </w:rPr>
              <w:t>Delta costo electrico (EUR) = 9,515; score = 1.0000</w:t>
            </w:r>
          </w:p>
        </w:tc>
        <w:tc>
          <w:tcPr>
            <w:tcW w:type="dxa" w:w="850"/>
          </w:tcPr>
          <w:p>
            <w:r/>
            <w:r>
              <w:rPr>
                <w:sz w:val="18"/>
              </w:rPr>
              <w:t>Si (descriptivo)</w:t>
            </w:r>
          </w:p>
        </w:tc>
        <w:tc>
          <w:tcPr>
            <w:tcW w:type="dxa" w:w="1020"/>
          </w:tcPr>
          <w:p>
            <w:r/>
            <w:r>
              <w:rPr>
                <w:sz w:val="18"/>
              </w:rPr>
              <w:t>No (KW p = 0,388)</w:t>
            </w:r>
          </w:p>
        </w:tc>
        <w:tc>
          <w:tcPr>
            <w:tcW w:type="dxa" w:w="1417"/>
          </w:tcPr>
          <w:p>
            <w:r/>
            <w:r>
              <w:rPr>
                <w:sz w:val="18"/>
              </w:rPr>
              <w:t>Cumplido parcialmente: lider descriptivo identificado; inferencia omnibus no confirmatoria</w:t>
            </w:r>
          </w:p>
        </w:tc>
      </w:tr>
      <w:tr>
        <w:tc>
          <w:tcPr>
            <w:tcW w:type="dxa" w:w="680"/>
          </w:tcPr>
          <w:p>
            <w:r/>
            <w:r>
              <w:rPr>
                <w:sz w:val="18"/>
              </w:rPr>
              <w:t>OG</w:t>
            </w:r>
          </w:p>
        </w:tc>
        <w:tc>
          <w:tcPr>
            <w:tcW w:type="dxa" w:w="1020"/>
          </w:tcPr>
          <w:p>
            <w:r/>
            <w:r>
              <w:rPr>
                <w:sz w:val="18"/>
              </w:rPr>
              <w:t>ALL</w:t>
            </w:r>
          </w:p>
        </w:tc>
        <w:tc>
          <w:tcPr>
            <w:tcW w:type="dxa" w:w="567"/>
          </w:tcPr>
          <w:p>
            <w:r/>
            <w:r>
              <w:rPr>
                <w:sz w:val="18"/>
              </w:rPr>
              <w:t>HG</w:t>
            </w:r>
          </w:p>
        </w:tc>
        <w:tc>
          <w:tcPr>
            <w:tcW w:type="dxa" w:w="850"/>
          </w:tcPr>
          <w:p>
            <w:r/>
            <w:r>
              <w:rPr>
                <w:sz w:val="18"/>
              </w:rPr>
              <w:t>MATD3</w:t>
            </w:r>
          </w:p>
        </w:tc>
        <w:tc>
          <w:tcPr>
            <w:tcW w:type="dxa" w:w="1587"/>
          </w:tcPr>
          <w:p>
            <w:r/>
            <w:r>
              <w:rPr>
                <w:sz w:val="18"/>
              </w:rPr>
              <w:t>score global = 0.6667</w:t>
            </w:r>
          </w:p>
        </w:tc>
        <w:tc>
          <w:tcPr>
            <w:tcW w:type="dxa" w:w="850"/>
          </w:tcPr>
          <w:p>
            <w:r/>
            <w:r>
              <w:rPr>
                <w:sz w:val="18"/>
              </w:rPr>
              <w:t>Si (descriptivo)</w:t>
            </w:r>
          </w:p>
        </w:tc>
        <w:tc>
          <w:tcPr>
            <w:tcW w:type="dxa" w:w="1020"/>
          </w:tcPr>
          <w:p>
            <w:r/>
            <w:r>
              <w:rPr>
                <w:sz w:val="18"/>
              </w:rPr>
              <w:t>No (KW p = 0,155)</w:t>
            </w:r>
          </w:p>
        </w:tc>
        <w:tc>
          <w:tcPr>
            <w:tcW w:type="dxa" w:w="1417"/>
          </w:tcPr>
          <w:p>
            <w:r/>
            <w:r>
              <w:rPr>
                <w:sz w:val="18"/>
              </w:rPr>
              <w:t>Cumplido parcialmente: mejor integracion MADRL; sin dominancia universal</w:t>
            </w:r>
          </w:p>
        </w:tc>
      </w:tr>
    </w:tbl>
    <w:p/>
    <w:p>
      <w:pPr>
        <w:jc w:val="both"/>
      </w:pPr>
      <w:r>
        <w:rPr>
          <w:b w:val="0"/>
          <w:i w:val="0"/>
        </w:rPr>
        <w:t>Conclusion operativa: los tres objetivos especificos se cumplen en el sentido descriptivo exigido por la tesis (identificacion del algoritmo de mayor efecto por eje en KPI distrital), pero ninguno alcanza significancia inferencial omnibus con una semilla (KW ALL p = 0,155). La hipotesis global HG se sustenta descriptivamente en MATD3; Wilcoxon ALL (MASAC vs MATD3, p = 0,005) sugiere diferencias exploratorias en KPI-gains pareados que requieren replicacion multi-semilla.</w:t>
      </w:r>
    </w:p>
    <w:p>
      <w:r>
        <w:br w:type="page"/>
      </w:r>
    </w:p>
    <w:p>
      <w:pPr>
        <w:pStyle w:val="Heading1"/>
      </w:pPr>
      <w:r>
        <w:t>Capitulo 6. Conclusiones y trabajo futuro</w:t>
      </w:r>
    </w:p>
    <w:p>
      <w:pPr>
        <w:pStyle w:val="Heading2"/>
      </w:pPr>
      <w:r>
        <w:t>6.1 Conclusiones por objetivo especifico</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MATD3 obtiene score global 0,6667 por liderar OE.1 y OE.2, pero no OE.3. Ningun Kruskal-Wallis por eje alcanza alpha=0,05 (Tabla 5.17); las respuestas OE se sustentan en evidencia descriptiva trazable. La comparacion con baseline CityLearn v2 (seccion 5.6) muestra que controles RBC superan globalmente a MADRL, matizando la generalizacion causal pero no invalidando el benchmark inter-algoritmico.</w:t>
      </w:r>
    </w:p>
    <w:p>
      <w:pPr>
        <w:pStyle w:val="Heading2"/>
      </w:pPr>
      <w:r>
        <w:t>6.2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 inferencia Colab por OE se reporta en seccion 5.9 y Tabla 5.21.</w:t>
      </w:r>
    </w:p>
    <w:p>
      <w:pPr>
        <w:pStyle w:val="Heading2"/>
      </w:pPr>
      <w:r>
        <w:t>6.3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