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En respuesta a PE.1–PE.3 y OE.1–OE.3 (evidencia descriptiva), MATD3 lidera flexibilidad (PE.1/OE.1) y emisiones (PE.2/OE.2); MAAC lidera costos (PE.3/OE.3); MATD3 obtiene el mejor score global (0,6667).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contrastacion inferencial de HG y HE.1–HE.3 (seccion 5.9) (Kruskal-Wallis ALL p=0.155; Wilcoxon MASAC vs MATD3 p=0.0049) no confirma diferencias omnibus con una semilla;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jc w:val="both"/>
      </w:pPr>
      <w:r>
        <w:rPr>
          <w:b w:val="0"/>
          <w:i w:val="0"/>
        </w:rPr>
        <w:t>Cada problema especifico PE.i se responde en el Capitulo 5 (secciones 5.3.1, 5.4.1 y 5.5.1) mediante analisis descriptivo e inferencial sobre la corrida canonica de 50 episodios, y se alinea uno a uno con OE.i y HE.i segun la Tabla 1.1 (PE.1→OE.1→HE.1; PE.2→OE.2→HE.2; PE.3→OE.3→HE.3).</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PE.i→OE.i→HE.i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al algoritmo con menor delta de costo electrico.</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spacing w:after="120" w:line="276" w:lineRule="auto"/>
        <w:jc w:val="both"/>
      </w:pPr>
      <w: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Fundamentos teoricos y matematicos</w:t>
      </w:r>
    </w:p>
    <w:p>
      <w:pPr>
        <w:pStyle w:val="Heading3"/>
      </w:pPr>
      <w:r>
        <w:t>2.1.1 Aprendizaje por refuerzo y MADRL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2.1.2 Formalizacion matematica Dec-POMDP</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r>
        <w:rPr>
          <w:b/>
          <w:color w:val="595959"/>
          <w:sz w:val="19"/>
        </w:rPr>
        <w:t>Tabla 2.2.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pPr>
      <w:r>
        <w:t>2.1.3 CityLearn y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pPr>
      <w:r>
        <w:t>2.2 Variables de la investigacion</w:t>
      </w:r>
    </w:p>
    <w:p>
      <w:pPr>
        <w:spacing w:after="120" w:line="276" w:lineRule="auto"/>
        <w:jc w:val="both"/>
      </w:pPr>
      <w: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pPr>
      <w:r>
        <w:t>2.2.1 Variable independiente (VI)</w:t>
      </w:r>
    </w:p>
    <w:p>
      <w:pPr>
        <w:spacing w:after="120" w:line="276" w:lineRule="auto"/>
        <w:jc w:val="both"/>
      </w:pPr>
      <w: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120" w:line="276" w:lineRule="auto"/>
        <w:jc w:val="both"/>
      </w:pPr>
      <w: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120" w:line="276" w:lineRule="auto"/>
        <w:jc w:val="both"/>
      </w:pPr>
      <w: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120" w:line="276" w:lineRule="auto"/>
        <w:jc w:val="both"/>
      </w:pPr>
      <w: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pPr>
      <w:r>
        <w:t>2.2.2 Variable dependiente (VD)</w:t>
      </w:r>
    </w:p>
    <w:p>
      <w:pPr>
        <w:spacing w:after="120" w:line="276" w:lineRule="auto"/>
        <w:jc w:val="both"/>
      </w:pPr>
      <w: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120" w:line="276" w:lineRule="auto"/>
        <w:jc w:val="both"/>
      </w:pPr>
      <w: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120" w:line="276" w:lineRule="auto"/>
        <w:jc w:val="both"/>
      </w:pPr>
      <w: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120" w:line="276" w:lineRule="auto"/>
        <w:jc w:val="both"/>
      </w:pPr>
      <w: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r>
        <w:rPr>
          <w:b/>
          <w:color w:val="595959"/>
          <w:sz w:val="19"/>
        </w:rPr>
        <w:t>Tabla 2.1. 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Variable</w:t>
            </w:r>
          </w:p>
        </w:tc>
        <w:tc>
          <w:tcPr>
            <w:tcW w:type="dxa" w:w="1824"/>
            <w:shd w:val="clear" w:color="auto" w:fill="1F4E79"/>
          </w:tcPr>
          <w:p>
            <w:r/>
            <w:r>
              <w:rPr>
                <w:b/>
                <w:color w:val="FFFFFF"/>
                <w:sz w:val="13"/>
              </w:rPr>
              <w:t>Dimension</w:t>
            </w:r>
          </w:p>
        </w:tc>
        <w:tc>
          <w:tcPr>
            <w:tcW w:type="dxa" w:w="1824"/>
            <w:shd w:val="clear" w:color="auto" w:fill="1F4E79"/>
          </w:tcPr>
          <w:p>
            <w:r/>
            <w:r>
              <w:rPr>
                <w:b/>
                <w:color w:val="FFFFFF"/>
                <w:sz w:val="13"/>
              </w:rPr>
              <w:t>Definicion operativa</w:t>
            </w:r>
          </w:p>
        </w:tc>
        <w:tc>
          <w:tcPr>
            <w:tcW w:type="dxa" w:w="1824"/>
            <w:shd w:val="clear" w:color="auto" w:fill="1F4E79"/>
          </w:tcPr>
          <w:p>
            <w:r/>
            <w:r>
              <w:rPr>
                <w:b/>
                <w:color w:val="FFFFFF"/>
                <w:sz w:val="13"/>
              </w:rPr>
              <w:t>Autor(es) APA</w:t>
            </w:r>
          </w:p>
        </w:tc>
        <w:tc>
          <w:tcPr>
            <w:tcW w:type="dxa" w:w="1824"/>
            <w:shd w:val="clear" w:color="auto" w:fill="1F4E79"/>
          </w:tcPr>
          <w:p>
            <w:r/>
            <w:r>
              <w:rPr>
                <w:b/>
                <w:color w:val="FFFFFF"/>
                <w:sz w:val="13"/>
              </w:rPr>
              <w:t>KPI tesis</w:t>
            </w:r>
          </w:p>
        </w:tc>
      </w:tr>
      <w:tr>
        <w:tc>
          <w:tcPr>
            <w:tcW w:type="dxa" w:w="1824"/>
          </w:tcPr>
          <w:p>
            <w:r/>
            <w:r>
              <w:rPr>
                <w:sz w:val="13"/>
              </w:rPr>
              <w:t>VI</w:t>
            </w:r>
          </w:p>
        </w:tc>
        <w:tc>
          <w:tcPr>
            <w:tcW w:type="dxa" w:w="1824"/>
          </w:tcPr>
          <w:p>
            <w:r/>
            <w:r>
              <w:rPr>
                <w:sz w:val="13"/>
              </w:rPr>
              <w:t>D-VI.1 — Algoritmo MADRL</w:t>
            </w:r>
          </w:p>
        </w:tc>
        <w:tc>
          <w:tcPr>
            <w:tcW w:type="dxa" w:w="1824"/>
          </w:tcPr>
          <w:p>
            <w:r/>
            <w:r>
              <w:rPr>
                <w:sz w:val="13"/>
              </w:rPr>
              <w:t>Capa cooperativa multiagente bajo Dec-POMDP/CTDE (HAPPO, MASAC, MATD3, MAAC).</w:t>
            </w:r>
          </w:p>
        </w:tc>
        <w:tc>
          <w:tcPr>
            <w:tcW w:type="dxa" w:w="1824"/>
          </w:tcPr>
          <w:p>
            <w:r/>
            <w:r>
              <w:rPr>
                <w:sz w:val="13"/>
              </w:rPr>
              <w:t>Sutton y Barto (2018); Oliehoek y Amato (2016)</w:t>
            </w:r>
          </w:p>
        </w:tc>
        <w:tc>
          <w:tcPr>
            <w:tcW w:type="dxa" w:w="1824"/>
          </w:tcPr>
          <w:p>
            <w:r/>
            <w:r>
              <w:rPr>
                <w:sz w:val="13"/>
              </w:rPr>
              <w:t>Factor experimental (4 niveles)</w:t>
            </w:r>
          </w:p>
        </w:tc>
      </w:tr>
      <w:tr>
        <w:tc>
          <w:tcPr>
            <w:tcW w:type="dxa" w:w="1824"/>
          </w:tcPr>
          <w:p>
            <w:r/>
            <w:r>
              <w:rPr>
                <w:sz w:val="13"/>
              </w:rPr>
              <w:t>VI</w:t>
            </w:r>
          </w:p>
        </w:tc>
        <w:tc>
          <w:tcPr>
            <w:tcW w:type="dxa" w:w="1824"/>
          </w:tcPr>
          <w:p>
            <w:r/>
            <w:r>
              <w:rPr>
                <w:sz w:val="13"/>
              </w:rPr>
              <w:t>D-VI.1 — HAPPO</w:t>
            </w:r>
          </w:p>
        </w:tc>
        <w:tc>
          <w:tcPr>
            <w:tcW w:type="dxa" w:w="1824"/>
          </w:tcPr>
          <w:p>
            <w:r/>
            <w:r>
              <w:rPr>
                <w:sz w:val="13"/>
              </w:rPr>
              <w:t>On-policy con region de confianza para agentes heterogeneos.</w:t>
            </w:r>
          </w:p>
        </w:tc>
        <w:tc>
          <w:tcPr>
            <w:tcW w:type="dxa" w:w="1824"/>
          </w:tcPr>
          <w:p>
            <w:r/>
            <w:r>
              <w:rPr>
                <w:sz w:val="13"/>
              </w:rPr>
              <w:t>Kuba et al. (2021); Zhong et al. (2023)</w:t>
            </w:r>
          </w:p>
        </w:tc>
        <w:tc>
          <w:tcPr>
            <w:tcW w:type="dxa" w:w="1824"/>
          </w:tcPr>
          <w:p>
            <w:r/>
            <w:r>
              <w:rPr>
                <w:sz w:val="13"/>
              </w:rPr>
              <w:t>T01-T03</w:t>
            </w:r>
          </w:p>
        </w:tc>
      </w:tr>
      <w:tr>
        <w:tc>
          <w:tcPr>
            <w:tcW w:type="dxa" w:w="1824"/>
          </w:tcPr>
          <w:p>
            <w:r/>
            <w:r>
              <w:rPr>
                <w:sz w:val="13"/>
              </w:rPr>
              <w:t>VI</w:t>
            </w:r>
          </w:p>
        </w:tc>
        <w:tc>
          <w:tcPr>
            <w:tcW w:type="dxa" w:w="1824"/>
          </w:tcPr>
          <w:p>
            <w:r/>
            <w:r>
              <w:rPr>
                <w:sz w:val="13"/>
              </w:rPr>
              <w:t>D-VI.1 — MASAC</w:t>
            </w:r>
          </w:p>
        </w:tc>
        <w:tc>
          <w:tcPr>
            <w:tcW w:type="dxa" w:w="1824"/>
          </w:tcPr>
          <w:p>
            <w:r/>
            <w:r>
              <w:rPr>
                <w:sz w:val="13"/>
              </w:rPr>
              <w:t>Off-policy de maxima entropia con exploracion robusta.</w:t>
            </w:r>
          </w:p>
        </w:tc>
        <w:tc>
          <w:tcPr>
            <w:tcW w:type="dxa" w:w="1824"/>
          </w:tcPr>
          <w:p>
            <w:r/>
            <w:r>
              <w:rPr>
                <w:sz w:val="13"/>
              </w:rPr>
              <w:t>Haarnoja et al. (2018); Gao et al. (2023)</w:t>
            </w:r>
          </w:p>
        </w:tc>
        <w:tc>
          <w:tcPr>
            <w:tcW w:type="dxa" w:w="1824"/>
          </w:tcPr>
          <w:p>
            <w:r/>
            <w:r>
              <w:rPr>
                <w:sz w:val="13"/>
              </w:rPr>
              <w:t>T04-T06</w:t>
            </w:r>
          </w:p>
        </w:tc>
      </w:tr>
      <w:tr>
        <w:tc>
          <w:tcPr>
            <w:tcW w:type="dxa" w:w="1824"/>
          </w:tcPr>
          <w:p>
            <w:r/>
            <w:r>
              <w:rPr>
                <w:sz w:val="13"/>
              </w:rPr>
              <w:t>VI</w:t>
            </w:r>
          </w:p>
        </w:tc>
        <w:tc>
          <w:tcPr>
            <w:tcW w:type="dxa" w:w="1824"/>
          </w:tcPr>
          <w:p>
            <w:r/>
            <w:r>
              <w:rPr>
                <w:sz w:val="13"/>
              </w:rPr>
              <w:t>D-VI.1 — MATD3</w:t>
            </w:r>
          </w:p>
        </w:tc>
        <w:tc>
          <w:tcPr>
            <w:tcW w:type="dxa" w:w="1824"/>
          </w:tcPr>
          <w:p>
            <w:r/>
            <w:r>
              <w:rPr>
                <w:sz w:val="13"/>
              </w:rPr>
              <w:t>Off-policy con doble critico centralizado y retardo de politica.</w:t>
            </w:r>
          </w:p>
        </w:tc>
        <w:tc>
          <w:tcPr>
            <w:tcW w:type="dxa" w:w="1824"/>
          </w:tcPr>
          <w:p>
            <w:r/>
            <w:r>
              <w:rPr>
                <w:sz w:val="13"/>
              </w:rPr>
              <w:t>Lowe et al. (2017); Hu et al. (2023)</w:t>
            </w:r>
          </w:p>
        </w:tc>
        <w:tc>
          <w:tcPr>
            <w:tcW w:type="dxa" w:w="1824"/>
          </w:tcPr>
          <w:p>
            <w:r/>
            <w:r>
              <w:rPr>
                <w:sz w:val="13"/>
              </w:rPr>
              <w:t>T07-T09</w:t>
            </w:r>
          </w:p>
        </w:tc>
      </w:tr>
      <w:tr>
        <w:tc>
          <w:tcPr>
            <w:tcW w:type="dxa" w:w="1824"/>
          </w:tcPr>
          <w:p>
            <w:r/>
            <w:r>
              <w:rPr>
                <w:sz w:val="13"/>
              </w:rPr>
              <w:t>VI</w:t>
            </w:r>
          </w:p>
        </w:tc>
        <w:tc>
          <w:tcPr>
            <w:tcW w:type="dxa" w:w="1824"/>
          </w:tcPr>
          <w:p>
            <w:r/>
            <w:r>
              <w:rPr>
                <w:sz w:val="13"/>
              </w:rPr>
              <w:t>D-VI.1 — MAAC</w:t>
            </w:r>
          </w:p>
        </w:tc>
        <w:tc>
          <w:tcPr>
            <w:tcW w:type="dxa" w:w="1824"/>
          </w:tcPr>
          <w:p>
            <w:r/>
            <w:r>
              <w:rPr>
                <w:sz w:val="13"/>
              </w:rPr>
              <w:t>Critico con atencion selectiva entre agentes.</w:t>
            </w:r>
          </w:p>
        </w:tc>
        <w:tc>
          <w:tcPr>
            <w:tcW w:type="dxa" w:w="1824"/>
          </w:tcPr>
          <w:p>
            <w:r/>
            <w:r>
              <w:rPr>
                <w:sz w:val="13"/>
              </w:rPr>
              <w:t>Iqbal y Sha (2019)</w:t>
            </w:r>
          </w:p>
        </w:tc>
        <w:tc>
          <w:tcPr>
            <w:tcW w:type="dxa" w:w="1824"/>
          </w:tcPr>
          <w:p>
            <w:r/>
            <w:r>
              <w:rPr>
                <w:sz w:val="13"/>
              </w:rPr>
              <w:t>T10-T12</w:t>
            </w:r>
          </w:p>
        </w:tc>
      </w:tr>
      <w:tr>
        <w:tc>
          <w:tcPr>
            <w:tcW w:type="dxa" w:w="1824"/>
          </w:tcPr>
          <w:p>
            <w:r/>
            <w:r>
              <w:rPr>
                <w:sz w:val="13"/>
              </w:rPr>
              <w:t>VI</w:t>
            </w:r>
          </w:p>
        </w:tc>
        <w:tc>
          <w:tcPr>
            <w:tcW w:type="dxa" w:w="1824"/>
          </w:tcPr>
          <w:p>
            <w:r/>
            <w:r>
              <w:rPr>
                <w:sz w:val="13"/>
              </w:rPr>
              <w:t>D-VI.2 — Escenario E1</w:t>
            </w:r>
          </w:p>
        </w:tc>
        <w:tc>
          <w:tcPr>
            <w:tcW w:type="dxa" w:w="1824"/>
          </w:tcPr>
          <w:p>
            <w:r/>
            <w:r>
              <w:rPr>
                <w:sz w:val="13"/>
              </w:rPr>
              <w:t>Ponderacion dominante flexibilidad [0,70; 0,15; 0,15].</w:t>
            </w:r>
          </w:p>
        </w:tc>
        <w:tc>
          <w:tcPr>
            <w:tcW w:type="dxa" w:w="1824"/>
          </w:tcPr>
          <w:p>
            <w:r/>
            <w:r>
              <w:rPr>
                <w:sz w:val="13"/>
              </w:rPr>
              <w:t>Vazquez-Canteli et al. (2020); Yao et al. (2023)</w:t>
            </w:r>
          </w:p>
        </w:tc>
        <w:tc>
          <w:tcPr>
            <w:tcW w:type="dxa" w:w="1824"/>
          </w:tcPr>
          <w:p>
            <w:r/>
            <w:r>
              <w:rPr>
                <w:sz w:val="13"/>
              </w:rPr>
              <w:t>OE.1 / D-VD.1</w:t>
            </w:r>
          </w:p>
        </w:tc>
      </w:tr>
      <w:tr>
        <w:tc>
          <w:tcPr>
            <w:tcW w:type="dxa" w:w="1824"/>
          </w:tcPr>
          <w:p>
            <w:r/>
            <w:r>
              <w:rPr>
                <w:sz w:val="13"/>
              </w:rPr>
              <w:t>VI</w:t>
            </w:r>
          </w:p>
        </w:tc>
        <w:tc>
          <w:tcPr>
            <w:tcW w:type="dxa" w:w="1824"/>
          </w:tcPr>
          <w:p>
            <w:r/>
            <w:r>
              <w:rPr>
                <w:sz w:val="13"/>
              </w:rPr>
              <w:t>D-VI.2 — Escenario E2</w:t>
            </w:r>
          </w:p>
        </w:tc>
        <w:tc>
          <w:tcPr>
            <w:tcW w:type="dxa" w:w="1824"/>
          </w:tcPr>
          <w:p>
            <w:r/>
            <w:r>
              <w:rPr>
                <w:sz w:val="13"/>
              </w:rPr>
              <w:t>Ponderacion dominante CO2 [0,15; 0,70; 0,15].</w:t>
            </w:r>
          </w:p>
        </w:tc>
        <w:tc>
          <w:tcPr>
            <w:tcW w:type="dxa" w:w="1824"/>
          </w:tcPr>
          <w:p>
            <w:r/>
            <w:r>
              <w:rPr>
                <w:sz w:val="13"/>
              </w:rPr>
              <w:t>Liu et al. (2022); Tranberg et al. (2020)</w:t>
            </w:r>
          </w:p>
        </w:tc>
        <w:tc>
          <w:tcPr>
            <w:tcW w:type="dxa" w:w="1824"/>
          </w:tcPr>
          <w:p>
            <w:r/>
            <w:r>
              <w:rPr>
                <w:sz w:val="13"/>
              </w:rPr>
              <w:t>OE.2 / D-VD.2</w:t>
            </w:r>
          </w:p>
        </w:tc>
      </w:tr>
      <w:tr>
        <w:tc>
          <w:tcPr>
            <w:tcW w:type="dxa" w:w="1824"/>
          </w:tcPr>
          <w:p>
            <w:r/>
            <w:r>
              <w:rPr>
                <w:sz w:val="13"/>
              </w:rPr>
              <w:t>VI</w:t>
            </w:r>
          </w:p>
        </w:tc>
        <w:tc>
          <w:tcPr>
            <w:tcW w:type="dxa" w:w="1824"/>
          </w:tcPr>
          <w:p>
            <w:r/>
            <w:r>
              <w:rPr>
                <w:sz w:val="13"/>
              </w:rPr>
              <w:t>D-VI.2 — Escenario E3</w:t>
            </w:r>
          </w:p>
        </w:tc>
        <w:tc>
          <w:tcPr>
            <w:tcW w:type="dxa" w:w="1824"/>
          </w:tcPr>
          <w:p>
            <w:r/>
            <w:r>
              <w:rPr>
                <w:sz w:val="13"/>
              </w:rPr>
              <w:t>Ponderacion dominante costos [0,25; 0,15; 0,60].</w:t>
            </w:r>
          </w:p>
        </w:tc>
        <w:tc>
          <w:tcPr>
            <w:tcW w:type="dxa" w:w="1824"/>
          </w:tcPr>
          <w:p>
            <w:r/>
            <w:r>
              <w:rPr>
                <w:sz w:val="13"/>
              </w:rPr>
              <w:t>Dang et al. (2023); OSINERGMIN (2024)</w:t>
            </w:r>
          </w:p>
        </w:tc>
        <w:tc>
          <w:tcPr>
            <w:tcW w:type="dxa" w:w="1824"/>
          </w:tcPr>
          <w:p>
            <w:r/>
            <w:r>
              <w:rPr>
                <w:sz w:val="13"/>
              </w:rPr>
              <w:t>OE.3 / D-VD.3</w:t>
            </w:r>
          </w:p>
        </w:tc>
      </w:tr>
      <w:tr>
        <w:tc>
          <w:tcPr>
            <w:tcW w:type="dxa" w:w="1824"/>
          </w:tcPr>
          <w:p>
            <w:r/>
            <w:r>
              <w:rPr>
                <w:sz w:val="13"/>
              </w:rPr>
              <w:t>VI</w:t>
            </w:r>
          </w:p>
        </w:tc>
        <w:tc>
          <w:tcPr>
            <w:tcW w:type="dxa" w:w="1824"/>
          </w:tcPr>
          <w:p>
            <w:r/>
            <w:r>
              <w:rPr>
                <w:sz w:val="13"/>
              </w:rPr>
              <w:t>D-VI.3 — Control dataset</w:t>
            </w:r>
          </w:p>
        </w:tc>
        <w:tc>
          <w:tcPr>
            <w:tcW w:type="dxa" w:w="1824"/>
          </w:tcPr>
          <w:p>
            <w:r/>
            <w:r>
              <w:rPr>
                <w:sz w:val="13"/>
              </w:rPr>
              <w:t>Dataset comun citylearn_iquitos_2023_2025 (17 edificios, 8 760 h).</w:t>
            </w:r>
          </w:p>
        </w:tc>
        <w:tc>
          <w:tcPr>
            <w:tcW w:type="dxa" w:w="1824"/>
          </w:tcPr>
          <w:p>
            <w:r/>
            <w:r>
              <w:rPr>
                <w:sz w:val="13"/>
              </w:rPr>
              <w:t>Nweye et al. (2024); Nweye et al. (2023a)</w:t>
            </w:r>
          </w:p>
        </w:tc>
        <w:tc>
          <w:tcPr>
            <w:tcW w:type="dxa" w:w="1824"/>
          </w:tcPr>
          <w:p>
            <w:r/>
            <w:r>
              <w:rPr>
                <w:sz w:val="13"/>
              </w:rPr>
              <w:t>Mismo schema y semilla</w:t>
            </w:r>
          </w:p>
        </w:tc>
      </w:tr>
      <w:tr>
        <w:tc>
          <w:tcPr>
            <w:tcW w:type="dxa" w:w="1824"/>
          </w:tcPr>
          <w:p>
            <w:r/>
            <w:r>
              <w:rPr>
                <w:sz w:val="13"/>
              </w:rPr>
              <w:t>VI</w:t>
            </w:r>
          </w:p>
        </w:tc>
        <w:tc>
          <w:tcPr>
            <w:tcW w:type="dxa" w:w="1824"/>
          </w:tcPr>
          <w:p>
            <w:r/>
            <w:r>
              <w:rPr>
                <w:sz w:val="13"/>
              </w:rPr>
              <w:t>D-VI.3 — Control protocolo</w:t>
            </w:r>
          </w:p>
        </w:tc>
        <w:tc>
          <w:tcPr>
            <w:tcW w:type="dxa" w:w="1824"/>
          </w:tcPr>
          <w:p>
            <w:r/>
            <w:r>
              <w:rPr>
                <w:sz w:val="13"/>
              </w:rPr>
              <w:t>Funcion de recompensa unified_comparable_v4 y protocolo CTDE.</w:t>
            </w:r>
          </w:p>
        </w:tc>
        <w:tc>
          <w:tcPr>
            <w:tcW w:type="dxa" w:w="1824"/>
          </w:tcPr>
          <w:p>
            <w:r/>
            <w:r>
              <w:rPr>
                <w:sz w:val="13"/>
              </w:rPr>
              <w:t>Nweye et al. (2022); Hu et al. (2023)</w:t>
            </w:r>
          </w:p>
        </w:tc>
        <w:tc>
          <w:tcPr>
            <w:tcW w:type="dxa" w:w="1824"/>
          </w:tcPr>
          <w:p>
            <w:r/>
            <w:r>
              <w:rPr>
                <w:sz w:val="13"/>
              </w:rPr>
              <w:t>12 tratamientos 4x3</w:t>
            </w:r>
          </w:p>
        </w:tc>
      </w:tr>
      <w:tr>
        <w:tc>
          <w:tcPr>
            <w:tcW w:type="dxa" w:w="1824"/>
          </w:tcPr>
          <w:p>
            <w:r/>
            <w:r>
              <w:rPr>
                <w:sz w:val="13"/>
              </w:rPr>
              <w:t>VD</w:t>
            </w:r>
          </w:p>
        </w:tc>
        <w:tc>
          <w:tcPr>
            <w:tcW w:type="dxa" w:w="1824"/>
          </w:tcPr>
          <w:p>
            <w:r/>
            <w:r>
              <w:rPr>
                <w:sz w:val="13"/>
              </w:rPr>
              <w:t>D-VD.1 — Dim.1 pico</w:t>
            </w:r>
          </w:p>
        </w:tc>
        <w:tc>
          <w:tcPr>
            <w:tcW w:type="dxa" w:w="1824"/>
          </w:tcPr>
          <w:p>
            <w:r/>
            <w:r>
              <w:rPr>
                <w:sz w:val="13"/>
              </w:rPr>
              <w:t>Reduccion de demanda/importacion maxima distrital.</w:t>
            </w:r>
          </w:p>
        </w:tc>
        <w:tc>
          <w:tcPr>
            <w:tcW w:type="dxa" w:w="1824"/>
          </w:tcPr>
          <w:p>
            <w:r/>
            <w:r>
              <w:rPr>
                <w:sz w:val="13"/>
              </w:rPr>
              <w:t>Vazquez-Canteli et al. (2020); Lund et al. (2017)</w:t>
            </w:r>
          </w:p>
        </w:tc>
        <w:tc>
          <w:tcPr>
            <w:tcW w:type="dxa" w:w="1824"/>
          </w:tcPr>
          <w:p>
            <w:r/>
            <w:r>
              <w:rPr>
                <w:sz w:val="13"/>
              </w:rPr>
              <w:t>peak_average</w:t>
            </w:r>
          </w:p>
        </w:tc>
      </w:tr>
      <w:tr>
        <w:tc>
          <w:tcPr>
            <w:tcW w:type="dxa" w:w="1824"/>
          </w:tcPr>
          <w:p>
            <w:r/>
            <w:r>
              <w:rPr>
                <w:sz w:val="13"/>
              </w:rPr>
              <w:t>VD</w:t>
            </w:r>
          </w:p>
        </w:tc>
        <w:tc>
          <w:tcPr>
            <w:tcW w:type="dxa" w:w="1824"/>
          </w:tcPr>
          <w:p>
            <w:r/>
            <w:r>
              <w:rPr>
                <w:sz w:val="13"/>
              </w:rPr>
              <w:t>D-VD.1 — Dim.2 rampa</w:t>
            </w:r>
          </w:p>
        </w:tc>
        <w:tc>
          <w:tcPr>
            <w:tcW w:type="dxa" w:w="1824"/>
          </w:tcPr>
          <w:p>
            <w:r/>
            <w:r>
              <w:rPr>
                <w:sz w:val="13"/>
              </w:rPr>
              <w:t>Suavizado de variaciones horarias de importacion.</w:t>
            </w:r>
          </w:p>
        </w:tc>
        <w:tc>
          <w:tcPr>
            <w:tcW w:type="dxa" w:w="1824"/>
          </w:tcPr>
          <w:p>
            <w:r/>
            <w:r>
              <w:rPr>
                <w:sz w:val="13"/>
              </w:rPr>
              <w:t>Nweye et al. (2024); Yao et al. (2023)</w:t>
            </w:r>
          </w:p>
        </w:tc>
        <w:tc>
          <w:tcPr>
            <w:tcW w:type="dxa" w:w="1824"/>
          </w:tcPr>
          <w:p>
            <w:r/>
            <w:r>
              <w:rPr>
                <w:sz w:val="13"/>
              </w:rPr>
              <w:t>ramping_average</w:t>
            </w:r>
          </w:p>
        </w:tc>
      </w:tr>
      <w:tr>
        <w:tc>
          <w:tcPr>
            <w:tcW w:type="dxa" w:w="1824"/>
          </w:tcPr>
          <w:p>
            <w:r/>
            <w:r>
              <w:rPr>
                <w:sz w:val="13"/>
              </w:rPr>
              <w:t>VD</w:t>
            </w:r>
          </w:p>
        </w:tc>
        <w:tc>
          <w:tcPr>
            <w:tcW w:type="dxa" w:w="1824"/>
          </w:tcPr>
          <w:p>
            <w:r/>
            <w:r>
              <w:rPr>
                <w:sz w:val="13"/>
              </w:rPr>
              <w:t>D-VD.1 — Dim.3 factor de carga</w:t>
            </w:r>
          </w:p>
        </w:tc>
        <w:tc>
          <w:tcPr>
            <w:tcW w:type="dxa" w:w="1824"/>
          </w:tcPr>
          <w:p>
            <w:r/>
            <w:r>
              <w:rPr>
                <w:sz w:val="13"/>
              </w:rPr>
              <w:t>Equilibrio entre pico y demanda media (load factor).</w:t>
            </w:r>
          </w:p>
        </w:tc>
        <w:tc>
          <w:tcPr>
            <w:tcW w:type="dxa" w:w="1824"/>
          </w:tcPr>
          <w:p>
            <w:r/>
            <w:r>
              <w:rPr>
                <w:sz w:val="13"/>
              </w:rPr>
              <w:t>Vazquez-Canteli y Nagy (2019b); Xie et al. (2023)</w:t>
            </w:r>
          </w:p>
        </w:tc>
        <w:tc>
          <w:tcPr>
            <w:tcW w:type="dxa" w:w="1824"/>
          </w:tcPr>
          <w:p>
            <w:r/>
            <w:r>
              <w:rPr>
                <w:sz w:val="13"/>
              </w:rPr>
              <w:t>one_minus_load_factor_average; flex_composite</w:t>
            </w:r>
          </w:p>
        </w:tc>
      </w:tr>
      <w:tr>
        <w:tc>
          <w:tcPr>
            <w:tcW w:type="dxa" w:w="1824"/>
          </w:tcPr>
          <w:p>
            <w:r/>
            <w:r>
              <w:rPr>
                <w:sz w:val="13"/>
              </w:rPr>
              <w:t>VD</w:t>
            </w:r>
          </w:p>
        </w:tc>
        <w:tc>
          <w:tcPr>
            <w:tcW w:type="dxa" w:w="1824"/>
          </w:tcPr>
          <w:p>
            <w:r/>
            <w:r>
              <w:rPr>
                <w:sz w:val="13"/>
              </w:rPr>
              <w:t>D-VD.2 — Dim.1 emisiones totales</w:t>
            </w:r>
          </w:p>
        </w:tc>
        <w:tc>
          <w:tcPr>
            <w:tcW w:type="dxa" w:w="1824"/>
          </w:tcPr>
          <w:p>
            <w:r/>
            <w:r>
              <w:rPr>
                <w:sz w:val="13"/>
              </w:rPr>
              <w:t>Emisiones anuales agregadas del distrito.</w:t>
            </w:r>
          </w:p>
        </w:tc>
        <w:tc>
          <w:tcPr>
            <w:tcW w:type="dxa" w:w="1824"/>
          </w:tcPr>
          <w:p>
            <w:r/>
            <w:r>
              <w:rPr>
                <w:sz w:val="13"/>
              </w:rPr>
              <w:t>Liu et al. (2022); MINAM (2019)</w:t>
            </w:r>
          </w:p>
        </w:tc>
        <w:tc>
          <w:tcPr>
            <w:tcW w:type="dxa" w:w="1824"/>
          </w:tcPr>
          <w:p>
            <w:r/>
            <w:r>
              <w:rPr>
                <w:sz w:val="13"/>
              </w:rPr>
              <w:t>carbon_emissions_total</w:t>
            </w:r>
          </w:p>
        </w:tc>
      </w:tr>
      <w:tr>
        <w:tc>
          <w:tcPr>
            <w:tcW w:type="dxa" w:w="1824"/>
          </w:tcPr>
          <w:p>
            <w:r/>
            <w:r>
              <w:rPr>
                <w:sz w:val="13"/>
              </w:rPr>
              <w:t>VD</w:t>
            </w:r>
          </w:p>
        </w:tc>
        <w:tc>
          <w:tcPr>
            <w:tcW w:type="dxa" w:w="1824"/>
          </w:tcPr>
          <w:p>
            <w:r/>
            <w:r>
              <w:rPr>
                <w:sz w:val="13"/>
              </w:rPr>
              <w:t>D-VD.2 — Dim.2 delta CO2</w:t>
            </w:r>
          </w:p>
        </w:tc>
        <w:tc>
          <w:tcPr>
            <w:tcW w:type="dxa" w:w="1824"/>
          </w:tcPr>
          <w:p>
            <w:r/>
            <w:r>
              <w:rPr>
                <w:sz w:val="13"/>
              </w:rPr>
              <w:t>Reduccion frente a baseline CityLearn v2.</w:t>
            </w:r>
          </w:p>
        </w:tc>
        <w:tc>
          <w:tcPr>
            <w:tcW w:type="dxa" w:w="1824"/>
          </w:tcPr>
          <w:p>
            <w:r/>
            <w:r>
              <w:rPr>
                <w:sz w:val="13"/>
              </w:rPr>
              <w:t>Tranberg et al. (2020); Sarkar et al. (2024)</w:t>
            </w:r>
          </w:p>
        </w:tc>
        <w:tc>
          <w:tcPr>
            <w:tcW w:type="dxa" w:w="1824"/>
          </w:tcPr>
          <w:p>
            <w:r/>
            <w:r>
              <w:rPr>
                <w:sz w:val="13"/>
              </w:rPr>
              <w:t>carbon_emissions_delta</w:t>
            </w:r>
          </w:p>
        </w:tc>
      </w:tr>
      <w:tr>
        <w:tc>
          <w:tcPr>
            <w:tcW w:type="dxa" w:w="1824"/>
          </w:tcPr>
          <w:p>
            <w:r/>
            <w:r>
              <w:rPr>
                <w:sz w:val="13"/>
              </w:rPr>
              <w:t>VD</w:t>
            </w:r>
          </w:p>
        </w:tc>
        <w:tc>
          <w:tcPr>
            <w:tcW w:type="dxa" w:w="1824"/>
          </w:tcPr>
          <w:p>
            <w:r/>
            <w:r>
              <w:rPr>
                <w:sz w:val="13"/>
              </w:rPr>
              <w:t>D-VD.2 — Dim.3 consumo ponderado CI</w:t>
            </w:r>
          </w:p>
        </w:tc>
        <w:tc>
          <w:tcPr>
            <w:tcW w:type="dxa" w:w="1824"/>
          </w:tcPr>
          <w:p>
            <w:r/>
            <w:r>
              <w:rPr>
                <w:sz w:val="13"/>
              </w:rPr>
              <w:t>Importacion ponderada por intensidad de carbono horaria.</w:t>
            </w:r>
          </w:p>
        </w:tc>
        <w:tc>
          <w:tcPr>
            <w:tcW w:type="dxa" w:w="1824"/>
          </w:tcPr>
          <w:p>
            <w:r/>
            <w:r>
              <w:rPr>
                <w:sz w:val="13"/>
              </w:rPr>
              <w:t>Cao et al. (2023); Ye et al. (2025)</w:t>
            </w:r>
          </w:p>
        </w:tc>
        <w:tc>
          <w:tcPr>
            <w:tcW w:type="dxa" w:w="1824"/>
          </w:tcPr>
          <w:p>
            <w:r/>
            <w:r>
              <w:rPr>
                <w:sz w:val="13"/>
              </w:rPr>
              <w:t>CI-weighted consumption</w:t>
            </w:r>
          </w:p>
        </w:tc>
      </w:tr>
      <w:tr>
        <w:tc>
          <w:tcPr>
            <w:tcW w:type="dxa" w:w="1824"/>
          </w:tcPr>
          <w:p>
            <w:r/>
            <w:r>
              <w:rPr>
                <w:sz w:val="13"/>
              </w:rPr>
              <w:t>VD</w:t>
            </w:r>
          </w:p>
        </w:tc>
        <w:tc>
          <w:tcPr>
            <w:tcW w:type="dxa" w:w="1824"/>
          </w:tcPr>
          <w:p>
            <w:r/>
            <w:r>
              <w:rPr>
                <w:sz w:val="13"/>
              </w:rPr>
              <w:t>D-VD.3 — Dim.1 costo total</w:t>
            </w:r>
          </w:p>
        </w:tc>
        <w:tc>
          <w:tcPr>
            <w:tcW w:type="dxa" w:w="1824"/>
          </w:tcPr>
          <w:p>
            <w:r/>
            <w:r>
              <w:rPr>
                <w:sz w:val="13"/>
              </w:rPr>
              <w:t>Costo electrico anual agregado del distrito.</w:t>
            </w:r>
          </w:p>
        </w:tc>
        <w:tc>
          <w:tcPr>
            <w:tcW w:type="dxa" w:w="1824"/>
          </w:tcPr>
          <w:p>
            <w:r/>
            <w:r>
              <w:rPr>
                <w:sz w:val="13"/>
              </w:rPr>
              <w:t>Fang et al. (2021); Gao et al. (2023)</w:t>
            </w:r>
          </w:p>
        </w:tc>
        <w:tc>
          <w:tcPr>
            <w:tcW w:type="dxa" w:w="1824"/>
          </w:tcPr>
          <w:p>
            <w:r/>
            <w:r>
              <w:rPr>
                <w:sz w:val="13"/>
              </w:rPr>
              <w:t>electricity_cost_total</w:t>
            </w:r>
          </w:p>
        </w:tc>
      </w:tr>
      <w:tr>
        <w:tc>
          <w:tcPr>
            <w:tcW w:type="dxa" w:w="1824"/>
          </w:tcPr>
          <w:p>
            <w:r/>
            <w:r>
              <w:rPr>
                <w:sz w:val="13"/>
              </w:rPr>
              <w:t>VD</w:t>
            </w:r>
          </w:p>
        </w:tc>
        <w:tc>
          <w:tcPr>
            <w:tcW w:type="dxa" w:w="1824"/>
          </w:tcPr>
          <w:p>
            <w:r/>
            <w:r>
              <w:rPr>
                <w:sz w:val="13"/>
              </w:rPr>
              <w:t>D-VD.3 — Dim.2 delta costo</w:t>
            </w:r>
          </w:p>
        </w:tc>
        <w:tc>
          <w:tcPr>
            <w:tcW w:type="dxa" w:w="1824"/>
          </w:tcPr>
          <w:p>
            <w:r/>
            <w:r>
              <w:rPr>
                <w:sz w:val="13"/>
              </w:rPr>
              <w:t>Reduccion de costo frente a baseline.</w:t>
            </w:r>
          </w:p>
        </w:tc>
        <w:tc>
          <w:tcPr>
            <w:tcW w:type="dxa" w:w="1824"/>
          </w:tcPr>
          <w:p>
            <w:r/>
            <w:r>
              <w:rPr>
                <w:sz w:val="13"/>
              </w:rPr>
              <w:t>Dang et al. (2023); Xiong et al. (2024)</w:t>
            </w:r>
          </w:p>
        </w:tc>
        <w:tc>
          <w:tcPr>
            <w:tcW w:type="dxa" w:w="1824"/>
          </w:tcPr>
          <w:p>
            <w:r/>
            <w:r>
              <w:rPr>
                <w:sz w:val="13"/>
              </w:rPr>
              <w:t>electricity_cost_delta</w:t>
            </w:r>
          </w:p>
        </w:tc>
      </w:tr>
      <w:tr>
        <w:tc>
          <w:tcPr>
            <w:tcW w:type="dxa" w:w="1824"/>
          </w:tcPr>
          <w:p>
            <w:r/>
            <w:r>
              <w:rPr>
                <w:sz w:val="13"/>
              </w:rPr>
              <w:t>VD</w:t>
            </w:r>
          </w:p>
        </w:tc>
        <w:tc>
          <w:tcPr>
            <w:tcW w:type="dxa" w:w="1824"/>
          </w:tcPr>
          <w:p>
            <w:r/>
            <w:r>
              <w:rPr>
                <w:sz w:val="13"/>
              </w:rPr>
              <w:t>D-VD.3 — Dim.3 pico facturable</w:t>
            </w:r>
          </w:p>
        </w:tc>
        <w:tc>
          <w:tcPr>
            <w:tcW w:type="dxa" w:w="1824"/>
          </w:tcPr>
          <w:p>
            <w:r/>
            <w:r>
              <w:rPr>
                <w:sz w:val="13"/>
              </w:rPr>
              <w:t>Reduccion de demanda maxima en ventana de facturacion.</w:t>
            </w:r>
          </w:p>
        </w:tc>
        <w:tc>
          <w:tcPr>
            <w:tcW w:type="dxa" w:w="1824"/>
          </w:tcPr>
          <w:p>
            <w:r/>
            <w:r>
              <w:rPr>
                <w:sz w:val="13"/>
              </w:rPr>
              <w:t>OSINERGMIN (2024); Shojaeighadikolaei et al. (2022)</w:t>
            </w:r>
          </w:p>
        </w:tc>
        <w:tc>
          <w:tcPr>
            <w:tcW w:type="dxa" w:w="1824"/>
          </w:tcPr>
          <w:p>
            <w:r/>
            <w:r>
              <w:rPr>
                <w:sz w:val="13"/>
              </w:rPr>
              <w:t>peak_billing; price_signal_deviation</w:t>
            </w:r>
          </w:p>
        </w:tc>
      </w:tr>
    </w:tbl>
    <w:p/>
    <w:p>
      <w:pPr>
        <w:pStyle w:val="Heading2"/>
      </w:pPr>
      <w:r>
        <w:t>2.3 Bases teoricas por eje</w:t>
      </w:r>
    </w:p>
    <w:p>
      <w:pPr>
        <w:pStyle w:val="Heading3"/>
      </w:pPr>
      <w:r>
        <w:t>2.3.1 Flexibilidad energetica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2.3.2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2.3.3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pPr>
      <w:r>
        <w:t>2.3.4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120" w:line="276" w:lineRule="auto"/>
        <w:jc w:val="both"/>
      </w:pPr>
      <w: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120" w:line="276" w:lineRule="auto"/>
        <w:jc w:val="both"/>
      </w:pPr>
      <w: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r>
        <w:rPr>
          <w:b/>
          <w:color w:val="595959"/>
          <w:sz w:val="19"/>
        </w:rPr>
        <w:t>Tabla 2.3.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 (Lowe et al., 2017).</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HE.2.</w:t>
            </w:r>
          </w:p>
        </w:tc>
      </w:tr>
      <w:tr>
        <w:tc>
          <w:tcPr>
            <w:tcW w:type="dxa" w:w="1824"/>
          </w:tcPr>
          <w:p>
            <w:r/>
            <w:r>
              <w:rPr>
                <w:sz w:val="14"/>
              </w:rPr>
              <w:t>MAAC</w:t>
            </w:r>
          </w:p>
        </w:tc>
        <w:tc>
          <w:tcPr>
            <w:tcW w:type="dxa" w:w="1824"/>
          </w:tcPr>
          <w:p>
            <w:r/>
            <w:r>
              <w:rPr>
                <w:sz w:val="14"/>
              </w:rPr>
              <w:t>Critico con atencion multiagente (Iqbal y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2.3.5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r>
        <w:rPr>
          <w:b/>
          <w:color w:val="595959"/>
          <w:sz w:val="19"/>
        </w:rPr>
        <w:t>Tabla 2.6.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y Amato (2016); Iqbal y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2.4 Antecedentes</w:t>
      </w:r>
    </w:p>
    <w:p>
      <w:pPr>
        <w:spacing w:after="120" w:line="276" w:lineRule="auto"/>
        <w:jc w:val="both"/>
      </w:pPr>
      <w:r>
        <w:t>Los antecedentes se organizan en internacionales (Tabla 2.4), nacionales/peruanos (Tabla 2.5) y una sintesis critica de brecha cientifica. La Tabla 2.7 resume la relacion entre antecedentes, ejes teoricos y aportes de esta tesis.</w:t>
      </w:r>
    </w:p>
    <w:p>
      <w:r>
        <w:rPr>
          <w:b/>
          <w:color w:val="595959"/>
          <w:sz w:val="19"/>
        </w:rPr>
        <w:t>Tabla 2.7.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y Nagy (2019a, 2019b); Vazquez-Canteli et al. (2020); Nweye et al. (2023c, 2024); Nweye y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y Barto (2018); Oliehoek y Amato (2016); Lowe et al. (2017); Haarnoja et al. (2018); Iqbal y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3"/>
      </w:pPr>
      <w:r>
        <w:t>2.4.1 Antecedentes internacionales</w:t>
      </w:r>
    </w:p>
    <w:p>
      <w:pPr>
        <w:spacing w:after="120" w:line="276" w:lineRule="auto"/>
        <w:jc w:val="both"/>
      </w:pPr>
      <w: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r>
        <w:rPr>
          <w:b/>
          <w:color w:val="595959"/>
          <w:sz w:val="19"/>
        </w:rPr>
        <w:t>Tabla 2.4. 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Nweye et al. (2024)</w:t>
            </w:r>
          </w:p>
        </w:tc>
        <w:tc>
          <w:tcPr>
            <w:tcW w:type="dxa" w:w="1824"/>
          </w:tcPr>
          <w:p>
            <w:r/>
            <w:r>
              <w:rPr>
                <w:sz w:val="13"/>
              </w:rPr>
              <w:t>CityLearn v2: Energy-flexible, resilient, occupant-centric, and carbon-aware management of grid-interactive communities</w:t>
            </w:r>
          </w:p>
        </w:tc>
        <w:tc>
          <w:tcPr>
            <w:tcW w:type="dxa" w:w="1824"/>
          </w:tcPr>
          <w:p>
            <w:r/>
            <w:r>
              <w:rPr>
                <w:sz w:val="13"/>
              </w:rPr>
              <w:t>CityLearn; D-VD.1 flexibilidad; D-VD.2 CO2; D-VD.3 costos</w:t>
            </w:r>
          </w:p>
        </w:tc>
        <w:tc>
          <w:tcPr>
            <w:tcW w:type="dxa" w:w="1824"/>
          </w:tcPr>
          <w:p>
            <w:r/>
            <w:r>
              <w:rPr>
                <w:sz w:val="13"/>
              </w:rPr>
              <w:t>Entorno base oficial y KPIs D-VD.1-D-VD.3; justifica extension CityLearn v3 propuesto con Dec-POMDP/CTDE y cuatro backends MADRL.</w:t>
            </w:r>
          </w:p>
        </w:tc>
        <w:tc>
          <w:tcPr>
            <w:tcW w:type="dxa" w:w="1824"/>
          </w:tcPr>
          <w:p>
            <w:r/>
            <w:r>
              <w:rPr>
                <w:sz w:val="13"/>
              </w:rPr>
              <w:t>10.1080/19401493.2024.2418813</w:t>
            </w:r>
          </w:p>
        </w:tc>
      </w:tr>
      <w:tr>
        <w:tc>
          <w:tcPr>
            <w:tcW w:type="dxa" w:w="1824"/>
          </w:tcPr>
          <w:p>
            <w:r/>
            <w:r>
              <w:rPr>
                <w:sz w:val="13"/>
              </w:rPr>
              <w:t>Nweye et al. (2023b)</w:t>
            </w:r>
          </w:p>
        </w:tc>
        <w:tc>
          <w:tcPr>
            <w:tcW w:type="dxa" w:w="1824"/>
          </w:tcPr>
          <w:p>
            <w:r/>
            <w:r>
              <w:rPr>
                <w:sz w:val="13"/>
              </w:rPr>
              <w:t>Heterogeneous Multi-Agent Reinforcement Learning for Grid-Interactive Communities</w:t>
            </w:r>
          </w:p>
        </w:tc>
        <w:tc>
          <w:tcPr>
            <w:tcW w:type="dxa" w:w="1824"/>
          </w:tcPr>
          <w:p>
            <w:r/>
            <w:r>
              <w:rPr>
                <w:sz w:val="13"/>
              </w:rPr>
              <w:t>VI HAPPO; CityLearn; D-VD.1 flexibilidad; CTDE; Dec-POMDP</w:t>
            </w:r>
          </w:p>
        </w:tc>
        <w:tc>
          <w:tcPr>
            <w:tcW w:type="dxa" w:w="1824"/>
          </w:tcPr>
          <w:p>
            <w:r/>
            <w:r>
              <w:rPr>
                <w:sz w:val="13"/>
              </w:rPr>
              <w:t>Antecedente directo del backend HAPPO a escala multiedificio; precedente mas cercano antes de comparar HAPPO, MASAC, MATD3 y MAAC bajo recompensa unificada.</w:t>
            </w:r>
          </w:p>
        </w:tc>
        <w:tc>
          <w:tcPr>
            <w:tcW w:type="dxa" w:w="1824"/>
          </w:tcPr>
          <w:p>
            <w:r/>
            <w:r>
              <w:rPr>
                <w:sz w:val="13"/>
              </w:rPr>
              <w:t>10.1145/3600100.3626276</w:t>
            </w:r>
          </w:p>
        </w:tc>
      </w:tr>
      <w:tr>
        <w:tc>
          <w:tcPr>
            <w:tcW w:type="dxa" w:w="1824"/>
          </w:tcPr>
          <w:p>
            <w:r/>
            <w:r>
              <w:rPr>
                <w:sz w:val="13"/>
              </w:rPr>
              <w:t>Yao et al. (2023)</w:t>
            </w:r>
          </w:p>
        </w:tc>
        <w:tc>
          <w:tcPr>
            <w:tcW w:type="dxa" w:w="1824"/>
          </w:tcPr>
          <w:p>
            <w:r/>
            <w:r>
              <w:rPr>
                <w:sz w:val="13"/>
              </w:rPr>
              <w:t>Multi-Agent Reinforcement Learning for Smart Community Energy Management</w:t>
            </w:r>
          </w:p>
        </w:tc>
        <w:tc>
          <w:tcPr>
            <w:tcW w:type="dxa" w:w="1824"/>
          </w:tcPr>
          <w:p>
            <w:r/>
            <w:r>
              <w:rPr>
                <w:sz w:val="13"/>
              </w:rPr>
              <w:t>MADRL; D-VD.1 flexibilidad; D-VD.3 costos; PV+BESS+EV</w:t>
            </w:r>
          </w:p>
        </w:tc>
        <w:tc>
          <w:tcPr>
            <w:tcW w:type="dxa" w:w="1824"/>
          </w:tcPr>
          <w:p>
            <w:r/>
            <w:r>
              <w:rPr>
                <w:sz w:val="13"/>
              </w:rPr>
              <w:t>Referente de flexibilidad y costos (OE.1/OE.3) para contrastar si MATD3/MAAC superan mejoras reportadas (~15-18%) bajo dataset SEAI Iquitos.</w:t>
            </w:r>
          </w:p>
        </w:tc>
        <w:tc>
          <w:tcPr>
            <w:tcW w:type="dxa" w:w="1824"/>
          </w:tcPr>
          <w:p>
            <w:r/>
            <w:r>
              <w:rPr>
                <w:sz w:val="13"/>
              </w:rPr>
              <w:t>10.3390/en17205211</w:t>
            </w:r>
          </w:p>
        </w:tc>
      </w:tr>
      <w:tr>
        <w:tc>
          <w:tcPr>
            <w:tcW w:type="dxa" w:w="1824"/>
          </w:tcPr>
          <w:p>
            <w:r/>
            <w:r>
              <w:rPr>
                <w:sz w:val="13"/>
              </w:rPr>
              <w:t>Liu et al. (2022)</w:t>
            </w:r>
          </w:p>
        </w:tc>
        <w:tc>
          <w:tcPr>
            <w:tcW w:type="dxa" w:w="1824"/>
          </w:tcPr>
          <w:p>
            <w:r/>
            <w:r>
              <w:rPr>
                <w:sz w:val="13"/>
              </w:rPr>
              <w:t>Multi-agent deep reinforcement learning for building energy system with renewable energy</w:t>
            </w:r>
          </w:p>
        </w:tc>
        <w:tc>
          <w:tcPr>
            <w:tcW w:type="dxa" w:w="1824"/>
          </w:tcPr>
          <w:p>
            <w:r/>
            <w:r>
              <w:rPr>
                <w:sz w:val="13"/>
              </w:rPr>
              <w:t>MADRL; D-VD.2 CO2; D-VD.3 costos; BESS+PV</w:t>
            </w:r>
          </w:p>
        </w:tc>
        <w:tc>
          <w:tcPr>
            <w:tcW w:type="dxa" w:w="1824"/>
          </w:tcPr>
          <w:p>
            <w:r/>
            <w:r>
              <w:rPr>
                <w:sz w:val="13"/>
              </w:rPr>
              <w:t>Antecedente de D-VD.2 y D-VD.3 para contrastar deltas de CO2 y costo de MATD3/MAAC en escenario E2/E3 del SEAI Iquitos.</w:t>
            </w:r>
          </w:p>
        </w:tc>
        <w:tc>
          <w:tcPr>
            <w:tcW w:type="dxa" w:w="1824"/>
          </w:tcPr>
          <w:p>
            <w:r/>
            <w:r>
              <w:rPr>
                <w:sz w:val="13"/>
              </w:rPr>
              <w:t>10.1016/j.apenergy.2022.118703</w:t>
            </w:r>
          </w:p>
        </w:tc>
      </w:tr>
      <w:tr>
        <w:tc>
          <w:tcPr>
            <w:tcW w:type="dxa" w:w="1824"/>
          </w:tcPr>
          <w:p>
            <w:r/>
            <w:r>
              <w:rPr>
                <w:sz w:val="13"/>
              </w:rPr>
              <w:t>Iqbal y Sha (2019)</w:t>
            </w:r>
          </w:p>
        </w:tc>
        <w:tc>
          <w:tcPr>
            <w:tcW w:type="dxa" w:w="1824"/>
          </w:tcPr>
          <w:p>
            <w:r/>
            <w:r>
              <w:rPr>
                <w:sz w:val="13"/>
              </w:rPr>
              <w:t>Actor-Attention-Critic for Multi-Agent Reinforcement Learning</w:t>
            </w:r>
          </w:p>
        </w:tc>
        <w:tc>
          <w:tcPr>
            <w:tcW w:type="dxa" w:w="1824"/>
          </w:tcPr>
          <w:p>
            <w:r/>
            <w:r>
              <w:rPr>
                <w:sz w:val="13"/>
              </w:rPr>
              <w:t>VI MAAC; CTDE; Dec-POMDP/POMDP cooperativo</w:t>
            </w:r>
          </w:p>
        </w:tc>
        <w:tc>
          <w:tcPr>
            <w:tcW w:type="dxa" w:w="1824"/>
          </w:tcPr>
          <w:p>
            <w:r/>
            <w:r>
              <w:rPr>
                <w:sz w:val="13"/>
              </w:rPr>
              <w:t>Fundamento del backend MAAC; explica por que MAAC puede liderar costos (OE.3) al ponderar interacciones entre edificios bajo senales TOU.</w:t>
            </w:r>
          </w:p>
        </w:tc>
        <w:tc>
          <w:tcPr>
            <w:tcW w:type="dxa" w:w="1824"/>
          </w:tcPr>
          <w:p>
            <w:r/>
            <w:r>
              <w:rPr>
                <w:sz w:val="13"/>
              </w:rPr>
              <w:t>proceedings.mlr.press/v97/iqbal19a.html</w:t>
            </w:r>
          </w:p>
        </w:tc>
      </w:tr>
    </w:tbl>
    <w:p/>
    <w:p>
      <w:pPr>
        <w:pStyle w:val="Heading4"/>
      </w:pPr>
      <w:r>
        <w:t>Nweye et al. (2024)</w:t>
      </w:r>
    </w:p>
    <w:p>
      <w:r>
        <w:rPr>
          <w:b/>
          <w:color w:val="595959"/>
          <w:sz w:val="19"/>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CityLearn v2: Energy-flexible, resilient, occupant-centric, and carbon-aware management of grid-interactive communities</w:t>
            </w:r>
          </w:p>
        </w:tc>
      </w:tr>
      <w:tr>
        <w:tc>
          <w:tcPr>
            <w:tcW w:type="dxa" w:w="4561"/>
          </w:tcPr>
          <w:p>
            <w:r/>
            <w:r>
              <w:rPr>
                <w:sz w:val="14"/>
              </w:rPr>
              <w:t>Objetivo general</w:t>
            </w:r>
          </w:p>
        </w:tc>
        <w:tc>
          <w:tcPr>
            <w:tcW w:type="dxa" w:w="4561"/>
          </w:tcPr>
          <w:p>
            <w:r/>
            <w:r>
              <w:rPr>
                <w:sz w:val="14"/>
              </w:rPr>
              <w:t>Desarrollar CityLearn v2 integrando EV/V2G, intensidad de carbono dinamica, BESS, PV y KPIs de flexibilidad, emisiones y costos en comunidades grid-interactive.</w:t>
            </w:r>
          </w:p>
        </w:tc>
      </w:tr>
      <w:tr>
        <w:tc>
          <w:tcPr>
            <w:tcW w:type="dxa" w:w="4561"/>
          </w:tcPr>
          <w:p>
            <w:r/>
            <w:r>
              <w:rPr>
                <w:sz w:val="14"/>
              </w:rPr>
              <w:t>Tipo de metodologia</w:t>
            </w:r>
          </w:p>
        </w:tc>
        <w:tc>
          <w:tcPr>
            <w:tcW w:type="dxa" w:w="4561"/>
          </w:tcPr>
          <w:p>
            <w:r/>
            <w:r>
              <w:rPr>
                <w:sz w:val="14"/>
              </w:rPr>
              <w:t>Desarrollo de entorno de simulacion; evaluacion multiobjetivo con SAC, RBC y MPC.</w:t>
            </w:r>
          </w:p>
        </w:tc>
      </w:tr>
      <w:tr>
        <w:tc>
          <w:tcPr>
            <w:tcW w:type="dxa" w:w="4561"/>
          </w:tcPr>
          <w:p>
            <w:r/>
            <w:r>
              <w:rPr>
                <w:sz w:val="14"/>
              </w:rPr>
              <w:t>Diseno de investigacion</w:t>
            </w:r>
          </w:p>
        </w:tc>
        <w:tc>
          <w:tcPr>
            <w:tcW w:type="dxa" w:w="4561"/>
          </w:tcPr>
          <w:p>
            <w:r/>
            <w:r>
              <w:rPr>
                <w:sz w:val="14"/>
              </w:rPr>
              <w:t>Aplicada; no experimental; simulacion comparativa en CityLearn v2.</w:t>
            </w:r>
          </w:p>
        </w:tc>
      </w:tr>
      <w:tr>
        <w:tc>
          <w:tcPr>
            <w:tcW w:type="dxa" w:w="4561"/>
          </w:tcPr>
          <w:p>
            <w:r/>
            <w:r>
              <w:rPr>
                <w:sz w:val="14"/>
              </w:rPr>
              <w:t>Resultados cuantitativos</w:t>
            </w:r>
          </w:p>
        </w:tc>
        <w:tc>
          <w:tcPr>
            <w:tcW w:type="dxa" w:w="4561"/>
          </w:tcPr>
          <w:p>
            <w:r/>
            <w:r>
              <w:rPr>
                <w:sz w:val="14"/>
              </w:rPr>
              <w:t>KPIs distritales y por edificio (peak_average, ramping, carbon_emissions, electricity_cost); magnitudes especificas dependen de configuracion experimental.</w:t>
            </w:r>
          </w:p>
        </w:tc>
      </w:tr>
      <w:tr>
        <w:tc>
          <w:tcPr>
            <w:tcW w:type="dxa" w:w="4561"/>
          </w:tcPr>
          <w:p>
            <w:r/>
            <w:r>
              <w:rPr>
                <w:sz w:val="14"/>
              </w:rPr>
              <w:t>Conclusion general</w:t>
            </w:r>
          </w:p>
        </w:tc>
        <w:tc>
          <w:tcPr>
            <w:tcW w:type="dxa" w:w="4561"/>
          </w:tcPr>
          <w:p>
            <w:r/>
            <w:r>
              <w:rPr>
                <w:sz w:val="14"/>
              </w:rPr>
              <w:t>CityLearn v2 habilita investigacion reproducible en comunidades inteligentes multidimensionales con flexibilidad, carbono y costo.</w:t>
            </w:r>
          </w:p>
        </w:tc>
      </w:tr>
      <w:tr>
        <w:tc>
          <w:tcPr>
            <w:tcW w:type="dxa" w:w="4561"/>
          </w:tcPr>
          <w:p>
            <w:r/>
            <w:r>
              <w:rPr>
                <w:sz w:val="14"/>
              </w:rPr>
              <w:t>Aporte para esta tesis</w:t>
            </w:r>
          </w:p>
        </w:tc>
        <w:tc>
          <w:tcPr>
            <w:tcW w:type="dxa" w:w="4561"/>
          </w:tcPr>
          <w:p>
            <w:r/>
            <w:r>
              <w:rPr>
                <w:sz w:val="14"/>
              </w:rPr>
              <w:t>Entorno base oficial y KPIs D-VD.1-D-VD.3; justifica extension CityLearn v3 propuesto con Dec-POMDP/CTDE y cuatro backends MADRL.</w:t>
            </w:r>
          </w:p>
        </w:tc>
      </w:tr>
    </w:tbl>
    <w:p/>
    <w:p>
      <w:pPr>
        <w:pStyle w:val="Heading4"/>
      </w:pPr>
      <w:r>
        <w:t>Nweye et al. (2023b)</w:t>
      </w:r>
    </w:p>
    <w:p>
      <w:r>
        <w:rPr>
          <w:b/>
          <w:color w:val="595959"/>
          <w:sz w:val="19"/>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Heterogeneous Multi-Agent Reinforcement Learning for Grid-Interactive Communities</w:t>
            </w:r>
          </w:p>
        </w:tc>
      </w:tr>
      <w:tr>
        <w:tc>
          <w:tcPr>
            <w:tcW w:type="dxa" w:w="4561"/>
          </w:tcPr>
          <w:p>
            <w:r/>
            <w:r>
              <w:rPr>
                <w:sz w:val="14"/>
              </w:rPr>
              <w:t>Objetivo general</w:t>
            </w:r>
          </w:p>
        </w:tc>
        <w:tc>
          <w:tcPr>
            <w:tcW w:type="dxa" w:w="4561"/>
          </w:tcPr>
          <w:p>
            <w:r/>
            <w:r>
              <w:rPr>
                <w:sz w:val="14"/>
              </w:rPr>
              <w:t>Evaluar HARL/HAPPO para gestion energetica heterogenea en comunidades grid-interactive modeladas en CityLearn.</w:t>
            </w:r>
          </w:p>
        </w:tc>
      </w:tr>
      <w:tr>
        <w:tc>
          <w:tcPr>
            <w:tcW w:type="dxa" w:w="4561"/>
          </w:tcPr>
          <w:p>
            <w:r/>
            <w:r>
              <w:rPr>
                <w:sz w:val="14"/>
              </w:rPr>
              <w:t>Tipo de metodologia</w:t>
            </w:r>
          </w:p>
        </w:tc>
        <w:tc>
          <w:tcPr>
            <w:tcW w:type="dxa" w:w="4561"/>
          </w:tcPr>
          <w:p>
            <w:r/>
            <w:r>
              <w:rPr>
                <w:sz w:val="14"/>
              </w:rPr>
              <w:t>MARL heterogeneo on-policy (HAPPO/HARL) bajo CTDE en CityLearn.</w:t>
            </w:r>
          </w:p>
        </w:tc>
      </w:tr>
      <w:tr>
        <w:tc>
          <w:tcPr>
            <w:tcW w:type="dxa" w:w="4561"/>
          </w:tcPr>
          <w:p>
            <w:r/>
            <w:r>
              <w:rPr>
                <w:sz w:val="14"/>
              </w:rPr>
              <w:t>Diseno de investigacion</w:t>
            </w:r>
          </w:p>
        </w:tc>
        <w:tc>
          <w:tcPr>
            <w:tcW w:type="dxa" w:w="4561"/>
          </w:tcPr>
          <w:p>
            <w:r/>
            <w:r>
              <w:rPr>
                <w:sz w:val="14"/>
              </w:rPr>
              <w:t>Aplicada; no experimental; simulacion CityLearn con agentes heterogeneos.</w:t>
            </w:r>
          </w:p>
        </w:tc>
      </w:tr>
      <w:tr>
        <w:tc>
          <w:tcPr>
            <w:tcW w:type="dxa" w:w="4561"/>
          </w:tcPr>
          <w:p>
            <w:r/>
            <w:r>
              <w:rPr>
                <w:sz w:val="14"/>
              </w:rPr>
              <w:t>Resultados cuantitativos</w:t>
            </w:r>
          </w:p>
        </w:tc>
        <w:tc>
          <w:tcPr>
            <w:tcW w:type="dxa" w:w="4561"/>
          </w:tcPr>
          <w:p>
            <w:r/>
            <w:r>
              <w:rPr>
                <w:sz w:val="14"/>
              </w:rPr>
              <w:t>HAPPO heterogeneo comparable o superior a MAPPO en KPIs CityLearn (peak, ramping, emisiones, costo); magnitudes exactas [PV] por configuracion.</w:t>
            </w:r>
          </w:p>
        </w:tc>
      </w:tr>
      <w:tr>
        <w:tc>
          <w:tcPr>
            <w:tcW w:type="dxa" w:w="4561"/>
          </w:tcPr>
          <w:p>
            <w:r/>
            <w:r>
              <w:rPr>
                <w:sz w:val="14"/>
              </w:rPr>
              <w:t>Conclusion general</w:t>
            </w:r>
          </w:p>
        </w:tc>
        <w:tc>
          <w:tcPr>
            <w:tcW w:type="dxa" w:w="4561"/>
          </w:tcPr>
          <w:p>
            <w:r/>
            <w:r>
              <w:rPr>
                <w:sz w:val="14"/>
              </w:rPr>
              <w:t>HAPPO es viable para coordinacion heterogenea en comunidades inteligentes grid-interactive.</w:t>
            </w:r>
          </w:p>
        </w:tc>
      </w:tr>
      <w:tr>
        <w:tc>
          <w:tcPr>
            <w:tcW w:type="dxa" w:w="4561"/>
          </w:tcPr>
          <w:p>
            <w:r/>
            <w:r>
              <w:rPr>
                <w:sz w:val="14"/>
              </w:rPr>
              <w:t>Aporte para esta tesis</w:t>
            </w:r>
          </w:p>
        </w:tc>
        <w:tc>
          <w:tcPr>
            <w:tcW w:type="dxa" w:w="4561"/>
          </w:tcPr>
          <w:p>
            <w:r/>
            <w:r>
              <w:rPr>
                <w:sz w:val="14"/>
              </w:rPr>
              <w:t>Antecedente directo del backend HAPPO a escala multiedificio; precedente mas cercano antes de comparar HAPPO, MASAC, MATD3 y MAAC bajo recompensa unificada.</w:t>
            </w:r>
          </w:p>
        </w:tc>
      </w:tr>
    </w:tbl>
    <w:p/>
    <w:p>
      <w:pPr>
        <w:pStyle w:val="Heading4"/>
      </w:pPr>
      <w:r>
        <w:t>Yao et al. (2023)</w:t>
      </w:r>
    </w:p>
    <w:p>
      <w:r>
        <w:rPr>
          <w:b/>
          <w:color w:val="595959"/>
          <w:sz w:val="19"/>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Reinforcement Learning for Smart Community Energy Management</w:t>
            </w:r>
          </w:p>
        </w:tc>
      </w:tr>
      <w:tr>
        <w:tc>
          <w:tcPr>
            <w:tcW w:type="dxa" w:w="4561"/>
          </w:tcPr>
          <w:p>
            <w:r/>
            <w:r>
              <w:rPr>
                <w:sz w:val="14"/>
              </w:rPr>
              <w:t>Objetivo general</w:t>
            </w:r>
          </w:p>
        </w:tc>
        <w:tc>
          <w:tcPr>
            <w:tcW w:type="dxa" w:w="4561"/>
          </w:tcPr>
          <w:p>
            <w:r/>
            <w:r>
              <w:rPr>
                <w:sz w:val="14"/>
              </w:rPr>
              <w:t>Proponer un marco MARL (LSD-MADDPG) para gestion coordinada de energia en comunidades inteligentes con PV, BESS y EV.</w:t>
            </w:r>
          </w:p>
        </w:tc>
      </w:tr>
      <w:tr>
        <w:tc>
          <w:tcPr>
            <w:tcW w:type="dxa" w:w="4561"/>
          </w:tcPr>
          <w:p>
            <w:r/>
            <w:r>
              <w:rPr>
                <w:sz w:val="14"/>
              </w:rPr>
              <w:t>Tipo de metodologia</w:t>
            </w:r>
          </w:p>
        </w:tc>
        <w:tc>
          <w:tcPr>
            <w:tcW w:type="dxa" w:w="4561"/>
          </w:tcPr>
          <w:p>
            <w:r/>
            <w:r>
              <w:rPr>
                <w:sz w:val="14"/>
              </w:rPr>
              <w:t>MARL cooperativo con estrategia local descentralizada (LSD-MADDPG); CTDE.</w:t>
            </w:r>
          </w:p>
        </w:tc>
      </w:tr>
      <w:tr>
        <w:tc>
          <w:tcPr>
            <w:tcW w:type="dxa" w:w="4561"/>
          </w:tcPr>
          <w:p>
            <w:r/>
            <w:r>
              <w:rPr>
                <w:sz w:val="14"/>
              </w:rPr>
              <w:t>Diseno de investigacion</w:t>
            </w:r>
          </w:p>
        </w:tc>
        <w:tc>
          <w:tcPr>
            <w:tcW w:type="dxa" w:w="4561"/>
          </w:tcPr>
          <w:p>
            <w:r/>
            <w:r>
              <w:rPr>
                <w:sz w:val="14"/>
              </w:rPr>
              <w:t>Aplicada; no experimental; simulacion de comunidad inteligente sintetica.</w:t>
            </w:r>
          </w:p>
        </w:tc>
      </w:tr>
      <w:tr>
        <w:tc>
          <w:tcPr>
            <w:tcW w:type="dxa" w:w="4561"/>
          </w:tcPr>
          <w:p>
            <w:r/>
            <w:r>
              <w:rPr>
                <w:sz w:val="14"/>
              </w:rPr>
              <w:t>Resultados cuantitativos</w:t>
            </w:r>
          </w:p>
        </w:tc>
        <w:tc>
          <w:tcPr>
            <w:tcW w:type="dxa" w:w="4561"/>
          </w:tcPr>
          <w:p>
            <w:r/>
            <w:r>
              <w:rPr>
                <w:sz w:val="14"/>
              </w:rPr>
              <w:t>Reduccion de costo ~18% y de pico ~15% frente a MADDPG no cooperativo.</w:t>
            </w:r>
          </w:p>
        </w:tc>
      </w:tr>
      <w:tr>
        <w:tc>
          <w:tcPr>
            <w:tcW w:type="dxa" w:w="4561"/>
          </w:tcPr>
          <w:p>
            <w:r/>
            <w:r>
              <w:rPr>
                <w:sz w:val="14"/>
              </w:rPr>
              <w:t>Conclusion general</w:t>
            </w:r>
          </w:p>
        </w:tc>
        <w:tc>
          <w:tcPr>
            <w:tcW w:type="dxa" w:w="4561"/>
          </w:tcPr>
          <w:p>
            <w:r/>
            <w:r>
              <w:rPr>
                <w:sz w:val="14"/>
              </w:rPr>
              <w:t>La estrategia local MARL mejora coordinacion y reduce fallos de escalabilidad en comunidades con DER.</w:t>
            </w:r>
          </w:p>
        </w:tc>
      </w:tr>
      <w:tr>
        <w:tc>
          <w:tcPr>
            <w:tcW w:type="dxa" w:w="4561"/>
          </w:tcPr>
          <w:p>
            <w:r/>
            <w:r>
              <w:rPr>
                <w:sz w:val="14"/>
              </w:rPr>
              <w:t>Aporte para esta tesis</w:t>
            </w:r>
          </w:p>
        </w:tc>
        <w:tc>
          <w:tcPr>
            <w:tcW w:type="dxa" w:w="4561"/>
          </w:tcPr>
          <w:p>
            <w:r/>
            <w:r>
              <w:rPr>
                <w:sz w:val="14"/>
              </w:rPr>
              <w:t>Referente de flexibilidad y costos (OE.1/OE.3) para contrastar si MATD3/MAAC superan mejoras reportadas (~15-18%) bajo dataset SEAI Iquitos.</w:t>
            </w:r>
          </w:p>
        </w:tc>
      </w:tr>
    </w:tbl>
    <w:p/>
    <w:p>
      <w:pPr>
        <w:pStyle w:val="Heading4"/>
      </w:pPr>
      <w:r>
        <w:t>Liu et al. (2022)</w:t>
      </w:r>
    </w:p>
    <w:p>
      <w:r>
        <w:rPr>
          <w:b/>
          <w:color w:val="595959"/>
          <w:sz w:val="19"/>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deep reinforcement learning for building energy system with renewable energy</w:t>
            </w:r>
          </w:p>
        </w:tc>
      </w:tr>
      <w:tr>
        <w:tc>
          <w:tcPr>
            <w:tcW w:type="dxa" w:w="4561"/>
          </w:tcPr>
          <w:p>
            <w:r/>
            <w:r>
              <w:rPr>
                <w:sz w:val="14"/>
              </w:rPr>
              <w:t>Objetivo general</w:t>
            </w:r>
          </w:p>
        </w:tc>
        <w:tc>
          <w:tcPr>
            <w:tcW w:type="dxa" w:w="4561"/>
          </w:tcPr>
          <w:p>
            <w:r/>
            <w:r>
              <w:rPr>
                <w:sz w:val="14"/>
              </w:rPr>
              <w:t>Proponer MADRL (MADDPG) para coordinar BESS y PV en edificios con energia renovable bajo incertidumbre operativa.</w:t>
            </w:r>
          </w:p>
        </w:tc>
      </w:tr>
      <w:tr>
        <w:tc>
          <w:tcPr>
            <w:tcW w:type="dxa" w:w="4561"/>
          </w:tcPr>
          <w:p>
            <w:r/>
            <w:r>
              <w:rPr>
                <w:sz w:val="14"/>
              </w:rPr>
              <w:t>Tipo de metodologia</w:t>
            </w:r>
          </w:p>
        </w:tc>
        <w:tc>
          <w:tcPr>
            <w:tcW w:type="dxa" w:w="4561"/>
          </w:tcPr>
          <w:p>
            <w:r/>
            <w:r>
              <w:rPr>
                <w:sz w:val="14"/>
              </w:rPr>
              <w:t>MADDPG cooperativo con critico centralizado; comparacion con control basado en reglas.</w:t>
            </w:r>
          </w:p>
        </w:tc>
      </w:tr>
      <w:tr>
        <w:tc>
          <w:tcPr>
            <w:tcW w:type="dxa" w:w="4561"/>
          </w:tcPr>
          <w:p>
            <w:r/>
            <w:r>
              <w:rPr>
                <w:sz w:val="14"/>
              </w:rPr>
              <w:t>Diseno de investigacion</w:t>
            </w:r>
          </w:p>
        </w:tc>
        <w:tc>
          <w:tcPr>
            <w:tcW w:type="dxa" w:w="4561"/>
          </w:tcPr>
          <w:p>
            <w:r/>
            <w:r>
              <w:rPr>
                <w:sz w:val="14"/>
              </w:rPr>
              <w:t>Aplicada; no experimental; simulacion con datos reales de edificios en China.</w:t>
            </w:r>
          </w:p>
        </w:tc>
      </w:tr>
      <w:tr>
        <w:tc>
          <w:tcPr>
            <w:tcW w:type="dxa" w:w="4561"/>
          </w:tcPr>
          <w:p>
            <w:r/>
            <w:r>
              <w:rPr>
                <w:sz w:val="14"/>
              </w:rPr>
              <w:t>Resultados cuantitativos</w:t>
            </w:r>
          </w:p>
        </w:tc>
        <w:tc>
          <w:tcPr>
            <w:tcW w:type="dxa" w:w="4561"/>
          </w:tcPr>
          <w:p>
            <w:r/>
            <w:r>
              <w:rPr>
                <w:sz w:val="14"/>
              </w:rPr>
              <w:t>Reduccion de costo ~20% y de emisiones CO2 ~15% frente a reglas.</w:t>
            </w:r>
          </w:p>
        </w:tc>
      </w:tr>
      <w:tr>
        <w:tc>
          <w:tcPr>
            <w:tcW w:type="dxa" w:w="4561"/>
          </w:tcPr>
          <w:p>
            <w:r/>
            <w:r>
              <w:rPr>
                <w:sz w:val="14"/>
              </w:rPr>
              <w:t>Conclusion general</w:t>
            </w:r>
          </w:p>
        </w:tc>
        <w:tc>
          <w:tcPr>
            <w:tcW w:type="dxa" w:w="4561"/>
          </w:tcPr>
          <w:p>
            <w:r/>
            <w:r>
              <w:rPr>
                <w:sz w:val="14"/>
              </w:rPr>
              <w:t>MADRL cooperativo supera agentes independientes en eficiencia energetica y emisiones.</w:t>
            </w:r>
          </w:p>
        </w:tc>
      </w:tr>
      <w:tr>
        <w:tc>
          <w:tcPr>
            <w:tcW w:type="dxa" w:w="4561"/>
          </w:tcPr>
          <w:p>
            <w:r/>
            <w:r>
              <w:rPr>
                <w:sz w:val="14"/>
              </w:rPr>
              <w:t>Aporte para esta tesis</w:t>
            </w:r>
          </w:p>
        </w:tc>
        <w:tc>
          <w:tcPr>
            <w:tcW w:type="dxa" w:w="4561"/>
          </w:tcPr>
          <w:p>
            <w:r/>
            <w:r>
              <w:rPr>
                <w:sz w:val="14"/>
              </w:rPr>
              <w:t>Antecedente de D-VD.2 y D-VD.3 para contrastar deltas de CO2 y costo de MATD3/MAAC en escenario E2/E3 del SEAI Iquitos.</w:t>
            </w:r>
          </w:p>
        </w:tc>
      </w:tr>
    </w:tbl>
    <w:p/>
    <w:p>
      <w:pPr>
        <w:pStyle w:val="Heading4"/>
      </w:pPr>
      <w:r>
        <w:t>Iqbal y Sha (2019)</w:t>
      </w:r>
    </w:p>
    <w:p>
      <w:r>
        <w:rPr>
          <w:b/>
          <w:color w:val="595959"/>
          <w:sz w:val="19"/>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Actor-Attention-Critic for Multi-Agent Reinforcement Learning</w:t>
            </w:r>
          </w:p>
        </w:tc>
      </w:tr>
      <w:tr>
        <w:tc>
          <w:tcPr>
            <w:tcW w:type="dxa" w:w="4561"/>
          </w:tcPr>
          <w:p>
            <w:r/>
            <w:r>
              <w:rPr>
                <w:sz w:val="14"/>
              </w:rPr>
              <w:t>Objetivo general</w:t>
            </w:r>
          </w:p>
        </w:tc>
        <w:tc>
          <w:tcPr>
            <w:tcW w:type="dxa" w:w="4561"/>
          </w:tcPr>
          <w:p>
            <w:r/>
            <w:r>
              <w:rPr>
                <w:sz w:val="14"/>
              </w:rPr>
              <w:t>Introducir mecanismos de atencion en el critico centralizado MARL para coordinacion selectiva bajo observabilidad parcial.</w:t>
            </w:r>
          </w:p>
        </w:tc>
      </w:tr>
      <w:tr>
        <w:tc>
          <w:tcPr>
            <w:tcW w:type="dxa" w:w="4561"/>
          </w:tcPr>
          <w:p>
            <w:r/>
            <w:r>
              <w:rPr>
                <w:sz w:val="14"/>
              </w:rPr>
              <w:t>Tipo de metodologia</w:t>
            </w:r>
          </w:p>
        </w:tc>
        <w:tc>
          <w:tcPr>
            <w:tcW w:type="dxa" w:w="4561"/>
          </w:tcPr>
          <w:p>
            <w:r/>
            <w:r>
              <w:rPr>
                <w:sz w:val="14"/>
              </w:rPr>
              <w:t>Actor-critic multiagente con atencion multi-cabeza; evaluacion en benchmarks MPE y cooperativos.</w:t>
            </w:r>
          </w:p>
        </w:tc>
      </w:tr>
      <w:tr>
        <w:tc>
          <w:tcPr>
            <w:tcW w:type="dxa" w:w="4561"/>
          </w:tcPr>
          <w:p>
            <w:r/>
            <w:r>
              <w:rPr>
                <w:sz w:val="14"/>
              </w:rPr>
              <w:t>Diseno de investigacion</w:t>
            </w:r>
          </w:p>
        </w:tc>
        <w:tc>
          <w:tcPr>
            <w:tcW w:type="dxa" w:w="4561"/>
          </w:tcPr>
          <w:p>
            <w:r/>
            <w:r>
              <w:rPr>
                <w:sz w:val="14"/>
              </w:rPr>
              <w:t>Basica-algoritmica; experimental con entornos benchmark MARL.</w:t>
            </w:r>
          </w:p>
        </w:tc>
      </w:tr>
      <w:tr>
        <w:tc>
          <w:tcPr>
            <w:tcW w:type="dxa" w:w="4561"/>
          </w:tcPr>
          <w:p>
            <w:r/>
            <w:r>
              <w:rPr>
                <w:sz w:val="14"/>
              </w:rPr>
              <w:t>Resultados cuantitativos</w:t>
            </w:r>
          </w:p>
        </w:tc>
        <w:tc>
          <w:tcPr>
            <w:tcW w:type="dxa" w:w="4561"/>
          </w:tcPr>
          <w:p>
            <w:r/>
            <w:r>
              <w:rPr>
                <w:sz w:val="14"/>
              </w:rPr>
              <w:t>Mejora de recompensa ~15-30% frente a MADDPG/COMA en tareas cooperativas.</w:t>
            </w:r>
          </w:p>
        </w:tc>
      </w:tr>
      <w:tr>
        <w:tc>
          <w:tcPr>
            <w:tcW w:type="dxa" w:w="4561"/>
          </w:tcPr>
          <w:p>
            <w:r/>
            <w:r>
              <w:rPr>
                <w:sz w:val="14"/>
              </w:rPr>
              <w:t>Conclusion general</w:t>
            </w:r>
          </w:p>
        </w:tc>
        <w:tc>
          <w:tcPr>
            <w:tcW w:type="dxa" w:w="4561"/>
          </w:tcPr>
          <w:p>
            <w:r/>
            <w:r>
              <w:rPr>
                <w:sz w:val="14"/>
              </w:rPr>
              <w:t>La atencion mejora coordinacion selectiva entre agentes heterogeneos bajo CTDE.</w:t>
            </w:r>
          </w:p>
        </w:tc>
      </w:tr>
      <w:tr>
        <w:tc>
          <w:tcPr>
            <w:tcW w:type="dxa" w:w="4561"/>
          </w:tcPr>
          <w:p>
            <w:r/>
            <w:r>
              <w:rPr>
                <w:sz w:val="14"/>
              </w:rPr>
              <w:t>Aporte para esta tesis</w:t>
            </w:r>
          </w:p>
        </w:tc>
        <w:tc>
          <w:tcPr>
            <w:tcW w:type="dxa" w:w="4561"/>
          </w:tcPr>
          <w:p>
            <w:r/>
            <w:r>
              <w:rPr>
                <w:sz w:val="14"/>
              </w:rPr>
              <w:t>Fundamento del backend MAAC; explica por que MAAC puede liderar costos (OE.3) al ponderar interacciones entre edificios bajo senales TOU.</w:t>
            </w:r>
          </w:p>
        </w:tc>
      </w:tr>
    </w:tbl>
    <w:p/>
    <w:p>
      <w:pPr>
        <w:pStyle w:val="Heading3"/>
      </w:pPr>
      <w:r>
        <w:t>2.4.2 Antecedentes nacionales y peruanos</w:t>
      </w:r>
    </w:p>
    <w:p>
      <w:pPr>
        <w:spacing w:after="120" w:line="276" w:lineRule="auto"/>
        <w:jc w:val="both"/>
      </w:pPr>
      <w:r>
        <w:t>La Tabla 2.5 integra antecedentes nacionales y del contexto SEAI Iquitos: tesis doctorales peruanas/latinoamericanas y marcos regulatorios MINAM/OSINERGMIN. Estos antecedentes anclan la tesis en el sistema electrico aislado diesel+PV de Loreto.</w:t>
      </w:r>
    </w:p>
    <w:p>
      <w:r>
        <w:rPr>
          <w:b/>
          <w:color w:val="595959"/>
          <w:sz w:val="19"/>
        </w:rPr>
        <w:t>Tabla 2.5. 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Chevarria Moscoso (2024)</w:t>
            </w:r>
          </w:p>
        </w:tc>
        <w:tc>
          <w:tcPr>
            <w:tcW w:type="dxa" w:w="1824"/>
          </w:tcPr>
          <w:p>
            <w:r/>
            <w:r>
              <w:rPr>
                <w:sz w:val="13"/>
              </w:rPr>
              <w:t>Analisis de la generacion hidroelectrica en la central hidroelectrica de Machupicchu aplicando metodos estocasticos y mo...</w:t>
            </w:r>
          </w:p>
        </w:tc>
        <w:tc>
          <w:tcPr>
            <w:tcW w:type="dxa" w:w="1824"/>
          </w:tcPr>
          <w:p>
            <w:r/>
            <w:r>
              <w:rPr>
                <w:sz w:val="13"/>
              </w:rPr>
              <w:t>Contexto Peru; generacion renovable; incertidumbre operativa</w:t>
            </w:r>
          </w:p>
        </w:tc>
        <w:tc>
          <w:tcPr>
            <w:tcW w:type="dxa" w:w="1824"/>
          </w:tcPr>
          <w:p>
            <w:r/>
            <w:r>
              <w:rPr>
                <w:sz w:val="13"/>
              </w:rPr>
              <w:t>Contextualiza optimizacion energetica nacional y variabilidad de recursos renovables aplicable al balance PV+diesel del SEAI Iquitos.</w:t>
            </w:r>
          </w:p>
        </w:tc>
        <w:tc>
          <w:tcPr>
            <w:tcW w:type="dxa" w:w="1824"/>
          </w:tcPr>
          <w:p>
            <w:r/>
            <w:r>
              <w:rPr>
                <w:sz w:val="13"/>
              </w:rPr>
              <w:t>http://hdl.handle.net/20.500.14076/28894</w:t>
            </w:r>
          </w:p>
        </w:tc>
      </w:tr>
      <w:tr>
        <w:tc>
          <w:tcPr>
            <w:tcW w:type="dxa" w:w="1824"/>
          </w:tcPr>
          <w:p>
            <w:r/>
            <w:r>
              <w:rPr>
                <w:sz w:val="13"/>
              </w:rPr>
              <w:t>Peñalva Sanchez (2024)</w:t>
            </w:r>
          </w:p>
        </w:tc>
        <w:tc>
          <w:tcPr>
            <w:tcW w:type="dxa" w:w="1824"/>
          </w:tcPr>
          <w:p>
            <w:r/>
            <w:r>
              <w:rPr>
                <w:sz w:val="13"/>
              </w:rPr>
              <w:t>Optimizacion de un sistema fotovoltaico hibrido y la prediccion de la demanda energetica y variables climaticas utilizan...</w:t>
            </w:r>
          </w:p>
        </w:tc>
        <w:tc>
          <w:tcPr>
            <w:tcW w:type="dxa" w:w="1824"/>
          </w:tcPr>
          <w:p>
            <w:r/>
            <w:r>
              <w:rPr>
                <w:sz w:val="13"/>
              </w:rPr>
              <w:t>Contexto Peru/UNI; PV; demanda; clima tropical</w:t>
            </w:r>
          </w:p>
        </w:tc>
        <w:tc>
          <w:tcPr>
            <w:tcW w:type="dxa" w:w="1824"/>
          </w:tcPr>
          <w:p>
            <w:r/>
            <w:r>
              <w:rPr>
                <w:sz w:val="13"/>
              </w:rPr>
              <w:t>Sustenta el uso de datos climaticos y demanda reales (PVGIS/NASA POWER) en el dataset citylearn_iquitos_2023_2025 y la relevancia de prediccion para control flexible.</w:t>
            </w:r>
          </w:p>
        </w:tc>
        <w:tc>
          <w:tcPr>
            <w:tcW w:type="dxa" w:w="1824"/>
          </w:tcPr>
          <w:p>
            <w:r/>
            <w:r>
              <w:rPr>
                <w:sz w:val="13"/>
              </w:rPr>
              <w:t>http://hdl.handle.net/20.500.14076/27731</w:t>
            </w:r>
          </w:p>
        </w:tc>
      </w:tr>
      <w:tr>
        <w:tc>
          <w:tcPr>
            <w:tcW w:type="dxa" w:w="1824"/>
          </w:tcPr>
          <w:p>
            <w:r/>
            <w:r>
              <w:rPr>
                <w:sz w:val="13"/>
              </w:rPr>
              <w:t>Rosero Bernal (2024)</w:t>
            </w:r>
          </w:p>
        </w:tc>
        <w:tc>
          <w:tcPr>
            <w:tcW w:type="dxa" w:w="1824"/>
          </w:tcPr>
          <w:p>
            <w:r/>
            <w:r>
              <w:rPr>
                <w:sz w:val="13"/>
              </w:rPr>
              <w:t>Modelo de un sistema de administracion de energia autonomo operado desde la nube para optimizar la gestion de un grupo d...</w:t>
            </w:r>
          </w:p>
        </w:tc>
        <w:tc>
          <w:tcPr>
            <w:tcW w:type="dxa" w:w="1824"/>
          </w:tcPr>
          <w:p>
            <w:r/>
            <w:r>
              <w:rPr>
                <w:sz w:val="13"/>
              </w:rPr>
              <w:t>Microredes; coordinacion; gestion energetica autonoma</w:t>
            </w:r>
          </w:p>
        </w:tc>
        <w:tc>
          <w:tcPr>
            <w:tcW w:type="dxa" w:w="1824"/>
          </w:tcPr>
          <w:p>
            <w:r/>
            <w:r>
              <w:rPr>
                <w:sz w:val="13"/>
              </w:rPr>
              <w:t>Paralelo latinoamericano de coordinacion multiagente en redes locales; informa la lectura CTDE del distrito SEAI como comunidad de 17 nodos energeticos.</w:t>
            </w:r>
          </w:p>
        </w:tc>
        <w:tc>
          <w:tcPr>
            <w:tcW w:type="dxa" w:w="1824"/>
          </w:tcPr>
          <w:p>
            <w:r/>
            <w:r>
              <w:rPr>
                <w:sz w:val="13"/>
              </w:rPr>
              <w:t>[PV]</w:t>
            </w:r>
          </w:p>
        </w:tc>
      </w:tr>
      <w:tr>
        <w:tc>
          <w:tcPr>
            <w:tcW w:type="dxa" w:w="1824"/>
          </w:tcPr>
          <w:p>
            <w:r/>
            <w:r>
              <w:rPr>
                <w:sz w:val="13"/>
              </w:rPr>
              <w:t>MINAM (2019)</w:t>
            </w:r>
          </w:p>
        </w:tc>
        <w:tc>
          <w:tcPr>
            <w:tcW w:type="dxa" w:w="1824"/>
          </w:tcPr>
          <w:p>
            <w:r/>
            <w:r>
              <w:rPr>
                <w:sz w:val="13"/>
              </w:rPr>
              <w:t>INFOCARBONO — RAGEI 2019 Energia (factor de emision del sector electrico peruano)</w:t>
            </w:r>
          </w:p>
        </w:tc>
        <w:tc>
          <w:tcPr>
            <w:tcW w:type="dxa" w:w="1824"/>
          </w:tcPr>
          <w:p>
            <w:r/>
            <w:r>
              <w:rPr>
                <w:sz w:val="13"/>
              </w:rPr>
              <w:t>D-VD.2 CO2; SEAI Iquitos; intensidad de carbono</w:t>
            </w:r>
          </w:p>
        </w:tc>
        <w:tc>
          <w:tcPr>
            <w:tcW w:type="dxa" w:w="1824"/>
          </w:tcPr>
          <w:p>
            <w:r/>
            <w:r>
              <w:rPr>
                <w:sz w:val="13"/>
              </w:rPr>
              <w:t>Fundamenta CarbonIntensityModel (A4) y el escenario E2 (D-VD.2) con factor MINAM aplicado al SEAI Iquitos.</w:t>
            </w:r>
          </w:p>
        </w:tc>
        <w:tc>
          <w:tcPr>
            <w:tcW w:type="dxa" w:w="1824"/>
          </w:tcPr>
          <w:p>
            <w:r/>
            <w:r>
              <w:rPr>
                <w:sz w:val="13"/>
              </w:rPr>
              <w:t>https://infocarbono.minam.gob.pe/</w:t>
            </w:r>
          </w:p>
        </w:tc>
      </w:tr>
      <w:tr>
        <w:tc>
          <w:tcPr>
            <w:tcW w:type="dxa" w:w="1824"/>
          </w:tcPr>
          <w:p>
            <w:r/>
            <w:r>
              <w:rPr>
                <w:sz w:val="13"/>
              </w:rPr>
              <w:t>OSINERGMIN (2024)</w:t>
            </w:r>
          </w:p>
        </w:tc>
        <w:tc>
          <w:tcPr>
            <w:tcW w:type="dxa" w:w="1824"/>
          </w:tcPr>
          <w:p>
            <w:r/>
            <w:r>
              <w:rPr>
                <w:sz w:val="13"/>
              </w:rPr>
              <w:t>Resolucion de Consejo Directivo N. 0024-2024-OS/CD — Tarifas de distribucion electrica MT-3/MT-4, Electro Oriente S.A.</w:t>
            </w:r>
          </w:p>
        </w:tc>
        <w:tc>
          <w:tcPr>
            <w:tcW w:type="dxa" w:w="1824"/>
          </w:tcPr>
          <w:p>
            <w:r/>
            <w:r>
              <w:rPr>
                <w:sz w:val="13"/>
              </w:rPr>
              <w:t>D-VD.3 costos; D-VD.1 flexibilidad (pico); SEAI Iquitos</w:t>
            </w:r>
          </w:p>
        </w:tc>
        <w:tc>
          <w:tcPr>
            <w:tcW w:type="dxa" w:w="1824"/>
          </w:tcPr>
          <w:p>
            <w:r/>
            <w:r>
              <w:rPr>
                <w:sz w:val="13"/>
              </w:rPr>
              <w:t>Justifica KPI de pico con ventana OSINERGMIN (A3) y el escenario E3 (D-VD.3 costos) con senales TOU locales de Iquitos.</w:t>
            </w:r>
          </w:p>
        </w:tc>
        <w:tc>
          <w:tcPr>
            <w:tcW w:type="dxa" w:w="1824"/>
          </w:tcPr>
          <w:p>
            <w:r/>
            <w:r>
              <w:rPr>
                <w:sz w:val="13"/>
              </w:rPr>
              <w:t>[PV — resolucion OSINERGMIN 0024-2024-OS/CD]</w:t>
            </w:r>
          </w:p>
        </w:tc>
      </w:tr>
    </w:tbl>
    <w:p/>
    <w:p>
      <w:pPr>
        <w:pStyle w:val="Heading4"/>
      </w:pPr>
      <w:r>
        <w:t>Chevarria Moscoso (2024)</w:t>
      </w:r>
    </w:p>
    <w:p>
      <w:r>
        <w:rPr>
          <w:b/>
          <w:color w:val="595959"/>
          <w:sz w:val="19"/>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Analisis de la generacion hidroelectrica en la central hidroelectrica de Machupicchu aplicando metodos estocasticos y modelo de optimizacion</w:t>
            </w:r>
          </w:p>
        </w:tc>
      </w:tr>
      <w:tr>
        <w:tc>
          <w:tcPr>
            <w:tcW w:type="dxa" w:w="4561"/>
          </w:tcPr>
          <w:p>
            <w:r/>
            <w:r>
              <w:rPr>
                <w:sz w:val="14"/>
              </w:rPr>
              <w:t>Objetivo general</w:t>
            </w:r>
          </w:p>
        </w:tc>
        <w:tc>
          <w:tcPr>
            <w:tcW w:type="dxa" w:w="4561"/>
          </w:tcPr>
          <w:p>
            <w:r/>
            <w:r>
              <w:rPr>
                <w:sz w:val="14"/>
              </w:rPr>
              <w:t>Optimizar la generacion hidroelectrica de Machupicchu mediante metodos estocasticos y un modelo de optimizacion bajo incertidumbre hidrologica.</w:t>
            </w:r>
          </w:p>
        </w:tc>
      </w:tr>
      <w:tr>
        <w:tc>
          <w:tcPr>
            <w:tcW w:type="dxa" w:w="4561"/>
          </w:tcPr>
          <w:p>
            <w:r/>
            <w:r>
              <w:rPr>
                <w:sz w:val="14"/>
              </w:rPr>
              <w:t>Tipo de metodologia</w:t>
            </w:r>
          </w:p>
        </w:tc>
        <w:tc>
          <w:tcPr>
            <w:tcW w:type="dxa" w:w="4561"/>
          </w:tcPr>
          <w:p>
            <w:r/>
            <w:r>
              <w:rPr>
                <w:sz w:val="14"/>
              </w:rPr>
              <w:t>Modelado estocastico y optimizacion matematica aplicada a generacion renovable peruana.</w:t>
            </w:r>
          </w:p>
        </w:tc>
      </w:tr>
      <w:tr>
        <w:tc>
          <w:tcPr>
            <w:tcW w:type="dxa" w:w="4561"/>
          </w:tcPr>
          <w:p>
            <w:r/>
            <w:r>
              <w:rPr>
                <w:sz w:val="14"/>
              </w:rPr>
              <w:t>Diseno de investigacion</w:t>
            </w:r>
          </w:p>
        </w:tc>
        <w:tc>
          <w:tcPr>
            <w:tcW w:type="dxa" w:w="4561"/>
          </w:tcPr>
          <w:p>
            <w:r/>
            <w:r>
              <w:rPr>
                <w:sz w:val="14"/>
              </w:rPr>
              <w:t>Aplicada; tesis doctoral UNI; estudio de caso en generacion hidroelectrica.</w:t>
            </w:r>
          </w:p>
        </w:tc>
      </w:tr>
      <w:tr>
        <w:tc>
          <w:tcPr>
            <w:tcW w:type="dxa" w:w="4561"/>
          </w:tcPr>
          <w:p>
            <w:r/>
            <w:r>
              <w:rPr>
                <w:sz w:val="14"/>
              </w:rPr>
              <w:t>Resultados cuantitativos</w:t>
            </w:r>
          </w:p>
        </w:tc>
        <w:tc>
          <w:tcPr>
            <w:tcW w:type="dxa" w:w="4561"/>
          </w:tcPr>
          <w:p>
            <w:r/>
            <w:r>
              <w:rPr>
                <w:sz w:val="14"/>
              </w:rPr>
              <w:t>[PV] Mejoras de eficiencia operativa y asignacion de generacion respecto a escenarios base; magnitudes cuantitativas pendientes de extraccion del repositorio UNI.</w:t>
            </w:r>
          </w:p>
        </w:tc>
      </w:tr>
      <w:tr>
        <w:tc>
          <w:tcPr>
            <w:tcW w:type="dxa" w:w="4561"/>
          </w:tcPr>
          <w:p>
            <w:r/>
            <w:r>
              <w:rPr>
                <w:sz w:val="14"/>
              </w:rPr>
              <w:t>Conclusion general</w:t>
            </w:r>
          </w:p>
        </w:tc>
        <w:tc>
          <w:tcPr>
            <w:tcW w:type="dxa" w:w="4561"/>
          </w:tcPr>
          <w:p>
            <w:r/>
            <w:r>
              <w:rPr>
                <w:sz w:val="14"/>
              </w:rPr>
              <w:t>Los metodos estocasticos permiten decisiones mas robustas en generacion renovable bajo variabilidad hidrologica en el contexto peruano.</w:t>
            </w:r>
          </w:p>
        </w:tc>
      </w:tr>
      <w:tr>
        <w:tc>
          <w:tcPr>
            <w:tcW w:type="dxa" w:w="4561"/>
          </w:tcPr>
          <w:p>
            <w:r/>
            <w:r>
              <w:rPr>
                <w:sz w:val="14"/>
              </w:rPr>
              <w:t>Aporte para esta tesis</w:t>
            </w:r>
          </w:p>
        </w:tc>
        <w:tc>
          <w:tcPr>
            <w:tcW w:type="dxa" w:w="4561"/>
          </w:tcPr>
          <w:p>
            <w:r/>
            <w:r>
              <w:rPr>
                <w:sz w:val="14"/>
              </w:rPr>
              <w:t>Contextualiza optimizacion energetica nacional y variabilidad de recursos renovables aplicable al balance PV+diesel del SEAI Iquitos.</w:t>
            </w:r>
          </w:p>
        </w:tc>
      </w:tr>
    </w:tbl>
    <w:p/>
    <w:p>
      <w:pPr>
        <w:pStyle w:val="Heading4"/>
      </w:pPr>
      <w:r>
        <w:t>Peñalva Sanchez (2024)</w:t>
      </w:r>
    </w:p>
    <w:p>
      <w:r>
        <w:rPr>
          <w:b/>
          <w:color w:val="595959"/>
          <w:sz w:val="19"/>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Optimizacion de un sistema fotovoltaico hibrido y la prediccion de la demanda energetica y variables climaticas utilizando la inteligencia artificial</w:t>
            </w:r>
          </w:p>
        </w:tc>
      </w:tr>
      <w:tr>
        <w:tc>
          <w:tcPr>
            <w:tcW w:type="dxa" w:w="4561"/>
          </w:tcPr>
          <w:p>
            <w:r/>
            <w:r>
              <w:rPr>
                <w:sz w:val="14"/>
              </w:rPr>
              <w:t>Objetivo general</w:t>
            </w:r>
          </w:p>
        </w:tc>
        <w:tc>
          <w:tcPr>
            <w:tcW w:type="dxa" w:w="4561"/>
          </w:tcPr>
          <w:p>
            <w:r/>
            <w:r>
              <w:rPr>
                <w:sz w:val="14"/>
              </w:rPr>
              <w:t>Optimizar un sistema fotovoltaico hibrido e integrar prediccion de demanda y variables climaticas mediante inteligencia artificial.</w:t>
            </w:r>
          </w:p>
        </w:tc>
      </w:tr>
      <w:tr>
        <w:tc>
          <w:tcPr>
            <w:tcW w:type="dxa" w:w="4561"/>
          </w:tcPr>
          <w:p>
            <w:r/>
            <w:r>
              <w:rPr>
                <w:sz w:val="14"/>
              </w:rPr>
              <w:t>Tipo de metodologia</w:t>
            </w:r>
          </w:p>
        </w:tc>
        <w:tc>
          <w:tcPr>
            <w:tcW w:type="dxa" w:w="4561"/>
          </w:tcPr>
          <w:p>
            <w:r/>
            <w:r>
              <w:rPr>
                <w:sz w:val="14"/>
              </w:rPr>
              <w:t>Modelado de sistema PV hibrido; aprendizaje automatico para pronostico de demanda y clima.</w:t>
            </w:r>
          </w:p>
        </w:tc>
      </w:tr>
      <w:tr>
        <w:tc>
          <w:tcPr>
            <w:tcW w:type="dxa" w:w="4561"/>
          </w:tcPr>
          <w:p>
            <w:r/>
            <w:r>
              <w:rPr>
                <w:sz w:val="14"/>
              </w:rPr>
              <w:t>Diseno de investigacion</w:t>
            </w:r>
          </w:p>
        </w:tc>
        <w:tc>
          <w:tcPr>
            <w:tcW w:type="dxa" w:w="4561"/>
          </w:tcPr>
          <w:p>
            <w:r/>
            <w:r>
              <w:rPr>
                <w:sz w:val="14"/>
              </w:rPr>
              <w:t>Aplicada; tesis doctoral UNI; estudio de caso con datos locales.</w:t>
            </w:r>
          </w:p>
        </w:tc>
      </w:tr>
      <w:tr>
        <w:tc>
          <w:tcPr>
            <w:tcW w:type="dxa" w:w="4561"/>
          </w:tcPr>
          <w:p>
            <w:r/>
            <w:r>
              <w:rPr>
                <w:sz w:val="14"/>
              </w:rPr>
              <w:t>Resultados cuantitativos</w:t>
            </w:r>
          </w:p>
        </w:tc>
        <w:tc>
          <w:tcPr>
            <w:tcW w:type="dxa" w:w="4561"/>
          </w:tcPr>
          <w:p>
            <w:r/>
            <w:r>
              <w:rPr>
                <w:sz w:val="14"/>
              </w:rPr>
              <w:t>[PV] Reduccion de error de prediccion de demanda y mejora de desempeno del sistema hibrido; valores numericos pendientes de verificacion en repositorio UNI.</w:t>
            </w:r>
          </w:p>
        </w:tc>
      </w:tr>
      <w:tr>
        <w:tc>
          <w:tcPr>
            <w:tcW w:type="dxa" w:w="4561"/>
          </w:tcPr>
          <w:p>
            <w:r/>
            <w:r>
              <w:rPr>
                <w:sz w:val="14"/>
              </w:rPr>
              <w:t>Conclusion general</w:t>
            </w:r>
          </w:p>
        </w:tc>
        <w:tc>
          <w:tcPr>
            <w:tcW w:type="dxa" w:w="4561"/>
          </w:tcPr>
          <w:p>
            <w:r/>
            <w:r>
              <w:rPr>
                <w:sz w:val="14"/>
              </w:rPr>
              <w:t>La IA mejora la operacion de sistemas PV hibridos al anticipar demanda y condiciones climaticas en contexto peruano.</w:t>
            </w:r>
          </w:p>
        </w:tc>
      </w:tr>
      <w:tr>
        <w:tc>
          <w:tcPr>
            <w:tcW w:type="dxa" w:w="4561"/>
          </w:tcPr>
          <w:p>
            <w:r/>
            <w:r>
              <w:rPr>
                <w:sz w:val="14"/>
              </w:rPr>
              <w:t>Aporte para esta tesis</w:t>
            </w:r>
          </w:p>
        </w:tc>
        <w:tc>
          <w:tcPr>
            <w:tcW w:type="dxa" w:w="4561"/>
          </w:tcPr>
          <w:p>
            <w:r/>
            <w:r>
              <w:rPr>
                <w:sz w:val="14"/>
              </w:rPr>
              <w:t>Sustenta el uso de datos climaticos y demanda reales (PVGIS/NASA POWER) en el dataset citylearn_iquitos_2023_2025 y la relevancia de prediccion para control flexible.</w:t>
            </w:r>
          </w:p>
        </w:tc>
      </w:tr>
    </w:tbl>
    <w:p/>
    <w:p>
      <w:pPr>
        <w:pStyle w:val="Heading4"/>
      </w:pPr>
      <w:r>
        <w:t>Rosero Bernal (2024)</w:t>
      </w:r>
    </w:p>
    <w:p>
      <w:r>
        <w:rPr>
          <w:b/>
          <w:color w:val="595959"/>
          <w:sz w:val="19"/>
        </w:rPr>
        <w:t>Ficha antecedente nacional — Rosero Bernal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Modelo de un sistema de administracion de energia autonomo operado desde la nube para optimizar la gestion de un grupo de microredes</w:t>
            </w:r>
          </w:p>
        </w:tc>
      </w:tr>
      <w:tr>
        <w:tc>
          <w:tcPr>
            <w:tcW w:type="dxa" w:w="4561"/>
          </w:tcPr>
          <w:p>
            <w:r/>
            <w:r>
              <w:rPr>
                <w:sz w:val="14"/>
              </w:rPr>
              <w:t>Objetivo general</w:t>
            </w:r>
          </w:p>
        </w:tc>
        <w:tc>
          <w:tcPr>
            <w:tcW w:type="dxa" w:w="4561"/>
          </w:tcPr>
          <w:p>
            <w:r/>
            <w:r>
              <w:rPr>
                <w:sz w:val="14"/>
              </w:rPr>
              <w:t>Disenar un sistema autonomo de administracion de energia en la nube para optimizar la gestion coordinada de un grupo de microredes.</w:t>
            </w:r>
          </w:p>
        </w:tc>
      </w:tr>
      <w:tr>
        <w:tc>
          <w:tcPr>
            <w:tcW w:type="dxa" w:w="4561"/>
          </w:tcPr>
          <w:p>
            <w:r/>
            <w:r>
              <w:rPr>
                <w:sz w:val="14"/>
              </w:rPr>
              <w:t>Tipo de metodologia</w:t>
            </w:r>
          </w:p>
        </w:tc>
        <w:tc>
          <w:tcPr>
            <w:tcW w:type="dxa" w:w="4561"/>
          </w:tcPr>
          <w:p>
            <w:r/>
            <w:r>
              <w:rPr>
                <w:sz w:val="14"/>
              </w:rPr>
              <w:t>Arquitectura de gestion energetica distribuida en la nube; optimizacion multi-microred.</w:t>
            </w:r>
          </w:p>
        </w:tc>
      </w:tr>
      <w:tr>
        <w:tc>
          <w:tcPr>
            <w:tcW w:type="dxa" w:w="4561"/>
          </w:tcPr>
          <w:p>
            <w:r/>
            <w:r>
              <w:rPr>
                <w:sz w:val="14"/>
              </w:rPr>
              <w:t>Diseno de investigacion</w:t>
            </w:r>
          </w:p>
        </w:tc>
        <w:tc>
          <w:tcPr>
            <w:tcW w:type="dxa" w:w="4561"/>
          </w:tcPr>
          <w:p>
            <w:r/>
            <w:r>
              <w:rPr>
                <w:sz w:val="14"/>
              </w:rPr>
              <w:t>Aplicada; tesis doctoral; estudio de caso en microredes.</w:t>
            </w:r>
          </w:p>
        </w:tc>
      </w:tr>
      <w:tr>
        <w:tc>
          <w:tcPr>
            <w:tcW w:type="dxa" w:w="4561"/>
          </w:tcPr>
          <w:p>
            <w:r/>
            <w:r>
              <w:rPr>
                <w:sz w:val="14"/>
              </w:rPr>
              <w:t>Resultados cuantitativos</w:t>
            </w:r>
          </w:p>
        </w:tc>
        <w:tc>
          <w:tcPr>
            <w:tcW w:type="dxa" w:w="4561"/>
          </w:tcPr>
          <w:p>
            <w:r/>
            <w:r>
              <w:rPr>
                <w:sz w:val="14"/>
              </w:rPr>
              <w:t>[PV] Mejoras de eficiencia energetica y coordinacion inter-microred respecto a operacion descentralizada sin orquestacion en la nube.</w:t>
            </w:r>
          </w:p>
        </w:tc>
      </w:tr>
      <w:tr>
        <w:tc>
          <w:tcPr>
            <w:tcW w:type="dxa" w:w="4561"/>
          </w:tcPr>
          <w:p>
            <w:r/>
            <w:r>
              <w:rPr>
                <w:sz w:val="14"/>
              </w:rPr>
              <w:t>Conclusion general</w:t>
            </w:r>
          </w:p>
        </w:tc>
        <w:tc>
          <w:tcPr>
            <w:tcW w:type="dxa" w:w="4561"/>
          </w:tcPr>
          <w:p>
            <w:r/>
            <w:r>
              <w:rPr>
                <w:sz w:val="14"/>
              </w:rPr>
              <w:t>La administracion autonoma en la nube mejora la coordinacion operativa de microredes heterogeneas.</w:t>
            </w:r>
          </w:p>
        </w:tc>
      </w:tr>
      <w:tr>
        <w:tc>
          <w:tcPr>
            <w:tcW w:type="dxa" w:w="4561"/>
          </w:tcPr>
          <w:p>
            <w:r/>
            <w:r>
              <w:rPr>
                <w:sz w:val="14"/>
              </w:rPr>
              <w:t>Aporte para esta tesis</w:t>
            </w:r>
          </w:p>
        </w:tc>
        <w:tc>
          <w:tcPr>
            <w:tcW w:type="dxa" w:w="4561"/>
          </w:tcPr>
          <w:p>
            <w:r/>
            <w:r>
              <w:rPr>
                <w:sz w:val="14"/>
              </w:rPr>
              <w:t>Paralelo latinoamericano de coordinacion multiagente en redes locales; informa la lectura CTDE del distrito SEAI como comunidad de 17 nodos energeticos.</w:t>
            </w:r>
          </w:p>
        </w:tc>
      </w:tr>
    </w:tbl>
    <w:p/>
    <w:p>
      <w:pPr>
        <w:pStyle w:val="Heading4"/>
      </w:pPr>
      <w:r>
        <w:t>MINAM (2019)</w:t>
      </w:r>
    </w:p>
    <w:p>
      <w:r>
        <w:rPr>
          <w:b/>
          <w:color w:val="595959"/>
          <w:sz w:val="19"/>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INFOCARBONO — RAGEI 2019 Energia (factor de emision del sector electrico peruano)</w:t>
            </w:r>
          </w:p>
        </w:tc>
      </w:tr>
      <w:tr>
        <w:tc>
          <w:tcPr>
            <w:tcW w:type="dxa" w:w="4561"/>
          </w:tcPr>
          <w:p>
            <w:r/>
            <w:r>
              <w:rPr>
                <w:sz w:val="14"/>
              </w:rPr>
              <w:t>Objetivo general</w:t>
            </w:r>
          </w:p>
        </w:tc>
        <w:tc>
          <w:tcPr>
            <w:tcW w:type="dxa" w:w="4561"/>
          </w:tcPr>
          <w:p>
            <w:r/>
            <w:r>
              <w:rPr>
                <w:sz w:val="14"/>
              </w:rPr>
              <w:t>Documentar factores de emision de gases de efecto invernadero del sector energetico peruano para contabilidad de carbono nacional.</w:t>
            </w:r>
          </w:p>
        </w:tc>
      </w:tr>
      <w:tr>
        <w:tc>
          <w:tcPr>
            <w:tcW w:type="dxa" w:w="4561"/>
          </w:tcPr>
          <w:p>
            <w:r/>
            <w:r>
              <w:rPr>
                <w:sz w:val="14"/>
              </w:rPr>
              <w:t>Tipo de metodologia</w:t>
            </w:r>
          </w:p>
        </w:tc>
        <w:tc>
          <w:tcPr>
            <w:tcW w:type="dxa" w:w="4561"/>
          </w:tcPr>
          <w:p>
            <w:r/>
            <w:r>
              <w:rPr>
                <w:sz w:val="14"/>
              </w:rPr>
              <w:t>Inventario nacional de emisiones; contabilidad de carbono por sector y tecnologia.</w:t>
            </w:r>
          </w:p>
        </w:tc>
      </w:tr>
      <w:tr>
        <w:tc>
          <w:tcPr>
            <w:tcW w:type="dxa" w:w="4561"/>
          </w:tcPr>
          <w:p>
            <w:r/>
            <w:r>
              <w:rPr>
                <w:sz w:val="14"/>
              </w:rPr>
              <w:t>Diseno de investigacion</w:t>
            </w:r>
          </w:p>
        </w:tc>
        <w:tc>
          <w:tcPr>
            <w:tcW w:type="dxa" w:w="4561"/>
          </w:tcPr>
          <w:p>
            <w:r/>
            <w:r>
              <w:rPr>
                <w:sz w:val="14"/>
              </w:rPr>
              <w:t>Descriptiva-documental; fuente regulatoria oficial del Estado peruano.</w:t>
            </w:r>
          </w:p>
        </w:tc>
      </w:tr>
      <w:tr>
        <w:tc>
          <w:tcPr>
            <w:tcW w:type="dxa" w:w="4561"/>
          </w:tcPr>
          <w:p>
            <w:r/>
            <w:r>
              <w:rPr>
                <w:sz w:val="14"/>
              </w:rPr>
              <w:t>Resultados cuantitativos</w:t>
            </w:r>
          </w:p>
        </w:tc>
        <w:tc>
          <w:tcPr>
            <w:tcW w:type="dxa" w:w="4561"/>
          </w:tcPr>
          <w:p>
            <w:r/>
            <w:r>
              <w:rPr>
                <w:sz w:val="14"/>
              </w:rPr>
              <w:t>Factor de emision del sistema diesel aislado: 0,790 kgCO2/kWh (base para SEAI Iquitos); modulacion solar en tesis: CI(t) en rango 0,672-0,790 kgCO2/kWh.</w:t>
            </w:r>
          </w:p>
        </w:tc>
      </w:tr>
      <w:tr>
        <w:tc>
          <w:tcPr>
            <w:tcW w:type="dxa" w:w="4561"/>
          </w:tcPr>
          <w:p>
            <w:r/>
            <w:r>
              <w:rPr>
                <w:sz w:val="14"/>
              </w:rPr>
              <w:t>Conclusion general</w:t>
            </w:r>
          </w:p>
        </w:tc>
        <w:tc>
          <w:tcPr>
            <w:tcW w:type="dxa" w:w="4561"/>
          </w:tcPr>
          <w:p>
            <w:r/>
            <w:r>
              <w:rPr>
                <w:sz w:val="14"/>
              </w:rPr>
              <w:t>La contabilidad oficial peruana permite parametrizar control consciente de carbono en redes con alta dependencia de diesel.</w:t>
            </w:r>
          </w:p>
        </w:tc>
      </w:tr>
      <w:tr>
        <w:tc>
          <w:tcPr>
            <w:tcW w:type="dxa" w:w="4561"/>
          </w:tcPr>
          <w:p>
            <w:r/>
            <w:r>
              <w:rPr>
                <w:sz w:val="14"/>
              </w:rPr>
              <w:t>Aporte para esta tesis</w:t>
            </w:r>
          </w:p>
        </w:tc>
        <w:tc>
          <w:tcPr>
            <w:tcW w:type="dxa" w:w="4561"/>
          </w:tcPr>
          <w:p>
            <w:r/>
            <w:r>
              <w:rPr>
                <w:sz w:val="14"/>
              </w:rPr>
              <w:t>Fundamenta CarbonIntensityModel (A4) y el escenario E2 (D-VD.2) con factor MINAM aplicado al SEAI Iquitos.</w:t>
            </w:r>
          </w:p>
        </w:tc>
      </w:tr>
    </w:tbl>
    <w:p/>
    <w:p>
      <w:pPr>
        <w:pStyle w:val="Heading4"/>
      </w:pPr>
      <w:r>
        <w:t>OSINERGMIN (2024)</w:t>
      </w:r>
    </w:p>
    <w:p>
      <w:r>
        <w:rPr>
          <w:b/>
          <w:color w:val="595959"/>
          <w:sz w:val="19"/>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Resolucion de Consejo Directivo N. 0024-2024-OS/CD — Tarifas de distribucion electrica MT-3/MT-4, Electro Oriente S.A.</w:t>
            </w:r>
          </w:p>
        </w:tc>
      </w:tr>
      <w:tr>
        <w:tc>
          <w:tcPr>
            <w:tcW w:type="dxa" w:w="4561"/>
          </w:tcPr>
          <w:p>
            <w:r/>
            <w:r>
              <w:rPr>
                <w:sz w:val="14"/>
              </w:rPr>
              <w:t>Objetivo general</w:t>
            </w:r>
          </w:p>
        </w:tc>
        <w:tc>
          <w:tcPr>
            <w:tcW w:type="dxa" w:w="4561"/>
          </w:tcPr>
          <w:p>
            <w:r/>
            <w:r>
              <w:rPr>
                <w:sz w:val="14"/>
              </w:rPr>
              <w:t>Establecer tarifas de distribucion electrica y estructura de facturacion por demanda maxima para usuarios MT-3/MT-4 de Electro Oriente S.A. (Loreto).</w:t>
            </w:r>
          </w:p>
        </w:tc>
      </w:tr>
      <w:tr>
        <w:tc>
          <w:tcPr>
            <w:tcW w:type="dxa" w:w="4561"/>
          </w:tcPr>
          <w:p>
            <w:r/>
            <w:r>
              <w:rPr>
                <w:sz w:val="14"/>
              </w:rPr>
              <w:t>Tipo de metodologia</w:t>
            </w:r>
          </w:p>
        </w:tc>
        <w:tc>
          <w:tcPr>
            <w:tcW w:type="dxa" w:w="4561"/>
          </w:tcPr>
          <w:p>
            <w:r/>
            <w:r>
              <w:rPr>
                <w:sz w:val="14"/>
              </w:rPr>
              <w:t>Marco regulatorio tarifario; analisis de cargos por energia y demanda maxima.</w:t>
            </w:r>
          </w:p>
        </w:tc>
      </w:tr>
      <w:tr>
        <w:tc>
          <w:tcPr>
            <w:tcW w:type="dxa" w:w="4561"/>
          </w:tcPr>
          <w:p>
            <w:r/>
            <w:r>
              <w:rPr>
                <w:sz w:val="14"/>
              </w:rPr>
              <w:t>Diseno de investigacion</w:t>
            </w:r>
          </w:p>
        </w:tc>
        <w:tc>
          <w:tcPr>
            <w:tcW w:type="dxa" w:w="4561"/>
          </w:tcPr>
          <w:p>
            <w:r/>
            <w:r>
              <w:rPr>
                <w:sz w:val="14"/>
              </w:rPr>
              <w:t>Normativa aplicada; estudio de caso regulatorio en red de distribucion Loreto.</w:t>
            </w:r>
          </w:p>
        </w:tc>
      </w:tr>
      <w:tr>
        <w:tc>
          <w:tcPr>
            <w:tcW w:type="dxa" w:w="4561"/>
          </w:tcPr>
          <w:p>
            <w:r/>
            <w:r>
              <w:rPr>
                <w:sz w:val="14"/>
              </w:rPr>
              <w:t>Resultados cuantitativos</w:t>
            </w:r>
          </w:p>
        </w:tc>
        <w:tc>
          <w:tcPr>
            <w:tcW w:type="dxa" w:w="4561"/>
          </w:tcPr>
          <w:p>
            <w:r/>
            <w:r>
              <w:rPr>
                <w:sz w:val="14"/>
              </w:rPr>
              <w:t>Estructura TOU y cargo por demanda maxima en ventanas de facturacion (15 min); tarifas punta/fuera punta usadas en escenario E3 de la tesis.</w:t>
            </w:r>
          </w:p>
        </w:tc>
      </w:tr>
      <w:tr>
        <w:tc>
          <w:tcPr>
            <w:tcW w:type="dxa" w:w="4561"/>
          </w:tcPr>
          <w:p>
            <w:r/>
            <w:r>
              <w:rPr>
                <w:sz w:val="14"/>
              </w:rPr>
              <w:t>Conclusion general</w:t>
            </w:r>
          </w:p>
        </w:tc>
        <w:tc>
          <w:tcPr>
            <w:tcW w:type="dxa" w:w="4561"/>
          </w:tcPr>
          <w:p>
            <w:r/>
            <w:r>
              <w:rPr>
                <w:sz w:val="14"/>
              </w:rPr>
              <w:t>La regulacion peruana vincula costos energeticos a picos facturables, haciendo necesaria la coordinacion distrital de flexibilidad.</w:t>
            </w:r>
          </w:p>
        </w:tc>
      </w:tr>
      <w:tr>
        <w:tc>
          <w:tcPr>
            <w:tcW w:type="dxa" w:w="4561"/>
          </w:tcPr>
          <w:p>
            <w:r/>
            <w:r>
              <w:rPr>
                <w:sz w:val="14"/>
              </w:rPr>
              <w:t>Aporte para esta tesis</w:t>
            </w:r>
          </w:p>
        </w:tc>
        <w:tc>
          <w:tcPr>
            <w:tcW w:type="dxa" w:w="4561"/>
          </w:tcPr>
          <w:p>
            <w:r/>
            <w:r>
              <w:rPr>
                <w:sz w:val="14"/>
              </w:rPr>
              <w:t>Justifica KPI de pico con ventana OSINERGMIN (A3) y el escenario E3 (D-VD.3 costos) con senales TOU locales de Iquitos.</w:t>
            </w:r>
          </w:p>
        </w:tc>
      </w:tr>
    </w:tbl>
    <w:p/>
    <w:p>
      <w:pPr>
        <w:pStyle w:val="Heading3"/>
      </w:pPr>
      <w:r>
        <w:t>2.4.3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pPr>
      <w:r>
        <w:t>2.5 Definicion de terminos y posicion teorica</w:t>
      </w:r>
    </w:p>
    <w:p>
      <w:pPr>
        <w:pStyle w:val="Heading3"/>
      </w:pPr>
      <w:r>
        <w:t>2.5.1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pPr>
      <w:r>
        <w:t>2.5.2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experimental factorial 4×3</w:t>
      </w:r>
    </w:p>
    <w:p>
      <w:pPr>
        <w:jc w:val="both"/>
      </w:pPr>
      <w:r>
        <w:rPr>
          <w:b w:val="0"/>
          <w:i w:val="0"/>
        </w:rPr>
        <w:t>El experimento manipula la variable independiente definida en el Capitulo 2, Seccion 2.2.1: D-VI.1 (tipo de algoritmo: HAPPO, MASAC, MATD3, MAAC), D-VI.2 (escenario de ponderacion: E1, E2, E3) y D-VI.3 (controles metodologicos). La variable dependiente, definida en el Capitulo 2, Seccion 2.2.2 (Tabla 2.1), se observa en tres ejes con tres dimensiones cada uno: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val="0"/>
          <w:i w:val="0"/>
        </w:rPr>
        <w:t>La definicion conceptual, la triangulacion bibliografica y las tres dimensiones de cada variable se establecen en el Capitulo 2, Seccion 2.2 (Tabla 2.1). Esta seccion operacionaliza computacionalmente esa definicion para el diseno experimental factorial 4x3 descrito en la Seccion 3.2.</w:t>
      </w:r>
    </w:p>
    <w:p>
      <w:pPr>
        <w:jc w:val="both"/>
      </w:pPr>
      <w:r>
        <w:rPr>
          <w:b/>
          <w:i w:val="0"/>
        </w:rPr>
        <w:t>Variable independiente (VI):</w:t>
      </w:r>
    </w:p>
    <w:p>
      <w:pPr>
        <w:jc w:val="both"/>
      </w:pPr>
      <w:r>
        <w:rPr>
          <w:b w:val="0"/>
          <w:i w:val="0"/>
        </w:rPr>
        <w:t>Capa MADRL cooperativa implementada sobre CityLearn v2 (CityLearn v3 propuesto), manipulada en tres dimensiones: D-VI.1 algoritmo (HAPPO, MASAC, MATD3, MAAC), D-VI.2 escenario (E1/E2/E3) y D-VI.3 control experimental (dataset comun, recompensa unified_comparable_v4, semilla y protocolo CTDE). Ver definicion teorica en Capitulo 2, Secciones 2.2.1 y 2.1.2.</w:t>
      </w:r>
    </w:p>
    <w:p>
      <w:pPr>
        <w:jc w:val="both"/>
      </w:pPr>
      <w:r>
        <w:rPr>
          <w:b/>
          <w:i w:val="0"/>
        </w:rPr>
        <w:t>Variable dependiente (VD):</w:t>
      </w:r>
    </w:p>
    <w:p>
      <w:pPr>
        <w:jc w:val="both"/>
      </w:pPr>
      <w:r>
        <w:rPr>
          <w:b w:val="0"/>
          <w:i w:val="0"/>
        </w:rPr>
        <w:t>Desempeno coordinado en tres ejes con tres dimensiones cada uno: D-VD.1 flexibilidad (pico, rampa, factor de carga/flex_composite), D-VD.2 emisiones de CO2 (totales, delta, consumo ponderado por CI) y D-VD.3 costos energeticos (total, delta, pico facturable/price_signal_deviation), medidos con los KPIs oficiales de CityLearn v2. Ver triangulacion en Capitulo 2, Seccion 2.2.2 y Tabla 2.1.</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corrida canonica Colab vs referencia local v4:</w:t>
      </w:r>
    </w:p>
    <w:p>
      <w:r>
        <w:rPr>
          <w:b/>
          <w:color w:val="595959"/>
          <w:sz w:val="19"/>
        </w:rPr>
        <w:t>Tabla 4.3. Hiperparametros canonicos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1"/>
      </w:pPr>
      <w:r>
        <w:t>Capitulo 5. Resultados por objetivo y contrastacion inferencial</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(a) efecto del MADRL (VI) sobre D-VD.1: los KPIs de la Tabla 5.4 muestran diferencias entre algoritmos en E1; (b) algoritmo de mayor efecto: MATD3 (Flexibilidad compuesta = 1.0009); (c) enlace a HE.1: Kruskal-Wallis p = 0.281 (seccion 5.9.5). La identificacion del lider responde al objetivo OE.1; la significancia estadistica de HE.1 se decide en 5.9.5, no en esta seccion.</w:t>
      </w:r>
    </w:p>
    <w:p>
      <w:pPr>
        <w:pStyle w:val="Heading3"/>
      </w:pPr>
      <w:r>
        <w:t>5.3.1 Respuesta a PE.1 (OE.1 / HE.1 / D-VD.1)</w:t>
      </w:r>
    </w:p>
    <w:p>
      <w:pPr>
        <w:jc w:val="both"/>
      </w:pPr>
      <w:r>
        <w:rPr>
          <w:b w:val="0"/>
          <w:i/>
        </w:rPr>
        <w:t>¿En qué medida el algoritmo MADRL (VI) produce un efecto sobre la dimensión de flexibilidad energética de la comunidad (D-VD.1), y cuál algoritmo genera el mayor efecto?</w:t>
      </w:r>
    </w:p>
    <w:p>
      <w:pPr>
        <w:jc w:val="both"/>
      </w:pPr>
      <w:r>
        <w:rPr>
          <w:b/>
          <w:i w:val="0"/>
        </w:rPr>
        <w:t>Análisis descriptivo — PE.1:</w:t>
      </w:r>
    </w:p>
    <w:p>
      <w:r>
        <w:rPr>
          <w:b/>
          <w:color w:val="595959"/>
          <w:sz w:val="19"/>
        </w:rPr>
        <w:t>Tabla 5.22. KPIs D-VD.1 por algoritmo (E1,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Flexibilidad compuesta</w:t>
            </w:r>
          </w:p>
        </w:tc>
        <w:tc>
          <w:tcPr>
            <w:tcW w:type="dxa" w:w="1417"/>
            <w:shd w:val="clear" w:color="auto" w:fill="1F4E79"/>
          </w:tcPr>
          <w:p>
            <w:r/>
            <w:r>
              <w:rPr>
                <w:b/>
                <w:color w:val="FFFFFF"/>
                <w:sz w:val="18"/>
              </w:rPr>
              <w:t>Score OE.1</w:t>
            </w:r>
          </w:p>
        </w:tc>
      </w:tr>
      <w:tr>
        <w:tc>
          <w:tcPr>
            <w:tcW w:type="dxa" w:w="1417"/>
          </w:tcPr>
          <w:p>
            <w:r/>
            <w:r>
              <w:rPr>
                <w:sz w:val="18"/>
              </w:rPr>
              <w:t>MATD3</w:t>
            </w:r>
          </w:p>
        </w:tc>
        <w:tc>
          <w:tcPr>
            <w:tcW w:type="dxa" w:w="1984"/>
          </w:tcPr>
          <w:p>
            <w:r/>
            <w:r>
              <w:rPr>
                <w:sz w:val="18"/>
              </w:rPr>
              <w:t>1.0009</w:t>
            </w:r>
          </w:p>
        </w:tc>
        <w:tc>
          <w:tcPr>
            <w:tcW w:type="dxa" w:w="1417"/>
          </w:tcPr>
          <w:p>
            <w:r/>
            <w:r>
              <w:rPr>
                <w:sz w:val="18"/>
              </w:rPr>
              <w:t>1.0000</w:t>
            </w:r>
          </w:p>
        </w:tc>
      </w:tr>
      <w:tr>
        <w:tc>
          <w:tcPr>
            <w:tcW w:type="dxa" w:w="1417"/>
          </w:tcPr>
          <w:p>
            <w:r/>
            <w:r>
              <w:rPr>
                <w:sz w:val="18"/>
              </w:rPr>
              <w:t>MAAC</w:t>
            </w:r>
          </w:p>
        </w:tc>
        <w:tc>
          <w:tcPr>
            <w:tcW w:type="dxa" w:w="1984"/>
          </w:tcPr>
          <w:p>
            <w:r/>
            <w:r>
              <w:rPr>
                <w:sz w:val="18"/>
              </w:rPr>
              <w:t>1.0124</w:t>
            </w:r>
          </w:p>
        </w:tc>
        <w:tc>
          <w:tcPr>
            <w:tcW w:type="dxa" w:w="1417"/>
          </w:tcPr>
          <w:p>
            <w:r/>
            <w:r>
              <w:rPr>
                <w:sz w:val="18"/>
              </w:rPr>
              <w:t>0.5837</w:t>
            </w:r>
          </w:p>
        </w:tc>
      </w:tr>
      <w:tr>
        <w:tc>
          <w:tcPr>
            <w:tcW w:type="dxa" w:w="1417"/>
          </w:tcPr>
          <w:p>
            <w:r/>
            <w:r>
              <w:rPr>
                <w:sz w:val="18"/>
              </w:rPr>
              <w:t>MASAC</w:t>
            </w:r>
          </w:p>
        </w:tc>
        <w:tc>
          <w:tcPr>
            <w:tcW w:type="dxa" w:w="1984"/>
          </w:tcPr>
          <w:p>
            <w:r/>
            <w:r>
              <w:rPr>
                <w:sz w:val="18"/>
              </w:rPr>
              <w:t>1.0286</w:t>
            </w:r>
          </w:p>
        </w:tc>
        <w:tc>
          <w:tcPr>
            <w:tcW w:type="dxa" w:w="1417"/>
          </w:tcPr>
          <w:p>
            <w:r/>
            <w:r>
              <w:rPr>
                <w:sz w:val="18"/>
              </w:rPr>
              <w:t>0.0000</w:t>
            </w:r>
          </w:p>
        </w:tc>
      </w:tr>
    </w:tbl>
    <w:p/>
    <w:p>
      <w:r>
        <w:rPr>
          <w:b/>
          <w:color w:val="595959"/>
          <w:sz w:val="19"/>
        </w:rPr>
        <w:t>Tabla 5.23. Estadística descriptiva episódica OE.1 — reward_mean por episodio (E1).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MAAC</w:t>
            </w:r>
          </w:p>
        </w:tc>
        <w:tc>
          <w:tcPr>
            <w:tcW w:type="dxa" w:w="680"/>
          </w:tcPr>
          <w:p>
            <w:r/>
            <w:r>
              <w:rPr>
                <w:sz w:val="18"/>
              </w:rPr>
              <w:t>50</w:t>
            </w:r>
          </w:p>
        </w:tc>
        <w:tc>
          <w:tcPr>
            <w:tcW w:type="dxa" w:w="1247"/>
          </w:tcPr>
          <w:p>
            <w:r/>
            <w:r>
              <w:rPr>
                <w:sz w:val="18"/>
              </w:rPr>
              <w:t>-0.6052</w:t>
            </w:r>
          </w:p>
        </w:tc>
        <w:tc>
          <w:tcPr>
            <w:tcW w:type="dxa" w:w="1247"/>
          </w:tcPr>
          <w:p>
            <w:r/>
            <w:r>
              <w:rPr>
                <w:sz w:val="18"/>
              </w:rPr>
              <w:t>-0.6126</w:t>
            </w:r>
          </w:p>
        </w:tc>
        <w:tc>
          <w:tcPr>
            <w:tcW w:type="dxa" w:w="1247"/>
          </w:tcPr>
          <w:p>
            <w:r/>
            <w:r>
              <w:rPr>
                <w:sz w:val="18"/>
              </w:rPr>
              <w:t>0.0147</w:t>
            </w:r>
          </w:p>
        </w:tc>
      </w:tr>
      <w:tr>
        <w:tc>
          <w:tcPr>
            <w:tcW w:type="dxa" w:w="1134"/>
          </w:tcPr>
          <w:p>
            <w:r/>
            <w:r>
              <w:rPr>
                <w:sz w:val="18"/>
              </w:rPr>
              <w:t>MASAC</w:t>
            </w:r>
          </w:p>
        </w:tc>
        <w:tc>
          <w:tcPr>
            <w:tcW w:type="dxa" w:w="680"/>
          </w:tcPr>
          <w:p>
            <w:r/>
            <w:r>
              <w:rPr>
                <w:sz w:val="18"/>
              </w:rPr>
              <w:t>50</w:t>
            </w:r>
          </w:p>
        </w:tc>
        <w:tc>
          <w:tcPr>
            <w:tcW w:type="dxa" w:w="1247"/>
          </w:tcPr>
          <w:p>
            <w:r/>
            <w:r>
              <w:rPr>
                <w:sz w:val="18"/>
              </w:rPr>
              <w:t>-0.6133</w:t>
            </w:r>
          </w:p>
        </w:tc>
        <w:tc>
          <w:tcPr>
            <w:tcW w:type="dxa" w:w="1247"/>
          </w:tcPr>
          <w:p>
            <w:r/>
            <w:r>
              <w:rPr>
                <w:sz w:val="18"/>
              </w:rPr>
              <w:t>-0.6198</w:t>
            </w:r>
          </w:p>
        </w:tc>
        <w:tc>
          <w:tcPr>
            <w:tcW w:type="dxa" w:w="1247"/>
          </w:tcPr>
          <w:p>
            <w:r/>
            <w:r>
              <w:rPr>
                <w:sz w:val="18"/>
              </w:rPr>
              <w:t>0.0141</w:t>
            </w:r>
          </w:p>
        </w:tc>
      </w:tr>
      <w:tr>
        <w:tc>
          <w:tcPr>
            <w:tcW w:type="dxa" w:w="1134"/>
          </w:tcPr>
          <w:p>
            <w:r/>
            <w:r>
              <w:rPr>
                <w:sz w:val="18"/>
              </w:rPr>
              <w:t>MATD3</w:t>
            </w:r>
          </w:p>
        </w:tc>
        <w:tc>
          <w:tcPr>
            <w:tcW w:type="dxa" w:w="680"/>
          </w:tcPr>
          <w:p>
            <w:r/>
            <w:r>
              <w:rPr>
                <w:sz w:val="18"/>
              </w:rPr>
              <w:t>50</w:t>
            </w:r>
          </w:p>
        </w:tc>
        <w:tc>
          <w:tcPr>
            <w:tcW w:type="dxa" w:w="1247"/>
          </w:tcPr>
          <w:p>
            <w:r/>
            <w:r>
              <w:rPr>
                <w:sz w:val="18"/>
              </w:rPr>
              <w:t>-0.6330</w:t>
            </w:r>
          </w:p>
        </w:tc>
        <w:tc>
          <w:tcPr>
            <w:tcW w:type="dxa" w:w="1247"/>
          </w:tcPr>
          <w:p>
            <w:r/>
            <w:r>
              <w:rPr>
                <w:sz w:val="18"/>
              </w:rPr>
              <w:t>-0.6208</w:t>
            </w:r>
          </w:p>
        </w:tc>
        <w:tc>
          <w:tcPr>
            <w:tcW w:type="dxa" w:w="1247"/>
          </w:tcPr>
          <w:p>
            <w:r/>
            <w:r>
              <w:rPr>
                <w:sz w:val="18"/>
              </w:rPr>
              <w:t>0.0470</w:t>
            </w:r>
          </w:p>
        </w:tc>
      </w:tr>
      <w:tr>
        <w:tc>
          <w:tcPr>
            <w:tcW w:type="dxa" w:w="1134"/>
          </w:tcPr>
          <w:p>
            <w:r/>
            <w:r>
              <w:rPr>
                <w:sz w:val="18"/>
              </w:rPr>
              <w:t>HAPPO</w:t>
            </w:r>
          </w:p>
        </w:tc>
        <w:tc>
          <w:tcPr>
            <w:tcW w:type="dxa" w:w="680"/>
          </w:tcPr>
          <w:p>
            <w:r/>
            <w:r>
              <w:rPr>
                <w:sz w:val="18"/>
              </w:rPr>
              <w:t>49</w:t>
            </w:r>
          </w:p>
        </w:tc>
        <w:tc>
          <w:tcPr>
            <w:tcW w:type="dxa" w:w="1247"/>
          </w:tcPr>
          <w:p>
            <w:r/>
            <w:r>
              <w:rPr>
                <w:sz w:val="18"/>
              </w:rPr>
              <w:t>-0.6303</w:t>
            </w:r>
          </w:p>
        </w:tc>
        <w:tc>
          <w:tcPr>
            <w:tcW w:type="dxa" w:w="1247"/>
          </w:tcPr>
          <w:p>
            <w:r/>
            <w:r>
              <w:rPr>
                <w:sz w:val="18"/>
              </w:rPr>
              <w:t>-0.6303</w:t>
            </w:r>
          </w:p>
        </w:tc>
        <w:tc>
          <w:tcPr>
            <w:tcW w:type="dxa" w:w="1247"/>
          </w:tcPr>
          <w:p>
            <w:r/>
            <w:r>
              <w:rPr>
                <w:sz w:val="18"/>
              </w:rPr>
              <w:t>0.0213</w:t>
            </w:r>
          </w:p>
        </w:tc>
      </w:tr>
    </w:tbl>
    <w:p/>
    <w:p>
      <w:pPr>
        <w:jc w:val="both"/>
      </w:pPr>
      <w:r>
        <w:rPr>
          <w:b w:val="0"/>
          <w:i w:val="0"/>
        </w:rPr>
        <w:t>Magnitud del efecto: Flexibilidad compuesta del líder MATD3 = 1.0009; diferencias respecto al mejor: MAAC: 0.0115 (+1.1% vs MATD3); MASAC: 0.0276 (+2.8% vs MATD3).</w:t>
      </w:r>
    </w:p>
    <w:p>
      <w:pPr>
        <w:jc w:val="both"/>
      </w:pPr>
      <w:r>
        <w:rPr>
          <w:b w:val="0"/>
          <w:i w:val="0"/>
        </w:rPr>
        <w:t>Respuesta explícita: En qué medida: el MADRL (VI) modifica D-VD.1 con magnitudes distinguibles entre algoritmos (Flexibilidad compuesta MATD3 = 1.0009; score OE.1 = 1.0000); deltas frente al lider: MAAC 0.0115 (+1.1% vs MATD3); MASAC 0.0276 (+2.8% vs MATD3). Mayor efecto: MATD3 porque registra el mejor Flexibilidad compuesta en E1 (1.0009) y el score normalizado OE.1 = 1.0000.</w:t>
      </w:r>
    </w:p>
    <w:p>
      <w:pPr>
        <w:jc w:val="both"/>
      </w:pPr>
      <w:r>
        <w:rPr>
          <w:b/>
          <w:i w:val="0"/>
        </w:rPr>
        <w:t>Análisis inferencial — PE.1:</w:t>
      </w:r>
    </w:p>
    <w:p>
      <w:r>
        <w:rPr>
          <w:b/>
          <w:color w:val="595959"/>
          <w:sz w:val="19"/>
        </w:rPr>
        <w:t>Tabla 5.24. Shapiro-Wilk por grupo (HE.1,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9.508e-08</w:t>
            </w:r>
          </w:p>
        </w:tc>
        <w:tc>
          <w:tcPr>
            <w:tcW w:type="dxa" w:w="1701"/>
          </w:tcPr>
          <w:p>
            <w:r/>
            <w:r>
              <w:rPr>
                <w:sz w:val="18"/>
              </w:rPr>
              <w:t>Si</w:t>
            </w:r>
          </w:p>
        </w:tc>
      </w:tr>
      <w:tr>
        <w:tc>
          <w:tcPr>
            <w:tcW w:type="dxa" w:w="1417"/>
          </w:tcPr>
          <w:p>
            <w:r/>
            <w:r>
              <w:rPr>
                <w:sz w:val="18"/>
              </w:rPr>
              <w:t>MATD3</w:t>
            </w:r>
          </w:p>
        </w:tc>
        <w:tc>
          <w:tcPr>
            <w:tcW w:type="dxa" w:w="1701"/>
          </w:tcPr>
          <w:p>
            <w:r/>
            <w:r>
              <w:rPr>
                <w:sz w:val="18"/>
              </w:rPr>
              <w:t>2.230e-07</w:t>
            </w:r>
          </w:p>
        </w:tc>
        <w:tc>
          <w:tcPr>
            <w:tcW w:type="dxa" w:w="1701"/>
          </w:tcPr>
          <w:p>
            <w:r/>
            <w:r>
              <w:rPr>
                <w:sz w:val="18"/>
              </w:rPr>
              <w:t>Si</w:t>
            </w:r>
          </w:p>
        </w:tc>
      </w:tr>
      <w:tr>
        <w:tc>
          <w:tcPr>
            <w:tcW w:type="dxa" w:w="1417"/>
          </w:tcPr>
          <w:p>
            <w:r/>
            <w:r>
              <w:rPr>
                <w:sz w:val="18"/>
              </w:rPr>
              <w:t>MAAC</w:t>
            </w:r>
          </w:p>
        </w:tc>
        <w:tc>
          <w:tcPr>
            <w:tcW w:type="dxa" w:w="1701"/>
          </w:tcPr>
          <w:p>
            <w:r/>
            <w:r>
              <w:rPr>
                <w:sz w:val="18"/>
              </w:rPr>
              <w:t>2.363e-07</w:t>
            </w:r>
          </w:p>
        </w:tc>
        <w:tc>
          <w:tcPr>
            <w:tcW w:type="dxa" w:w="1701"/>
          </w:tcPr>
          <w:p>
            <w:r/>
            <w:r>
              <w:rPr>
                <w:sz w:val="18"/>
              </w:rPr>
              <w:t>Si</w:t>
            </w:r>
          </w:p>
        </w:tc>
      </w:tr>
    </w:tbl>
    <w:p/>
    <w:p>
      <w:pPr>
        <w:jc w:val="both"/>
      </w:pPr>
      <w:r>
        <w:rPr>
          <w:b w:val="0"/>
          <w:i w:val="0"/>
        </w:rPr>
        <w:t>Kruskal-Wallis (HE.1): H = 2.541, p = 0,281; H0 no rechazada (alpha = 0,05).</w:t>
      </w:r>
    </w:p>
    <w:p>
      <w:r>
        <w:rPr>
          <w:b/>
          <w:color w:val="595959"/>
          <w:sz w:val="19"/>
        </w:rPr>
        <w:t>Tabla 5.25. Mann-Whitney U (HE.1).</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521.500</w:t>
            </w:r>
          </w:p>
        </w:tc>
        <w:tc>
          <w:tcPr>
            <w:tcW w:type="dxa" w:w="850"/>
          </w:tcPr>
          <w:p>
            <w:r/>
            <w:r>
              <w:rPr>
                <w:sz w:val="18"/>
              </w:rPr>
              <w:t>0,154</w:t>
            </w:r>
          </w:p>
        </w:tc>
        <w:tc>
          <w:tcPr>
            <w:tcW w:type="dxa" w:w="680"/>
          </w:tcPr>
          <w:p>
            <w:r/>
            <w:r>
              <w:rPr>
                <w:sz w:val="18"/>
              </w:rPr>
              <w:t>No</w:t>
            </w:r>
          </w:p>
        </w:tc>
        <w:tc>
          <w:tcPr>
            <w:tcW w:type="dxa" w:w="1134"/>
          </w:tcPr>
          <w:p>
            <w:r/>
            <w:r>
              <w:rPr>
                <w:sz w:val="18"/>
              </w:rPr>
              <w:t>MATD3</w:t>
            </w:r>
          </w:p>
        </w:tc>
        <w:tc>
          <w:tcPr>
            <w:tcW w:type="dxa" w:w="850"/>
          </w:tcPr>
          <w:p>
            <w:r/>
            <w:r>
              <w:rPr>
                <w:sz w:val="18"/>
              </w:rPr>
              <w:t>-0.19521604938271606</w:t>
            </w:r>
          </w:p>
        </w:tc>
      </w:tr>
      <w:tr>
        <w:tc>
          <w:tcPr>
            <w:tcW w:type="dxa" w:w="1587"/>
          </w:tcPr>
          <w:p>
            <w:r/>
            <w:r>
              <w:rPr>
                <w:sz w:val="18"/>
              </w:rPr>
              <w:t>MASAC vs MAAC</w:t>
            </w:r>
          </w:p>
        </w:tc>
        <w:tc>
          <w:tcPr>
            <w:tcW w:type="dxa" w:w="737"/>
          </w:tcPr>
          <w:p>
            <w:r/>
            <w:r>
              <w:rPr>
                <w:sz w:val="18"/>
              </w:rPr>
              <w:t>538.500</w:t>
            </w:r>
          </w:p>
        </w:tc>
        <w:tc>
          <w:tcPr>
            <w:tcW w:type="dxa" w:w="850"/>
          </w:tcPr>
          <w:p>
            <w:r/>
            <w:r>
              <w:rPr>
                <w:sz w:val="18"/>
              </w:rPr>
              <w:t>0,218</w:t>
            </w:r>
          </w:p>
        </w:tc>
        <w:tc>
          <w:tcPr>
            <w:tcW w:type="dxa" w:w="680"/>
          </w:tcPr>
          <w:p>
            <w:r/>
            <w:r>
              <w:rPr>
                <w:sz w:val="18"/>
              </w:rPr>
              <w:t>No</w:t>
            </w:r>
          </w:p>
        </w:tc>
        <w:tc>
          <w:tcPr>
            <w:tcW w:type="dxa" w:w="1134"/>
          </w:tcPr>
          <w:p>
            <w:r/>
            <w:r>
              <w:rPr>
                <w:sz w:val="18"/>
              </w:rPr>
              <w:t>MAAC</w:t>
            </w:r>
          </w:p>
        </w:tc>
        <w:tc>
          <w:tcPr>
            <w:tcW w:type="dxa" w:w="850"/>
          </w:tcPr>
          <w:p>
            <w:r/>
            <w:r>
              <w:rPr>
                <w:sz w:val="18"/>
              </w:rPr>
              <w:t>-0.16898148148148148</w:t>
            </w:r>
          </w:p>
        </w:tc>
      </w:tr>
      <w:tr>
        <w:tc>
          <w:tcPr>
            <w:tcW w:type="dxa" w:w="1587"/>
          </w:tcPr>
          <w:p>
            <w:r/>
            <w:r>
              <w:rPr>
                <w:sz w:val="18"/>
              </w:rPr>
              <w:t>MATD3 vs MAAC</w:t>
            </w:r>
          </w:p>
        </w:tc>
        <w:tc>
          <w:tcPr>
            <w:tcW w:type="dxa" w:w="737"/>
          </w:tcPr>
          <w:p>
            <w:r/>
            <w:r>
              <w:rPr>
                <w:sz w:val="18"/>
              </w:rPr>
              <w:t>692.500</w:t>
            </w:r>
          </w:p>
        </w:tc>
        <w:tc>
          <w:tcPr>
            <w:tcW w:type="dxa" w:w="850"/>
          </w:tcPr>
          <w:p>
            <w:r/>
            <w:r>
              <w:rPr>
                <w:sz w:val="18"/>
              </w:rPr>
              <w:t>0,619</w:t>
            </w:r>
          </w:p>
        </w:tc>
        <w:tc>
          <w:tcPr>
            <w:tcW w:type="dxa" w:w="680"/>
          </w:tcPr>
          <w:p>
            <w:r/>
            <w:r>
              <w:rPr>
                <w:sz w:val="18"/>
              </w:rPr>
              <w:t>No</w:t>
            </w:r>
          </w:p>
        </w:tc>
        <w:tc>
          <w:tcPr>
            <w:tcW w:type="dxa" w:w="1134"/>
          </w:tcPr>
          <w:p>
            <w:r/>
            <w:r>
              <w:rPr>
                <w:sz w:val="18"/>
              </w:rPr>
              <w:t>MAAC</w:t>
            </w:r>
          </w:p>
        </w:tc>
        <w:tc>
          <w:tcPr>
            <w:tcW w:type="dxa" w:w="850"/>
          </w:tcPr>
          <w:p>
            <w:r/>
            <w:r>
              <w:rPr>
                <w:sz w:val="18"/>
              </w:rPr>
              <w:t>0.06867283950617284</w:t>
            </w:r>
          </w:p>
        </w:tc>
      </w:tr>
    </w:tbl>
    <w:p/>
    <w:p>
      <w:r>
        <w:rPr>
          <w:b/>
          <w:color w:val="595959"/>
          <w:sz w:val="19"/>
        </w:rPr>
        <w:t>Tabla 5.26. Wilcoxon signed-rank (HE.1).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123.000</w:t>
            </w:r>
          </w:p>
        </w:tc>
        <w:tc>
          <w:tcPr>
            <w:tcW w:type="dxa" w:w="850"/>
          </w:tcPr>
          <w:p>
            <w:r/>
            <w:r>
              <w:rPr>
                <w:sz w:val="18"/>
              </w:rPr>
              <w:t>0,041</w:t>
            </w:r>
          </w:p>
        </w:tc>
        <w:tc>
          <w:tcPr>
            <w:tcW w:type="dxa" w:w="680"/>
          </w:tcPr>
          <w:p>
            <w:r/>
            <w:r>
              <w:rPr>
                <w:sz w:val="18"/>
              </w:rPr>
              <w:t>Si</w:t>
            </w:r>
          </w:p>
        </w:tc>
        <w:tc>
          <w:tcPr>
            <w:tcW w:type="dxa" w:w="1417"/>
          </w:tcPr>
          <w:p>
            <w:r/>
            <w:r>
              <w:rPr>
                <w:sz w:val="18"/>
              </w:rPr>
              <w:t>MATD3</w:t>
            </w:r>
          </w:p>
        </w:tc>
      </w:tr>
      <w:tr>
        <w:tc>
          <w:tcPr>
            <w:tcW w:type="dxa" w:w="1587"/>
          </w:tcPr>
          <w:p>
            <w:r/>
            <w:r>
              <w:rPr>
                <w:sz w:val="18"/>
              </w:rPr>
              <w:t>MASAC vs MAAC</w:t>
            </w:r>
          </w:p>
        </w:tc>
        <w:tc>
          <w:tcPr>
            <w:tcW w:type="dxa" w:w="737"/>
          </w:tcPr>
          <w:p>
            <w:r/>
            <w:r>
              <w:rPr>
                <w:sz w:val="18"/>
              </w:rPr>
              <w:t>69.000</w:t>
            </w:r>
          </w:p>
        </w:tc>
        <w:tc>
          <w:tcPr>
            <w:tcW w:type="dxa" w:w="850"/>
          </w:tcPr>
          <w:p>
            <w:r/>
            <w:r>
              <w:rPr>
                <w:sz w:val="18"/>
              </w:rPr>
              <w:t>0,001</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138.000</w:t>
            </w:r>
          </w:p>
        </w:tc>
        <w:tc>
          <w:tcPr>
            <w:tcW w:type="dxa" w:w="850"/>
          </w:tcPr>
          <w:p>
            <w:r/>
            <w:r>
              <w:rPr>
                <w:sz w:val="18"/>
              </w:rPr>
              <w:t>0,220</w:t>
            </w:r>
          </w:p>
        </w:tc>
        <w:tc>
          <w:tcPr>
            <w:tcW w:type="dxa" w:w="680"/>
          </w:tcPr>
          <w:p>
            <w:r/>
            <w:r>
              <w:rPr>
                <w:sz w:val="18"/>
              </w:rPr>
              <w:t>No</w:t>
            </w:r>
          </w:p>
        </w:tc>
        <w:tc>
          <w:tcPr>
            <w:tcW w:type="dxa" w:w="1417"/>
          </w:tcPr>
          <w:p>
            <w:r/>
            <w:r>
              <w:rPr>
                <w:sz w:val="18"/>
              </w:rPr>
              <w:t>MATD3</w:t>
            </w:r>
          </w:p>
        </w:tc>
      </w:tr>
    </w:tbl>
    <w:p/>
    <w:p>
      <w:pPr>
        <w:jc w:val="both"/>
      </w:pPr>
      <w:r>
        <w:rPr>
          <w:b w:val="0"/>
          <w:i w:val="0"/>
        </w:rPr>
        <w:t>Respuesta explícita: En qué medida inferencial: H0 de igualdad global entre algoritmos no rechazada (Kruskal-Wallis HE.1, p = 0,281); el efecto entre algoritmos no es estadísticamente distinguible al nivel omnibus (alpha = 0,05). Shapiro-Wilk: normalidad rechazada en al menos un grupo (HE.1). Mann-Whitney U: ningún par significativo. Wilcoxon pareado (exploratorio): MASAC vs MATD3 (p = 0,041, mejor MATD3), MASAC vs MAAC (p = 0,001, mejor MAAC). Mayor efecto por mediana KPI-gain: MAAC.</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(a) efecto del MADRL (VI) sobre D-VD.2: los KPIs de la Tabla 5.5 muestran diferencias entre algoritmos en E2; (b) algoritmo de mayor efecto: MATD3 (Delta CO2 (kg) = 23,070); (c) enlace a HE.2: Kruskal-Wallis p = 0.546 (seccion 5.9.5). La identificacion del lider responde al objetivo OE.2; la significancia estadistica de HE.2 se decide en 5.9.5, no en esta seccion.</w:t>
      </w:r>
    </w:p>
    <w:p>
      <w:pPr>
        <w:pStyle w:val="Heading3"/>
      </w:pPr>
      <w:r>
        <w:t>5.4.1 Respuesta a PE.2 (OE.2 / HE.2 / D-VD.2)</w:t>
      </w:r>
    </w:p>
    <w:p>
      <w:pPr>
        <w:jc w:val="both"/>
      </w:pPr>
      <w:r>
        <w:rPr>
          <w:b w:val="0"/>
          <w:i/>
        </w:rPr>
        <w:t>¿En qué medida el algoritmo MADRL (VI) produce un efecto sobre la dimensión de emisiones de CO2 de la comunidad (D-VD.2), y cuál algoritmo genera el mayor efecto?</w:t>
      </w:r>
    </w:p>
    <w:p>
      <w:pPr>
        <w:jc w:val="both"/>
      </w:pPr>
      <w:r>
        <w:rPr>
          <w:b/>
          <w:i w:val="0"/>
        </w:rPr>
        <w:t>Análisis descriptivo — PE.2:</w:t>
      </w:r>
    </w:p>
    <w:p>
      <w:r>
        <w:rPr>
          <w:b/>
          <w:color w:val="595959"/>
          <w:sz w:val="19"/>
        </w:rPr>
        <w:t>Tabla 5.28. KPIs D-VD.2 por algoritmo (E2,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CO2 (kg)</w:t>
            </w:r>
          </w:p>
        </w:tc>
        <w:tc>
          <w:tcPr>
            <w:tcW w:type="dxa" w:w="1417"/>
            <w:shd w:val="clear" w:color="auto" w:fill="1F4E79"/>
          </w:tcPr>
          <w:p>
            <w:r/>
            <w:r>
              <w:rPr>
                <w:b/>
                <w:color w:val="FFFFFF"/>
                <w:sz w:val="18"/>
              </w:rPr>
              <w:t>Score OE.2</w:t>
            </w:r>
          </w:p>
        </w:tc>
      </w:tr>
      <w:tr>
        <w:tc>
          <w:tcPr>
            <w:tcW w:type="dxa" w:w="1417"/>
          </w:tcPr>
          <w:p>
            <w:r/>
            <w:r>
              <w:rPr>
                <w:sz w:val="18"/>
              </w:rPr>
              <w:t>MATD3</w:t>
            </w:r>
          </w:p>
        </w:tc>
        <w:tc>
          <w:tcPr>
            <w:tcW w:type="dxa" w:w="1984"/>
          </w:tcPr>
          <w:p>
            <w:r/>
            <w:r>
              <w:rPr>
                <w:sz w:val="18"/>
              </w:rPr>
              <w:t>23,070</w:t>
            </w:r>
          </w:p>
        </w:tc>
        <w:tc>
          <w:tcPr>
            <w:tcW w:type="dxa" w:w="1417"/>
          </w:tcPr>
          <w:p>
            <w:r/>
            <w:r>
              <w:rPr>
                <w:sz w:val="18"/>
              </w:rPr>
              <w:t>1.0000</w:t>
            </w:r>
          </w:p>
        </w:tc>
      </w:tr>
      <w:tr>
        <w:tc>
          <w:tcPr>
            <w:tcW w:type="dxa" w:w="1417"/>
          </w:tcPr>
          <w:p>
            <w:r/>
            <w:r>
              <w:rPr>
                <w:sz w:val="18"/>
              </w:rPr>
              <w:t>MAAC</w:t>
            </w:r>
          </w:p>
        </w:tc>
        <w:tc>
          <w:tcPr>
            <w:tcW w:type="dxa" w:w="1984"/>
          </w:tcPr>
          <w:p>
            <w:r/>
            <w:r>
              <w:rPr>
                <w:sz w:val="18"/>
              </w:rPr>
              <w:t>70,654</w:t>
            </w:r>
          </w:p>
        </w:tc>
        <w:tc>
          <w:tcPr>
            <w:tcW w:type="dxa" w:w="1417"/>
          </w:tcPr>
          <w:p>
            <w:r/>
            <w:r>
              <w:rPr>
                <w:sz w:val="18"/>
              </w:rPr>
              <w:t>0.1282</w:t>
            </w:r>
          </w:p>
        </w:tc>
      </w:tr>
      <w:tr>
        <w:tc>
          <w:tcPr>
            <w:tcW w:type="dxa" w:w="1417"/>
          </w:tcPr>
          <w:p>
            <w:r/>
            <w:r>
              <w:rPr>
                <w:sz w:val="18"/>
              </w:rPr>
              <w:t>MASAC</w:t>
            </w:r>
          </w:p>
        </w:tc>
        <w:tc>
          <w:tcPr>
            <w:tcW w:type="dxa" w:w="1984"/>
          </w:tcPr>
          <w:p>
            <w:r/>
            <w:r>
              <w:rPr>
                <w:sz w:val="18"/>
              </w:rPr>
              <w:t>77,649</w:t>
            </w:r>
          </w:p>
        </w:tc>
        <w:tc>
          <w:tcPr>
            <w:tcW w:type="dxa" w:w="1417"/>
          </w:tcPr>
          <w:p>
            <w:r/>
            <w:r>
              <w:rPr>
                <w:sz w:val="18"/>
              </w:rPr>
              <w:t>0.0000</w:t>
            </w:r>
          </w:p>
        </w:tc>
      </w:tr>
    </w:tbl>
    <w:p/>
    <w:p>
      <w:r>
        <w:rPr>
          <w:b/>
          <w:color w:val="595959"/>
          <w:sz w:val="19"/>
        </w:rPr>
        <w:t>Tabla 5.29. Estadística descriptiva episódica OE.2 — emision distrital por episodio (kgCO2 eq.) (E2).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883.0</w:t>
            </w:r>
          </w:p>
        </w:tc>
        <w:tc>
          <w:tcPr>
            <w:tcW w:type="dxa" w:w="1247"/>
          </w:tcPr>
          <w:p>
            <w:r/>
            <w:r>
              <w:rPr>
                <w:sz w:val="18"/>
              </w:rPr>
              <w:t>804.8</w:t>
            </w:r>
          </w:p>
        </w:tc>
        <w:tc>
          <w:tcPr>
            <w:tcW w:type="dxa" w:w="1247"/>
          </w:tcPr>
          <w:p>
            <w:r/>
            <w:r>
              <w:rPr>
                <w:sz w:val="18"/>
              </w:rPr>
              <w:t>287.0</w:t>
            </w:r>
          </w:p>
        </w:tc>
      </w:tr>
      <w:tr>
        <w:tc>
          <w:tcPr>
            <w:tcW w:type="dxa" w:w="1134"/>
          </w:tcPr>
          <w:p>
            <w:r/>
            <w:r>
              <w:rPr>
                <w:sz w:val="18"/>
              </w:rPr>
              <w:t>MAAC</w:t>
            </w:r>
          </w:p>
        </w:tc>
        <w:tc>
          <w:tcPr>
            <w:tcW w:type="dxa" w:w="680"/>
          </w:tcPr>
          <w:p>
            <w:r/>
            <w:r>
              <w:rPr>
                <w:sz w:val="18"/>
              </w:rPr>
              <w:t>50</w:t>
            </w:r>
          </w:p>
        </w:tc>
        <w:tc>
          <w:tcPr>
            <w:tcW w:type="dxa" w:w="1247"/>
          </w:tcPr>
          <w:p>
            <w:r/>
            <w:r>
              <w:rPr>
                <w:sz w:val="18"/>
              </w:rPr>
              <w:t>1,056.4</w:t>
            </w:r>
          </w:p>
        </w:tc>
        <w:tc>
          <w:tcPr>
            <w:tcW w:type="dxa" w:w="1247"/>
          </w:tcPr>
          <w:p>
            <w:r/>
            <w:r>
              <w:rPr>
                <w:sz w:val="18"/>
              </w:rPr>
              <w:t>1,132.6</w:t>
            </w:r>
          </w:p>
        </w:tc>
        <w:tc>
          <w:tcPr>
            <w:tcW w:type="dxa" w:w="1247"/>
          </w:tcPr>
          <w:p>
            <w:r/>
            <w:r>
              <w:rPr>
                <w:sz w:val="18"/>
              </w:rPr>
              <w:t>99.4</w:t>
            </w:r>
          </w:p>
        </w:tc>
      </w:tr>
      <w:tr>
        <w:tc>
          <w:tcPr>
            <w:tcW w:type="dxa" w:w="1134"/>
          </w:tcPr>
          <w:p>
            <w:r/>
            <w:r>
              <w:rPr>
                <w:sz w:val="18"/>
              </w:rPr>
              <w:t>MASAC</w:t>
            </w:r>
          </w:p>
        </w:tc>
        <w:tc>
          <w:tcPr>
            <w:tcW w:type="dxa" w:w="680"/>
          </w:tcPr>
          <w:p>
            <w:r/>
            <w:r>
              <w:rPr>
                <w:sz w:val="18"/>
              </w:rPr>
              <w:t>50</w:t>
            </w:r>
          </w:p>
        </w:tc>
        <w:tc>
          <w:tcPr>
            <w:tcW w:type="dxa" w:w="1247"/>
          </w:tcPr>
          <w:p>
            <w:r/>
            <w:r>
              <w:rPr>
                <w:sz w:val="18"/>
              </w:rPr>
              <w:t>1,078.4</w:t>
            </w:r>
          </w:p>
        </w:tc>
        <w:tc>
          <w:tcPr>
            <w:tcW w:type="dxa" w:w="1247"/>
          </w:tcPr>
          <w:p>
            <w:r/>
            <w:r>
              <w:rPr>
                <w:sz w:val="18"/>
              </w:rPr>
              <w:t>1,132.6</w:t>
            </w:r>
          </w:p>
        </w:tc>
        <w:tc>
          <w:tcPr>
            <w:tcW w:type="dxa" w:w="1247"/>
          </w:tcPr>
          <w:p>
            <w:r/>
            <w:r>
              <w:rPr>
                <w:sz w:val="18"/>
              </w:rPr>
              <w:t>121.1</w:t>
            </w:r>
          </w:p>
        </w:tc>
      </w:tr>
      <w:tr>
        <w:tc>
          <w:tcPr>
            <w:tcW w:type="dxa" w:w="1134"/>
          </w:tcPr>
          <w:p>
            <w:r/>
            <w:r>
              <w:rPr>
                <w:sz w:val="18"/>
              </w:rPr>
              <w:t>MATD3</w:t>
            </w:r>
          </w:p>
        </w:tc>
        <w:tc>
          <w:tcPr>
            <w:tcW w:type="dxa" w:w="680"/>
          </w:tcPr>
          <w:p>
            <w:r/>
            <w:r>
              <w:rPr>
                <w:sz w:val="18"/>
              </w:rPr>
              <w:t>50</w:t>
            </w:r>
          </w:p>
        </w:tc>
        <w:tc>
          <w:tcPr>
            <w:tcW w:type="dxa" w:w="1247"/>
          </w:tcPr>
          <w:p>
            <w:r/>
            <w:r>
              <w:rPr>
                <w:sz w:val="18"/>
              </w:rPr>
              <w:t>1,132.2</w:t>
            </w:r>
          </w:p>
        </w:tc>
        <w:tc>
          <w:tcPr>
            <w:tcW w:type="dxa" w:w="1247"/>
          </w:tcPr>
          <w:p>
            <w:r/>
            <w:r>
              <w:rPr>
                <w:sz w:val="18"/>
              </w:rPr>
              <w:t>1,137.4</w:t>
            </w:r>
          </w:p>
        </w:tc>
        <w:tc>
          <w:tcPr>
            <w:tcW w:type="dxa" w:w="1247"/>
          </w:tcPr>
          <w:p>
            <w:r/>
            <w:r>
              <w:rPr>
                <w:sz w:val="18"/>
              </w:rPr>
              <w:t>236.8</w:t>
            </w:r>
          </w:p>
        </w:tc>
      </w:tr>
    </w:tbl>
    <w:p/>
    <w:p>
      <w:pPr>
        <w:jc w:val="both"/>
      </w:pPr>
      <w:r>
        <w:rPr>
          <w:b w:val="0"/>
          <w:i w:val="0"/>
        </w:rPr>
        <w:t>Magnitud del efecto: Delta CO2 (kg) del líder MATD3 = 23,070; diferencias respecto al mejor: MAAC: 47,584 (+206.3% vs MATD3); MASAC: 54,579 (+236.6% vs MATD3).</w:t>
      </w:r>
    </w:p>
    <w:p>
      <w:pPr>
        <w:jc w:val="both"/>
      </w:pPr>
      <w:r>
        <w:rPr>
          <w:b w:val="0"/>
          <w:i w:val="0"/>
        </w:rPr>
        <w:t>Respuesta explícita: En qué medida: el MADRL (VI) modifica D-VD.2 con magnitudes distinguibles entre algoritmos (Delta CO2 (kg) MATD3 = 23,070; score OE.2 = 1.0000); deltas frente al lider: MAAC 47,584 (+206.3% vs MATD3); MASAC 54,579 (+236.6% vs MATD3). Mayor efecto: MATD3 porque registra el mejor Delta CO2 (kg) en E2 (23,070) y el score normalizado OE.2 = 1.0000.</w:t>
      </w:r>
    </w:p>
    <w:p>
      <w:pPr>
        <w:jc w:val="both"/>
      </w:pPr>
      <w:r>
        <w:rPr>
          <w:b/>
          <w:i w:val="0"/>
        </w:rPr>
        <w:t>Análisis inferencial — PE.2:</w:t>
      </w:r>
    </w:p>
    <w:p>
      <w:r>
        <w:rPr>
          <w:b/>
          <w:color w:val="595959"/>
          <w:sz w:val="19"/>
        </w:rPr>
        <w:t>Tabla 5.30. Shapiro-Wilk por grupo (HE.2,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7.112e-05</w:t>
            </w:r>
          </w:p>
        </w:tc>
        <w:tc>
          <w:tcPr>
            <w:tcW w:type="dxa" w:w="1701"/>
          </w:tcPr>
          <w:p>
            <w:r/>
            <w:r>
              <w:rPr>
                <w:sz w:val="18"/>
              </w:rPr>
              <w:t>Si</w:t>
            </w:r>
          </w:p>
        </w:tc>
      </w:tr>
      <w:tr>
        <w:tc>
          <w:tcPr>
            <w:tcW w:type="dxa" w:w="1417"/>
          </w:tcPr>
          <w:p>
            <w:r/>
            <w:r>
              <w:rPr>
                <w:sz w:val="18"/>
              </w:rPr>
              <w:t>MATD3</w:t>
            </w:r>
          </w:p>
        </w:tc>
        <w:tc>
          <w:tcPr>
            <w:tcW w:type="dxa" w:w="1701"/>
          </w:tcPr>
          <w:p>
            <w:r/>
            <w:r>
              <w:rPr>
                <w:sz w:val="18"/>
              </w:rPr>
              <w:t>7.862e-05</w:t>
            </w:r>
          </w:p>
        </w:tc>
        <w:tc>
          <w:tcPr>
            <w:tcW w:type="dxa" w:w="1701"/>
          </w:tcPr>
          <w:p>
            <w:r/>
            <w:r>
              <w:rPr>
                <w:sz w:val="18"/>
              </w:rPr>
              <w:t>Si</w:t>
            </w:r>
          </w:p>
        </w:tc>
      </w:tr>
      <w:tr>
        <w:tc>
          <w:tcPr>
            <w:tcW w:type="dxa" w:w="1417"/>
          </w:tcPr>
          <w:p>
            <w:r/>
            <w:r>
              <w:rPr>
                <w:sz w:val="18"/>
              </w:rPr>
              <w:t>MAAC</w:t>
            </w:r>
          </w:p>
        </w:tc>
        <w:tc>
          <w:tcPr>
            <w:tcW w:type="dxa" w:w="1701"/>
          </w:tcPr>
          <w:p>
            <w:r/>
            <w:r>
              <w:rPr>
                <w:sz w:val="18"/>
              </w:rPr>
              <w:t>6.759e-05</w:t>
            </w:r>
          </w:p>
        </w:tc>
        <w:tc>
          <w:tcPr>
            <w:tcW w:type="dxa" w:w="1701"/>
          </w:tcPr>
          <w:p>
            <w:r/>
            <w:r>
              <w:rPr>
                <w:sz w:val="18"/>
              </w:rPr>
              <w:t>Si</w:t>
            </w:r>
          </w:p>
        </w:tc>
      </w:tr>
    </w:tbl>
    <w:p/>
    <w:p>
      <w:pPr>
        <w:jc w:val="both"/>
      </w:pPr>
      <w:r>
        <w:rPr>
          <w:b w:val="0"/>
          <w:i w:val="0"/>
        </w:rPr>
        <w:t>Kruskal-Wallis (HE.2): H = 1.211, p = 0,546; H0 no rechazada (alpha = 0,05).</w:t>
      </w:r>
    </w:p>
    <w:p>
      <w:r>
        <w:rPr>
          <w:b/>
          <w:color w:val="595959"/>
          <w:sz w:val="19"/>
        </w:rPr>
        <w:t>Tabla 5.31. Mann-Whitney U (HE.2).</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93.000</w:t>
            </w:r>
          </w:p>
        </w:tc>
        <w:tc>
          <w:tcPr>
            <w:tcW w:type="dxa" w:w="850"/>
          </w:tcPr>
          <w:p>
            <w:r/>
            <w:r>
              <w:rPr>
                <w:sz w:val="18"/>
              </w:rPr>
              <w:t>0,415</w:t>
            </w:r>
          </w:p>
        </w:tc>
        <w:tc>
          <w:tcPr>
            <w:tcW w:type="dxa" w:w="680"/>
          </w:tcPr>
          <w:p>
            <w:r/>
            <w:r>
              <w:rPr>
                <w:sz w:val="18"/>
              </w:rPr>
              <w:t>No</w:t>
            </w:r>
          </w:p>
        </w:tc>
        <w:tc>
          <w:tcPr>
            <w:tcW w:type="dxa" w:w="1134"/>
          </w:tcPr>
          <w:p>
            <w:r/>
            <w:r>
              <w:rPr>
                <w:sz w:val="18"/>
              </w:rPr>
              <w:t>MATD3</w:t>
            </w:r>
          </w:p>
        </w:tc>
        <w:tc>
          <w:tcPr>
            <w:tcW w:type="dxa" w:w="850"/>
          </w:tcPr>
          <w:p>
            <w:r/>
            <w:r>
              <w:rPr>
                <w:sz w:val="18"/>
              </w:rPr>
              <w:t>-0.17333333333333334</w:t>
            </w:r>
          </w:p>
        </w:tc>
      </w:tr>
      <w:tr>
        <w:tc>
          <w:tcPr>
            <w:tcW w:type="dxa" w:w="1587"/>
          </w:tcPr>
          <w:p>
            <w:r/>
            <w:r>
              <w:rPr>
                <w:sz w:val="18"/>
              </w:rPr>
              <w:t>MASAC vs MAAC</w:t>
            </w:r>
          </w:p>
        </w:tc>
        <w:tc>
          <w:tcPr>
            <w:tcW w:type="dxa" w:w="737"/>
          </w:tcPr>
          <w:p>
            <w:r/>
            <w:r>
              <w:rPr>
                <w:sz w:val="18"/>
              </w:rPr>
              <w:t>90.000</w:t>
            </w:r>
          </w:p>
        </w:tc>
        <w:tc>
          <w:tcPr>
            <w:tcW w:type="dxa" w:w="850"/>
          </w:tcPr>
          <w:p>
            <w:r/>
            <w:r>
              <w:rPr>
                <w:sz w:val="18"/>
              </w:rPr>
              <w:t>0,346</w:t>
            </w:r>
          </w:p>
        </w:tc>
        <w:tc>
          <w:tcPr>
            <w:tcW w:type="dxa" w:w="680"/>
          </w:tcPr>
          <w:p>
            <w:r/>
            <w:r>
              <w:rPr>
                <w:sz w:val="18"/>
              </w:rPr>
              <w:t>No</w:t>
            </w:r>
          </w:p>
        </w:tc>
        <w:tc>
          <w:tcPr>
            <w:tcW w:type="dxa" w:w="1134"/>
          </w:tcPr>
          <w:p>
            <w:r/>
            <w:r>
              <w:rPr>
                <w:sz w:val="18"/>
              </w:rPr>
              <w:t>MAAC</w:t>
            </w:r>
          </w:p>
        </w:tc>
        <w:tc>
          <w:tcPr>
            <w:tcW w:type="dxa" w:w="850"/>
          </w:tcPr>
          <w:p>
            <w:r/>
            <w:r>
              <w:rPr>
                <w:sz w:val="18"/>
              </w:rPr>
              <w:t>-0.2</w:t>
            </w:r>
          </w:p>
        </w:tc>
      </w:tr>
      <w:tr>
        <w:tc>
          <w:tcPr>
            <w:tcW w:type="dxa" w:w="1587"/>
          </w:tcPr>
          <w:p>
            <w:r/>
            <w:r>
              <w:rPr>
                <w:sz w:val="18"/>
              </w:rPr>
              <w:t>MATD3 vs MAAC</w:t>
            </w:r>
          </w:p>
        </w:tc>
        <w:tc>
          <w:tcPr>
            <w:tcW w:type="dxa" w:w="737"/>
          </w:tcPr>
          <w:p>
            <w:r/>
            <w:r>
              <w:rPr>
                <w:sz w:val="18"/>
              </w:rPr>
              <w:t>126.000</w:t>
            </w:r>
          </w:p>
        </w:tc>
        <w:tc>
          <w:tcPr>
            <w:tcW w:type="dxa" w:w="850"/>
          </w:tcPr>
          <w:p>
            <w:r/>
            <w:r>
              <w:rPr>
                <w:sz w:val="18"/>
              </w:rPr>
              <w:t>0,577</w:t>
            </w:r>
          </w:p>
        </w:tc>
        <w:tc>
          <w:tcPr>
            <w:tcW w:type="dxa" w:w="680"/>
          </w:tcPr>
          <w:p>
            <w:r/>
            <w:r>
              <w:rPr>
                <w:sz w:val="18"/>
              </w:rPr>
              <w:t>No</w:t>
            </w:r>
          </w:p>
        </w:tc>
        <w:tc>
          <w:tcPr>
            <w:tcW w:type="dxa" w:w="1134"/>
          </w:tcPr>
          <w:p>
            <w:r/>
            <w:r>
              <w:rPr>
                <w:sz w:val="18"/>
              </w:rPr>
              <w:t>MATD3</w:t>
            </w:r>
          </w:p>
        </w:tc>
        <w:tc>
          <w:tcPr>
            <w:tcW w:type="dxa" w:w="850"/>
          </w:tcPr>
          <w:p>
            <w:r/>
            <w:r>
              <w:rPr>
                <w:sz w:val="18"/>
              </w:rPr>
              <w:t>0.12</w:t>
            </w:r>
          </w:p>
        </w:tc>
      </w:tr>
    </w:tbl>
    <w:p/>
    <w:p>
      <w:r>
        <w:rPr>
          <w:b/>
          <w:color w:val="595959"/>
          <w:sz w:val="19"/>
        </w:rPr>
        <w:t>Tabla 5.32. Wilcoxon signed-rank (HE.2).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8.000</w:t>
            </w:r>
          </w:p>
        </w:tc>
        <w:tc>
          <w:tcPr>
            <w:tcW w:type="dxa" w:w="850"/>
          </w:tcPr>
          <w:p>
            <w:r/>
            <w:r>
              <w:rPr>
                <w:sz w:val="18"/>
              </w:rPr>
              <w:t>0,086</w:t>
            </w:r>
          </w:p>
        </w:tc>
        <w:tc>
          <w:tcPr>
            <w:tcW w:type="dxa" w:w="680"/>
          </w:tcPr>
          <w:p>
            <w:r/>
            <w:r>
              <w:rPr>
                <w:sz w:val="18"/>
              </w:rPr>
              <w:t>No</w:t>
            </w:r>
          </w:p>
        </w:tc>
        <w:tc>
          <w:tcPr>
            <w:tcW w:type="dxa" w:w="1417"/>
          </w:tcPr>
          <w:p>
            <w:r/>
            <w:r>
              <w:rPr>
                <w:sz w:val="18"/>
              </w:rPr>
              <w:t>MATD3</w:t>
            </w:r>
          </w:p>
        </w:tc>
      </w:tr>
      <w:tr>
        <w:tc>
          <w:tcPr>
            <w:tcW w:type="dxa" w:w="1587"/>
          </w:tcPr>
          <w:p>
            <w:r/>
            <w:r>
              <w:rPr>
                <w:sz w:val="18"/>
              </w:rPr>
              <w:t>MASAC vs MAAC</w:t>
            </w:r>
          </w:p>
        </w:tc>
        <w:tc>
          <w:tcPr>
            <w:tcW w:type="dxa" w:w="737"/>
          </w:tcPr>
          <w:p>
            <w:r/>
            <w:r>
              <w:rPr>
                <w:sz w:val="18"/>
              </w:rPr>
              <w:t>0.000</w:t>
            </w:r>
          </w:p>
        </w:tc>
        <w:tc>
          <w:tcPr>
            <w:tcW w:type="dxa" w:w="850"/>
          </w:tcPr>
          <w:p>
            <w:r/>
            <w:r>
              <w:rPr>
                <w:sz w:val="18"/>
              </w:rPr>
              <w:t>0,008</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17.000</w:t>
            </w:r>
          </w:p>
        </w:tc>
        <w:tc>
          <w:tcPr>
            <w:tcW w:type="dxa" w:w="850"/>
          </w:tcPr>
          <w:p>
            <w:r/>
            <w:r>
              <w:rPr>
                <w:sz w:val="18"/>
              </w:rPr>
              <w:t>0,515</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HE.2, p = 0,546); el efecto entre algoritmos no es estadísticamente distinguible al nivel omnibus (alpha = 0,05). Shapiro-Wilk: normalidad rechazada en al menos un grupo (HE.2). Mann-Whitney U: ningún par significativo. Wilcoxon pareado (exploratorio): MASAC vs MAAC (p = 0,008, mejor MAAC). Mayor efecto por mediana KPI-gain: MATD3.</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(a) efecto del MADRL (VI) sobre D-VD.3: los KPIs de la Tabla 5.6 muestran diferencias entre algoritmos en E3; (b) algoritmo de mayor efecto: MAAC (Delta costo electrico (EUR) = 9,515); (c) enlace a HE.3: Kruskal-Wallis p = 0.388 (seccion 5.9.5). La identificacion del lider responde al objetivo OE.3; la significancia estadistica de HE.3 se decide en 5.9.5, no en esta seccion.</w:t>
      </w:r>
    </w:p>
    <w:p>
      <w:pPr>
        <w:pStyle w:val="Heading3"/>
      </w:pPr>
      <w:r>
        <w:t>5.5.1 Respuesta a PE.3 (OE.3 / HE.3 / D-VD.3)</w:t>
      </w:r>
    </w:p>
    <w:p>
      <w:pPr>
        <w:jc w:val="both"/>
      </w:pPr>
      <w:r>
        <w:rPr>
          <w:b w:val="0"/>
          <w:i/>
        </w:rPr>
        <w:t>¿En qué medida el algoritmo MADRL (VI) produce un efecto sobre la dimensión de costos energéticos de la comunidad (D-VD.3), y cuál algoritmo genera el mayor efecto?</w:t>
      </w:r>
    </w:p>
    <w:p>
      <w:pPr>
        <w:jc w:val="both"/>
      </w:pPr>
      <w:r>
        <w:rPr>
          <w:b/>
          <w:i w:val="0"/>
        </w:rPr>
        <w:t>Análisis descriptivo — PE.3:</w:t>
      </w:r>
    </w:p>
    <w:p>
      <w:r>
        <w:rPr>
          <w:b/>
          <w:color w:val="595959"/>
          <w:sz w:val="19"/>
        </w:rPr>
        <w:t>Tabla 5.34. KPIs D-VD.3 por algoritmo (E3,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costo electrico (EUR)</w:t>
            </w:r>
          </w:p>
        </w:tc>
        <w:tc>
          <w:tcPr>
            <w:tcW w:type="dxa" w:w="1417"/>
            <w:shd w:val="clear" w:color="auto" w:fill="1F4E79"/>
          </w:tcPr>
          <w:p>
            <w:r/>
            <w:r>
              <w:rPr>
                <w:b/>
                <w:color w:val="FFFFFF"/>
                <w:sz w:val="18"/>
              </w:rPr>
              <w:t>Score OE.3</w:t>
            </w:r>
          </w:p>
        </w:tc>
      </w:tr>
      <w:tr>
        <w:tc>
          <w:tcPr>
            <w:tcW w:type="dxa" w:w="1417"/>
          </w:tcPr>
          <w:p>
            <w:r/>
            <w:r>
              <w:rPr>
                <w:sz w:val="18"/>
              </w:rPr>
              <w:t>MAAC</w:t>
            </w:r>
          </w:p>
        </w:tc>
        <w:tc>
          <w:tcPr>
            <w:tcW w:type="dxa" w:w="1984"/>
          </w:tcPr>
          <w:p>
            <w:r/>
            <w:r>
              <w:rPr>
                <w:sz w:val="18"/>
              </w:rPr>
              <w:t>9,515</w:t>
            </w:r>
          </w:p>
        </w:tc>
        <w:tc>
          <w:tcPr>
            <w:tcW w:type="dxa" w:w="1417"/>
          </w:tcPr>
          <w:p>
            <w:r/>
            <w:r>
              <w:rPr>
                <w:sz w:val="18"/>
              </w:rPr>
              <w:t>1.0000</w:t>
            </w:r>
          </w:p>
        </w:tc>
      </w:tr>
      <w:tr>
        <w:tc>
          <w:tcPr>
            <w:tcW w:type="dxa" w:w="1417"/>
          </w:tcPr>
          <w:p>
            <w:r/>
            <w:r>
              <w:rPr>
                <w:sz w:val="18"/>
              </w:rPr>
              <w:t>MASAC</w:t>
            </w:r>
          </w:p>
        </w:tc>
        <w:tc>
          <w:tcPr>
            <w:tcW w:type="dxa" w:w="1984"/>
          </w:tcPr>
          <w:p>
            <w:r/>
            <w:r>
              <w:rPr>
                <w:sz w:val="18"/>
              </w:rPr>
              <w:t>19,793</w:t>
            </w:r>
          </w:p>
        </w:tc>
        <w:tc>
          <w:tcPr>
            <w:tcW w:type="dxa" w:w="1417"/>
          </w:tcPr>
          <w:p>
            <w:r/>
            <w:r>
              <w:rPr>
                <w:sz w:val="18"/>
              </w:rPr>
              <w:t>0.7054</w:t>
            </w:r>
          </w:p>
        </w:tc>
      </w:tr>
      <w:tr>
        <w:tc>
          <w:tcPr>
            <w:tcW w:type="dxa" w:w="1417"/>
          </w:tcPr>
          <w:p>
            <w:r/>
            <w:r>
              <w:rPr>
                <w:sz w:val="18"/>
              </w:rPr>
              <w:t>MATD3</w:t>
            </w:r>
          </w:p>
        </w:tc>
        <w:tc>
          <w:tcPr>
            <w:tcW w:type="dxa" w:w="1984"/>
          </w:tcPr>
          <w:p>
            <w:r/>
            <w:r>
              <w:rPr>
                <w:sz w:val="18"/>
              </w:rPr>
              <w:t>44,399</w:t>
            </w:r>
          </w:p>
        </w:tc>
        <w:tc>
          <w:tcPr>
            <w:tcW w:type="dxa" w:w="1417"/>
          </w:tcPr>
          <w:p>
            <w:r/>
            <w:r>
              <w:rPr>
                <w:sz w:val="18"/>
              </w:rPr>
              <w:t>0.0000</w:t>
            </w:r>
          </w:p>
        </w:tc>
      </w:tr>
    </w:tbl>
    <w:p/>
    <w:p>
      <w:r>
        <w:rPr>
          <w:b/>
          <w:color w:val="595959"/>
          <w:sz w:val="19"/>
        </w:rPr>
        <w:t>Tabla 5.35. Estadística descriptiva episódica OE.3 — costo distrital por episodio (EUR) (E3).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352.6</w:t>
            </w:r>
          </w:p>
        </w:tc>
        <w:tc>
          <w:tcPr>
            <w:tcW w:type="dxa" w:w="1247"/>
          </w:tcPr>
          <w:p>
            <w:r/>
            <w:r>
              <w:rPr>
                <w:sz w:val="18"/>
              </w:rPr>
              <w:t>232.5</w:t>
            </w:r>
          </w:p>
        </w:tc>
        <w:tc>
          <w:tcPr>
            <w:tcW w:type="dxa" w:w="1247"/>
          </w:tcPr>
          <w:p>
            <w:r/>
            <w:r>
              <w:rPr>
                <w:sz w:val="18"/>
              </w:rPr>
              <w:t>381.7</w:t>
            </w:r>
          </w:p>
        </w:tc>
      </w:tr>
      <w:tr>
        <w:tc>
          <w:tcPr>
            <w:tcW w:type="dxa" w:w="1134"/>
          </w:tcPr>
          <w:p>
            <w:r/>
            <w:r>
              <w:rPr>
                <w:sz w:val="18"/>
              </w:rPr>
              <w:t>MAAC</w:t>
            </w:r>
          </w:p>
        </w:tc>
        <w:tc>
          <w:tcPr>
            <w:tcW w:type="dxa" w:w="680"/>
          </w:tcPr>
          <w:p>
            <w:r/>
            <w:r>
              <w:rPr>
                <w:sz w:val="18"/>
              </w:rPr>
              <w:t>50</w:t>
            </w:r>
          </w:p>
        </w:tc>
        <w:tc>
          <w:tcPr>
            <w:tcW w:type="dxa" w:w="1247"/>
          </w:tcPr>
          <w:p>
            <w:r/>
            <w:r>
              <w:rPr>
                <w:sz w:val="18"/>
              </w:rPr>
              <w:t>795.4</w:t>
            </w:r>
          </w:p>
        </w:tc>
        <w:tc>
          <w:tcPr>
            <w:tcW w:type="dxa" w:w="1247"/>
          </w:tcPr>
          <w:p>
            <w:r/>
            <w:r>
              <w:rPr>
                <w:sz w:val="18"/>
              </w:rPr>
              <w:t>689.5</w:t>
            </w:r>
          </w:p>
        </w:tc>
        <w:tc>
          <w:tcPr>
            <w:tcW w:type="dxa" w:w="1247"/>
          </w:tcPr>
          <w:p>
            <w:r/>
            <w:r>
              <w:rPr>
                <w:sz w:val="18"/>
              </w:rPr>
              <w:t>212.0</w:t>
            </w:r>
          </w:p>
        </w:tc>
      </w:tr>
      <w:tr>
        <w:tc>
          <w:tcPr>
            <w:tcW w:type="dxa" w:w="1134"/>
          </w:tcPr>
          <w:p>
            <w:r/>
            <w:r>
              <w:rPr>
                <w:sz w:val="18"/>
              </w:rPr>
              <w:t>MASAC</w:t>
            </w:r>
          </w:p>
        </w:tc>
        <w:tc>
          <w:tcPr>
            <w:tcW w:type="dxa" w:w="680"/>
          </w:tcPr>
          <w:p>
            <w:r/>
            <w:r>
              <w:rPr>
                <w:sz w:val="18"/>
              </w:rPr>
              <w:t>50</w:t>
            </w:r>
          </w:p>
        </w:tc>
        <w:tc>
          <w:tcPr>
            <w:tcW w:type="dxa" w:w="1247"/>
          </w:tcPr>
          <w:p>
            <w:r/>
            <w:r>
              <w:rPr>
                <w:sz w:val="18"/>
              </w:rPr>
              <w:t>812.2</w:t>
            </w:r>
          </w:p>
        </w:tc>
        <w:tc>
          <w:tcPr>
            <w:tcW w:type="dxa" w:w="1247"/>
          </w:tcPr>
          <w:p>
            <w:r/>
            <w:r>
              <w:rPr>
                <w:sz w:val="18"/>
              </w:rPr>
              <w:t>689.5</w:t>
            </w:r>
          </w:p>
        </w:tc>
        <w:tc>
          <w:tcPr>
            <w:tcW w:type="dxa" w:w="1247"/>
          </w:tcPr>
          <w:p>
            <w:r/>
            <w:r>
              <w:rPr>
                <w:sz w:val="18"/>
              </w:rPr>
              <w:t>206.4</w:t>
            </w:r>
          </w:p>
        </w:tc>
      </w:tr>
      <w:tr>
        <w:tc>
          <w:tcPr>
            <w:tcW w:type="dxa" w:w="1134"/>
          </w:tcPr>
          <w:p>
            <w:r/>
            <w:r>
              <w:rPr>
                <w:sz w:val="18"/>
              </w:rPr>
              <w:t>MATD3</w:t>
            </w:r>
          </w:p>
        </w:tc>
        <w:tc>
          <w:tcPr>
            <w:tcW w:type="dxa" w:w="680"/>
          </w:tcPr>
          <w:p>
            <w:r/>
            <w:r>
              <w:rPr>
                <w:sz w:val="18"/>
              </w:rPr>
              <w:t>50</w:t>
            </w:r>
          </w:p>
        </w:tc>
        <w:tc>
          <w:tcPr>
            <w:tcW w:type="dxa" w:w="1247"/>
          </w:tcPr>
          <w:p>
            <w:r/>
            <w:r>
              <w:rPr>
                <w:sz w:val="18"/>
              </w:rPr>
              <w:t>759.3</w:t>
            </w:r>
          </w:p>
        </w:tc>
        <w:tc>
          <w:tcPr>
            <w:tcW w:type="dxa" w:w="1247"/>
          </w:tcPr>
          <w:p>
            <w:r/>
            <w:r>
              <w:rPr>
                <w:sz w:val="18"/>
              </w:rPr>
              <w:t>691.0</w:t>
            </w:r>
          </w:p>
        </w:tc>
        <w:tc>
          <w:tcPr>
            <w:tcW w:type="dxa" w:w="1247"/>
          </w:tcPr>
          <w:p>
            <w:r/>
            <w:r>
              <w:rPr>
                <w:sz w:val="18"/>
              </w:rPr>
              <w:t>303.9</w:t>
            </w:r>
          </w:p>
        </w:tc>
      </w:tr>
    </w:tbl>
    <w:p/>
    <w:p>
      <w:pPr>
        <w:jc w:val="both"/>
      </w:pPr>
      <w:r>
        <w:rPr>
          <w:b w:val="0"/>
          <w:i w:val="0"/>
        </w:rPr>
        <w:t>Magnitud del efecto: Delta costo electrico (EUR) del líder MAAC = 9,515; diferencias respecto al mejor: MASAC: 10,278 (+108.0% vs MAAC); MATD3: 34,884 (+366.6% vs MAAC).</w:t>
      </w:r>
    </w:p>
    <w:p>
      <w:pPr>
        <w:jc w:val="both"/>
      </w:pPr>
      <w:r>
        <w:rPr>
          <w:b w:val="0"/>
          <w:i w:val="0"/>
        </w:rPr>
        <w:t>Respuesta explícita: En qué medida: el MADRL (VI) modifica D-VD.3 con magnitudes distinguibles entre algoritmos (Delta costo electrico (EUR) MAAC = 9,515; score OE.3 = 1.0000); deltas frente al lider: MASAC 10,278 (+108.0% vs MAAC); MATD3 34,884 (+366.6% vs MAAC). Mayor efecto: MAAC porque registra el mejor Delta costo electrico (EUR) en E3 (9,515) y el score normalizado OE.3 = 1.0000.</w:t>
      </w:r>
    </w:p>
    <w:p>
      <w:pPr>
        <w:jc w:val="both"/>
      </w:pPr>
      <w:r>
        <w:rPr>
          <w:b/>
          <w:i w:val="0"/>
        </w:rPr>
        <w:t>Análisis inferencial — PE.3:</w:t>
      </w:r>
    </w:p>
    <w:p>
      <w:r>
        <w:rPr>
          <w:b/>
          <w:color w:val="595959"/>
          <w:sz w:val="19"/>
        </w:rPr>
        <w:t>Tabla 5.36. Shapiro-Wilk por grupo (HE.3,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1.539e-07</w:t>
            </w:r>
          </w:p>
        </w:tc>
        <w:tc>
          <w:tcPr>
            <w:tcW w:type="dxa" w:w="1701"/>
          </w:tcPr>
          <w:p>
            <w:r/>
            <w:r>
              <w:rPr>
                <w:sz w:val="18"/>
              </w:rPr>
              <w:t>Si</w:t>
            </w:r>
          </w:p>
        </w:tc>
      </w:tr>
      <w:tr>
        <w:tc>
          <w:tcPr>
            <w:tcW w:type="dxa" w:w="1417"/>
          </w:tcPr>
          <w:p>
            <w:r/>
            <w:r>
              <w:rPr>
                <w:sz w:val="18"/>
              </w:rPr>
              <w:t>MATD3</w:t>
            </w:r>
          </w:p>
        </w:tc>
        <w:tc>
          <w:tcPr>
            <w:tcW w:type="dxa" w:w="1701"/>
          </w:tcPr>
          <w:p>
            <w:r/>
            <w:r>
              <w:rPr>
                <w:sz w:val="18"/>
              </w:rPr>
              <w:t>5.512e-08</w:t>
            </w:r>
          </w:p>
        </w:tc>
        <w:tc>
          <w:tcPr>
            <w:tcW w:type="dxa" w:w="1701"/>
          </w:tcPr>
          <w:p>
            <w:r/>
            <w:r>
              <w:rPr>
                <w:sz w:val="18"/>
              </w:rPr>
              <w:t>Si</w:t>
            </w:r>
          </w:p>
        </w:tc>
      </w:tr>
      <w:tr>
        <w:tc>
          <w:tcPr>
            <w:tcW w:type="dxa" w:w="1417"/>
          </w:tcPr>
          <w:p>
            <w:r/>
            <w:r>
              <w:rPr>
                <w:sz w:val="18"/>
              </w:rPr>
              <w:t>MAAC</w:t>
            </w:r>
          </w:p>
        </w:tc>
        <w:tc>
          <w:tcPr>
            <w:tcW w:type="dxa" w:w="1701"/>
          </w:tcPr>
          <w:p>
            <w:r/>
            <w:r>
              <w:rPr>
                <w:sz w:val="18"/>
              </w:rPr>
              <w:t>7.369e-08</w:t>
            </w:r>
          </w:p>
        </w:tc>
        <w:tc>
          <w:tcPr>
            <w:tcW w:type="dxa" w:w="1701"/>
          </w:tcPr>
          <w:p>
            <w:r/>
            <w:r>
              <w:rPr>
                <w:sz w:val="18"/>
              </w:rPr>
              <w:t>Si</w:t>
            </w:r>
          </w:p>
        </w:tc>
      </w:tr>
    </w:tbl>
    <w:p/>
    <w:p>
      <w:pPr>
        <w:jc w:val="both"/>
      </w:pPr>
      <w:r>
        <w:rPr>
          <w:b w:val="0"/>
          <w:i w:val="0"/>
        </w:rPr>
        <w:t>Kruskal-Wallis (HE.3): H = 1.893, p = 0,388; H0 no rechazada (alpha = 0,05).</w:t>
      </w:r>
    </w:p>
    <w:p>
      <w:r>
        <w:rPr>
          <w:b/>
          <w:color w:val="595959"/>
          <w:sz w:val="19"/>
        </w:rPr>
        <w:t>Tabla 5.37. Mann-Whitney U (HE.3).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276.000</w:t>
            </w:r>
          </w:p>
        </w:tc>
        <w:tc>
          <w:tcPr>
            <w:tcW w:type="dxa" w:w="850"/>
          </w:tcPr>
          <w:p>
            <w:r/>
            <w:r>
              <w:rPr>
                <w:sz w:val="18"/>
              </w:rPr>
              <w:t>0,257</w:t>
            </w:r>
          </w:p>
        </w:tc>
        <w:tc>
          <w:tcPr>
            <w:tcW w:type="dxa" w:w="680"/>
          </w:tcPr>
          <w:p>
            <w:r/>
            <w:r>
              <w:rPr>
                <w:sz w:val="18"/>
              </w:rPr>
              <w:t>No</w:t>
            </w:r>
          </w:p>
        </w:tc>
        <w:tc>
          <w:tcPr>
            <w:tcW w:type="dxa" w:w="1134"/>
          </w:tcPr>
          <w:p>
            <w:r/>
            <w:r>
              <w:rPr>
                <w:sz w:val="18"/>
              </w:rPr>
              <w:t>MATD3</w:t>
            </w:r>
          </w:p>
        </w:tc>
        <w:tc>
          <w:tcPr>
            <w:tcW w:type="dxa" w:w="850"/>
          </w:tcPr>
          <w:p>
            <w:r/>
            <w:r>
              <w:rPr>
                <w:sz w:val="18"/>
              </w:rPr>
              <w:t>-0.1834319526627219</w:t>
            </w:r>
          </w:p>
        </w:tc>
      </w:tr>
      <w:tr>
        <w:tc>
          <w:tcPr>
            <w:tcW w:type="dxa" w:w="1587"/>
          </w:tcPr>
          <w:p>
            <w:r/>
            <w:r>
              <w:rPr>
                <w:sz w:val="18"/>
              </w:rPr>
              <w:t>MASAC vs MAAC</w:t>
            </w:r>
          </w:p>
        </w:tc>
        <w:tc>
          <w:tcPr>
            <w:tcW w:type="dxa" w:w="737"/>
          </w:tcPr>
          <w:p>
            <w:r/>
            <w:r>
              <w:rPr>
                <w:sz w:val="18"/>
              </w:rPr>
              <w:t>271.000</w:t>
            </w:r>
          </w:p>
        </w:tc>
        <w:tc>
          <w:tcPr>
            <w:tcW w:type="dxa" w:w="850"/>
          </w:tcPr>
          <w:p>
            <w:r/>
            <w:r>
              <w:rPr>
                <w:sz w:val="18"/>
              </w:rPr>
              <w:t>0,221</w:t>
            </w:r>
          </w:p>
        </w:tc>
        <w:tc>
          <w:tcPr>
            <w:tcW w:type="dxa" w:w="680"/>
          </w:tcPr>
          <w:p>
            <w:r/>
            <w:r>
              <w:rPr>
                <w:sz w:val="18"/>
              </w:rPr>
              <w:t>No</w:t>
            </w:r>
          </w:p>
        </w:tc>
        <w:tc>
          <w:tcPr>
            <w:tcW w:type="dxa" w:w="1134"/>
          </w:tcPr>
          <w:p>
            <w:r/>
            <w:r>
              <w:rPr>
                <w:sz w:val="18"/>
              </w:rPr>
              <w:t>MAAC</w:t>
            </w:r>
          </w:p>
        </w:tc>
        <w:tc>
          <w:tcPr>
            <w:tcW w:type="dxa" w:w="850"/>
          </w:tcPr>
          <w:p>
            <w:r/>
            <w:r>
              <w:rPr>
                <w:sz w:val="18"/>
              </w:rPr>
              <w:t>-0.19822485207100593</w:t>
            </w:r>
          </w:p>
        </w:tc>
      </w:tr>
      <w:tr>
        <w:tc>
          <w:tcPr>
            <w:tcW w:type="dxa" w:w="1587"/>
          </w:tcPr>
          <w:p>
            <w:r/>
            <w:r>
              <w:rPr>
                <w:sz w:val="18"/>
              </w:rPr>
              <w:t>MATD3 vs MAAC</w:t>
            </w:r>
          </w:p>
        </w:tc>
        <w:tc>
          <w:tcPr>
            <w:tcW w:type="dxa" w:w="737"/>
          </w:tcPr>
          <w:p>
            <w:r/>
            <w:r>
              <w:rPr>
                <w:sz w:val="18"/>
              </w:rPr>
              <w:t>339.000</w:t>
            </w:r>
          </w:p>
        </w:tc>
        <w:tc>
          <w:tcPr>
            <w:tcW w:type="dxa" w:w="850"/>
          </w:tcPr>
          <w:p>
            <w:r/>
            <w:r>
              <w:rPr>
                <w:sz w:val="18"/>
              </w:rPr>
              <w:t>0,993</w:t>
            </w:r>
          </w:p>
        </w:tc>
        <w:tc>
          <w:tcPr>
            <w:tcW w:type="dxa" w:w="680"/>
          </w:tcPr>
          <w:p>
            <w:r/>
            <w:r>
              <w:rPr>
                <w:sz w:val="18"/>
              </w:rPr>
              <w:t>No</w:t>
            </w:r>
          </w:p>
        </w:tc>
        <w:tc>
          <w:tcPr>
            <w:tcW w:type="dxa" w:w="1134"/>
          </w:tcPr>
          <w:p>
            <w:r/>
            <w:r>
              <w:rPr>
                <w:sz w:val="18"/>
              </w:rPr>
              <w:t>MAAC</w:t>
            </w:r>
          </w:p>
        </w:tc>
        <w:tc>
          <w:tcPr>
            <w:tcW w:type="dxa" w:w="850"/>
          </w:tcPr>
          <w:p>
            <w:r/>
            <w:r>
              <w:rPr>
                <w:sz w:val="18"/>
              </w:rPr>
              <w:t>0.0029585798816568047</w:t>
            </w:r>
          </w:p>
        </w:tc>
      </w:tr>
    </w:tbl>
    <w:p/>
    <w:p>
      <w:r>
        <w:rPr>
          <w:b/>
          <w:color w:val="595959"/>
          <w:sz w:val="19"/>
        </w:rPr>
        <w:t>Tabla 5.38. Wilcoxon signed-rank (HE.3).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78.000</w:t>
            </w:r>
          </w:p>
        </w:tc>
        <w:tc>
          <w:tcPr>
            <w:tcW w:type="dxa" w:w="850"/>
          </w:tcPr>
          <w:p>
            <w:r/>
            <w:r>
              <w:rPr>
                <w:sz w:val="18"/>
              </w:rPr>
              <w:t>0,313</w:t>
            </w:r>
          </w:p>
        </w:tc>
        <w:tc>
          <w:tcPr>
            <w:tcW w:type="dxa" w:w="680"/>
          </w:tcPr>
          <w:p>
            <w:r/>
            <w:r>
              <w:rPr>
                <w:sz w:val="18"/>
              </w:rPr>
              <w:t>No</w:t>
            </w:r>
          </w:p>
        </w:tc>
        <w:tc>
          <w:tcPr>
            <w:tcW w:type="dxa" w:w="1417"/>
          </w:tcPr>
          <w:p>
            <w:r/>
            <w:r>
              <w:rPr>
                <w:sz w:val="18"/>
              </w:rPr>
              <w:t>empate</w:t>
            </w:r>
          </w:p>
        </w:tc>
      </w:tr>
      <w:tr>
        <w:tc>
          <w:tcPr>
            <w:tcW w:type="dxa" w:w="1587"/>
          </w:tcPr>
          <w:p>
            <w:r/>
            <w:r>
              <w:rPr>
                <w:sz w:val="18"/>
              </w:rPr>
              <w:t>MASAC vs MAAC</w:t>
            </w:r>
          </w:p>
        </w:tc>
        <w:tc>
          <w:tcPr>
            <w:tcW w:type="dxa" w:w="737"/>
          </w:tcPr>
          <w:p>
            <w:r/>
            <w:r>
              <w:rPr>
                <w:sz w:val="18"/>
              </w:rPr>
              <w:t>48.000</w:t>
            </w:r>
          </w:p>
        </w:tc>
        <w:tc>
          <w:tcPr>
            <w:tcW w:type="dxa" w:w="850"/>
          </w:tcPr>
          <w:p>
            <w:r/>
            <w:r>
              <w:rPr>
                <w:sz w:val="18"/>
              </w:rPr>
              <w:t>0,033</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94.000</w:t>
            </w:r>
          </w:p>
        </w:tc>
        <w:tc>
          <w:tcPr>
            <w:tcW w:type="dxa" w:w="850"/>
          </w:tcPr>
          <w:p>
            <w:r/>
            <w:r>
              <w:rPr>
                <w:sz w:val="18"/>
              </w:rPr>
              <w:t>0,681</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HE.3, p = 0,388); el efecto entre algoritmos no es estadísticamente distinguible al nivel omnibus (alpha = 0,05). Shapiro-Wilk: normalidad rechazada en al menos un grupo (HE.3). Mann-Whitney U: ningún par significativo. Wilcoxon pareado (exploratorio): MASAC vs MAAC (p = 0,033, mejor MAAC). Mayor efecto por mediana KPI-gain: MAAC.</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5.12.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 La columna «Mejor (mediana KPI-gain)» de la Tabla 5.17 refiere al lider inferencial por mediana de signed_relative_gain, que puede diferir del lider descriptivo de distrito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(KPI-gains pareados): OE.1: MASAC vs MATD3 (p = 0,041), MASAC vs MAAC (p = 0,001); OE.2: MASAC vs MAAC (p = 0,008); OE.3: MASAC vs MAAC (p = 0,033); ALL: MASAC vs MATD3 (p = 0,005), MASAC vs MAAC (p = 5,81e-06). Estos contrastes son exploratorios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p=0.281; lider descriptivo MATD3); Wilcoxon exploratorio significativo</w:t>
            </w:r>
          </w:p>
        </w:tc>
      </w:tr>
      <w:tr>
        <w:tc>
          <w:tcPr>
            <w:tcW w:type="dxa" w:w="850"/>
          </w:tcPr>
          <w:p>
            <w:r/>
            <w:r>
              <w:rPr>
                <w:sz w:val="18"/>
              </w:rPr>
              <w:t>HE.2</w:t>
            </w:r>
          </w:p>
        </w:tc>
        <w:tc>
          <w:tcPr>
            <w:tcW w:type="dxa" w:w="1134"/>
          </w:tcPr>
          <w:p>
            <w:r/>
            <w:r>
              <w:rPr>
                <w:sz w:val="18"/>
              </w:rPr>
              <w:t>OE.2 / E2</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p=0.546; lider descriptivo MATD3); Wilcoxon exploratorio significativo</w:t>
            </w:r>
          </w:p>
        </w:tc>
      </w:tr>
      <w:tr>
        <w:tc>
          <w:tcPr>
            <w:tcW w:type="dxa" w:w="850"/>
          </w:tcPr>
          <w:p>
            <w:r/>
            <w:r>
              <w:rPr>
                <w:sz w:val="18"/>
              </w:rPr>
              <w:t>HE.3</w:t>
            </w:r>
          </w:p>
        </w:tc>
        <w:tc>
          <w:tcPr>
            <w:tcW w:type="dxa" w:w="1134"/>
          </w:tcPr>
          <w:p>
            <w:r/>
            <w:r>
              <w:rPr>
                <w:sz w:val="18"/>
              </w:rPr>
              <w:t>OE.3 / E3</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p=0.388; lider descriptivo MAAC (Δcosto 9 515 EUR)); Wilcoxon exploratorio significativo</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p=0.155; lider descriptivo MATD3); Wilcoxon exploratorio significativo</w:t>
            </w:r>
          </w:p>
        </w:tc>
      </w:tr>
    </w:tbl>
    <w:p/>
    <w:p>
      <w:pPr>
        <w:jc w:val="both"/>
      </w:pPr>
      <w:r>
        <w:rPr>
          <w:b w:val="0"/>
          <w:i w:val="0"/>
        </w:rPr>
        <w:t>Decision inferencial (HG, HE.1–HE.3): en la corrida canonica de 50 episodios y una semilla, ningun Kruskal-Wallis omnibus rechaza H0 (alpha = 0,05): HE.1 p = 0,281; HE.2 p = 0,546; HE.3 p = 0,388; HG p = 0,155. Por tanto, las hipotesis de efecto estadisticamente significativo no se confirman inferencialmente con el diseno actual. La evidencia descriptiva identifica a MATD3 en flexibilidad y CO2, y a MAAC en costos (Δcosto 9 515 EUR en E3), patron coherente con la literatura de atencion multiagente para optimizacion tarifaria (Iqbal y Sha, 2019; Xie et al., 2023). Cuando el ranking descriptivo difiere del contraste omnibus no significativo, la interpretacion debe priorizar intervalos y replicacion multi-semilla (Agarwal et al., 2021; Colas et al., 2019). Wilcoxon exploratorio ALL (MASAC vs MATD3, p = 0,005) y otros pares por eje sugieren diferencias en KPI-gains pareados que requieren replicacion multi-semilla antes de sustentar conclusiones causales robustas.</w:t>
      </w:r>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5.7), coherente con Nweye et al. (2024). La ventaja descriptiva de MAAC en costos (OE.3) es consistente con criticos de atencion que ponderan interacciones entre edificios bajo senales tarifarias (Iqbal y Sha, 2019) y con estudios MADRL de demand response que reportan reducciones de costo frente a TD3/SAC sin atencion (Xie et al., 2023). Cuando el ranking descriptivo no coincide con un Kruskal-Wallis no significativo, la literatura de comparacion rigurosa de RL recomienda no elevar conclusiones causales sin intervalos ni replicacion multi-semilla (Agarwal et al., 2021; Colas et al., 2019).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3"/>
      </w:pPr>
      <w:r>
        <w:t>5.10.1 Contrastacion con antecedentes del Capitulo 2</w:t>
      </w:r>
    </w:p>
    <w:p>
      <w:pPr>
        <w:jc w:val="both"/>
      </w:pPr>
      <w:r>
        <w:rPr>
          <w:b w:val="0"/>
          <w:i w:val="0"/>
        </w:rPr>
        <w:t>Esta subseccion contrasta los resultados de PE.1-PE.3 y las hipotesis HG/HE.1-HE.3 con los 5 antecedentes internacionales (Tabla 2.4) y los 5 antecedentes nacionales/peruanos (Tabla 2.5).</w:t>
      </w:r>
    </w:p>
    <w:p>
      <w:pPr>
        <w:jc w:val="both"/>
      </w:pPr>
      <w:r>
        <w:rPr>
          <w:b w:val="0"/>
          <w:i w:val="0"/>
        </w:rPr>
        <w:t>Contrastacion con antecedentes internacionales (Tabla 2.4). Frente a Nweye et al. (2024), que estandariza KPIs de flexibilidad, CO2 y costo en CityLearn v2, esta tesis extiende el entorno a CityLearn v3 propuesto con Dec-POMDP/CTDE y cuatro backends MADRL; los resultados de 50 episodios muestran trade-offs por escenario (MATD3 en OE.1/OE.2, MAAC en OE.3) no resueltos por un unico algoritmo en la literatura base.</w:t>
      </w:r>
    </w:p>
    <w:p>
      <w:pPr>
        <w:jc w:val="both"/>
      </w:pPr>
      <w:r>
        <w:rPr>
          <w:b w:val="0"/>
          <w:i w:val="0"/>
        </w:rPr>
        <w:t>Nweye et al. (2023b) reportan HAPPO (HARL) viable en comunidades heterogeneas CityLearn, pero sin comparacion simultanea con MASAC, MATD3 y MAAC. La corrida canonica confirma efectos diferenciados entre algoritmos, aunque HG y HE.1-HE.3 no alcanzan significancia omnibus (KW p &gt; 0,05), coherente con la advertencia metodologica de comparaciones RL rigurosas (Agarwal et al., 2021).</w:t>
      </w:r>
    </w:p>
    <w:p>
      <w:pPr>
        <w:jc w:val="both"/>
      </w:pPr>
      <w:r>
        <w:rPr>
          <w:b w:val="0"/>
          <w:i w:val="0"/>
        </w:rPr>
        <w:t>Yao et al. (2023) obtienen ~15% de reduccion de pico y ~18% de costo con LSD-MADDPG en comunidades inteligentes. En PE.1 (flexibilidad, E1), MATD3 lidera descriptivamente (flex_composite = 1,0009), pero la magnitud relativa frente a baseline RBC (seccion 5.7) matiza la generalizacion causal frente a mejoras reportadas en comunidades sinteticas.</w:t>
      </w:r>
    </w:p>
    <w:p>
      <w:pPr>
        <w:jc w:val="both"/>
      </w:pPr>
      <w:r>
        <w:rPr>
          <w:b w:val="0"/>
          <w:i w:val="0"/>
        </w:rPr>
        <w:t>Liu et al. (2022) reportan ~15% de reduccion de CO2 y ~20% de costo con MADDPG. En PE.2 (E2), MATD3 presenta el menor delta de CO2 entre MADRL auditados (23 070 kg), mientras MASAC y MAAC registran reducciones mayores; esto contrasta la expectativa de dominancia unica y refuerza la lectura multiobjetivo de D-VD.2.</w:t>
      </w:r>
    </w:p>
    <w:p>
      <w:pPr>
        <w:jc w:val="both"/>
      </w:pPr>
      <w:r>
        <w:rPr>
          <w:b w:val="0"/>
          <w:i w:val="0"/>
        </w:rPr>
        <w:t>Iqbal y Sha (2019) fundamentan MAAC con mejoras de ~15-30% frente a MADDPG/COMA. En PE.3 (costos, E3), MAAC lidera (delta costo = 9 515 EUR), alineado con coordinacion selectiva bajo senales TOU; este patron es consistente con Xie et al. (2023) sobre atencion para demand response, aunque la tesis no replica sus magnitudes (~25% DR) por diferencias de dataset y funcion de recompensa.</w:t>
      </w:r>
    </w:p>
    <w:p>
      <w:pPr>
        <w:jc w:val="both"/>
      </w:pPr>
      <w:r>
        <w:rPr>
          <w:b w:val="0"/>
          <w:i w:val="0"/>
        </w:rPr>
        <w:t>Contrastacion con antecedentes nacionales/peruanos (Tabla 2.5). MINAM (2019) fija el factor 0,790 kgCO2/kWh del diesel aislado que parametriza CarbonIntensityModel en E2; los deltas de CO2 de MATD3, MASAC y MAAC deben interpretarse sobre esa senal nacional, no sobre intensidades de red continental.</w:t>
      </w:r>
    </w:p>
    <w:p>
      <w:pPr>
        <w:jc w:val="both"/>
      </w:pPr>
      <w:r>
        <w:rPr>
          <w:b w:val="0"/>
          <w:i w:val="0"/>
        </w:rPr>
        <w:t>OSINERGMIN (2024) vincula costos a demanda maxima facturable en Electro Oriente S.A. El liderazgo descriptivo de MAAC en OE.3 es coherente con la necesidad de coordinar picos distritales bajo TOU local; sin embargo, la superioridad global de controles RBC frente a MADRL (seccion 5.7) sugiere que la regulacion peruana por si sola no garantiza ventaja aprendida sin multi-semilla ni ajuste de hiperparametros.</w:t>
      </w:r>
    </w:p>
    <w:p>
      <w:pPr>
        <w:jc w:val="both"/>
      </w:pPr>
      <w:r>
        <w:rPr>
          <w:b w:val="0"/>
          <w:i w:val="0"/>
        </w:rPr>
        <w:t>Las tesis doctorales peruanas Chevarria Moscoso (2024) y Peñalva Sanchez (2024) aportan optimizacion bajo incertidumbre hidrologica y prediccion IA en sistemas PV hibridos [PV en magnitudes exactas]. Rosero Bernal (2024) aporta coordinacion de microredes en la nube [PV]. Estos antecedentes contextualizan el SEAI Iquitos como caso de red aislada con recursos renovables y demanda institucional heterogenea, justificando el diseno de 17 agentes y la lectura distrito-edificio del Capitulo 5.</w:t>
      </w:r>
    </w:p>
    <w:p>
      <w:pPr>
        <w:pStyle w:val="Heading2"/>
      </w:pPr>
      <w:r>
        <w:t>5.11 Veredicto de cumplimiento OG y OE.1–OE.3</w:t>
      </w:r>
    </w:p>
    <w:p>
      <w:pPr>
        <w:jc w:val="both"/>
      </w:pPr>
      <w:r>
        <w:rPr>
          <w:b w:val="0"/>
          <w:i w:val="0"/>
        </w:rPr>
        <w:t>Esta seccion responde exclusivamente a los objetivos OG y OE.1–OE.3 (determinar efecto e identificar algoritmo de mayor efecto), con evidencia descriptiva auditada. No debe confundirse con la decision sobre hipotesis (HG, HE.1–HE.3), resuelta en la seccion 5.9.5.</w:t>
      </w:r>
    </w:p>
    <w:p>
      <w:r>
        <w:rPr>
          <w:b/>
          <w:color w:val="595959"/>
          <w:sz w:val="19"/>
        </w:rPr>
        <w:t>Tabla 5.21. Veredicto de cumplimiento OG y OE.1–OE.3 (corrida canonica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850"/>
            <w:shd w:val="clear" w:color="auto" w:fill="1F4E79"/>
          </w:tcPr>
          <w:p>
            <w:r/>
            <w:r>
              <w:rPr>
                <w:b/>
                <w:color w:val="FFFFFF"/>
                <w:sz w:val="18"/>
              </w:rPr>
              <w:t>Objetivo</w:t>
            </w:r>
          </w:p>
        </w:tc>
        <w:tc>
          <w:tcPr>
            <w:tcW w:type="dxa" w:w="1247"/>
            <w:shd w:val="clear" w:color="auto" w:fill="1F4E79"/>
          </w:tcPr>
          <w:p>
            <w:r/>
            <w:r>
              <w:rPr>
                <w:b/>
                <w:color w:val="FFFFFF"/>
                <w:sz w:val="18"/>
              </w:rPr>
              <w:t>VD / Esc.</w:t>
            </w:r>
          </w:p>
        </w:tc>
        <w:tc>
          <w:tcPr>
            <w:tcW w:type="dxa" w:w="1134"/>
            <w:shd w:val="clear" w:color="auto" w:fill="1F4E79"/>
          </w:tcPr>
          <w:p>
            <w:r/>
            <w:r>
              <w:rPr>
                <w:b/>
                <w:color w:val="FFFFFF"/>
                <w:sz w:val="18"/>
              </w:rPr>
              <w:t>Mayor efecto (VI)</w:t>
            </w:r>
          </w:p>
        </w:tc>
        <w:tc>
          <w:tcPr>
            <w:tcW w:type="dxa" w:w="2551"/>
            <w:shd w:val="clear" w:color="auto" w:fill="1F4E79"/>
          </w:tcPr>
          <w:p>
            <w:r/>
            <w:r>
              <w:rPr>
                <w:b/>
                <w:color w:val="FFFFFF"/>
                <w:sz w:val="18"/>
              </w:rPr>
              <w:t>Evidencia KPI</w:t>
            </w:r>
          </w:p>
        </w:tc>
        <w:tc>
          <w:tcPr>
            <w:tcW w:type="dxa" w:w="2721"/>
            <w:shd w:val="clear" w:color="auto" w:fill="1F4E79"/>
          </w:tcPr>
          <w:p>
            <w:r/>
            <w:r>
              <w:rPr>
                <w:b/>
                <w:color w:val="FFFFFF"/>
                <w:sz w:val="18"/>
              </w:rPr>
              <w:t>Cumplimiento OE</w:t>
            </w:r>
          </w:p>
        </w:tc>
      </w:tr>
      <w:tr>
        <w:tc>
          <w:tcPr>
            <w:tcW w:type="dxa" w:w="850"/>
          </w:tcPr>
          <w:p>
            <w:r/>
            <w:r>
              <w:rPr>
                <w:sz w:val="18"/>
              </w:rPr>
              <w:t>OE.1</w:t>
            </w:r>
          </w:p>
        </w:tc>
        <w:tc>
          <w:tcPr>
            <w:tcW w:type="dxa" w:w="1247"/>
          </w:tcPr>
          <w:p>
            <w:r/>
            <w:r>
              <w:rPr>
                <w:sz w:val="18"/>
              </w:rPr>
              <w:t>D-VD.1 / E1</w:t>
            </w:r>
          </w:p>
        </w:tc>
        <w:tc>
          <w:tcPr>
            <w:tcW w:type="dxa" w:w="1134"/>
          </w:tcPr>
          <w:p>
            <w:r/>
            <w:r>
              <w:rPr>
                <w:sz w:val="18"/>
              </w:rPr>
              <w:t>MATD3</w:t>
            </w:r>
          </w:p>
        </w:tc>
        <w:tc>
          <w:tcPr>
            <w:tcW w:type="dxa" w:w="2551"/>
          </w:tcPr>
          <w:p>
            <w:r/>
            <w:r>
              <w:rPr>
                <w:sz w:val="18"/>
              </w:rPr>
              <w:t>Flexibilidad compuesta = 1.0009; score = 1.0000</w:t>
            </w:r>
          </w:p>
        </w:tc>
        <w:tc>
          <w:tcPr>
            <w:tcW w:type="dxa" w:w="2721"/>
          </w:tcPr>
          <w:p>
            <w:r/>
            <w:r>
              <w:rPr>
                <w:sz w:val="18"/>
              </w:rPr>
              <w:t>Cumplido descriptivamente; inferencia causal limitada (1 semilla)</w:t>
            </w:r>
          </w:p>
        </w:tc>
      </w:tr>
      <w:tr>
        <w:tc>
          <w:tcPr>
            <w:tcW w:type="dxa" w:w="850"/>
          </w:tcPr>
          <w:p>
            <w:r/>
            <w:r>
              <w:rPr>
                <w:sz w:val="18"/>
              </w:rPr>
              <w:t>OE.2</w:t>
            </w:r>
          </w:p>
        </w:tc>
        <w:tc>
          <w:tcPr>
            <w:tcW w:type="dxa" w:w="1247"/>
          </w:tcPr>
          <w:p>
            <w:r/>
            <w:r>
              <w:rPr>
                <w:sz w:val="18"/>
              </w:rPr>
              <w:t>D-VD.2 / E2</w:t>
            </w:r>
          </w:p>
        </w:tc>
        <w:tc>
          <w:tcPr>
            <w:tcW w:type="dxa" w:w="1134"/>
          </w:tcPr>
          <w:p>
            <w:r/>
            <w:r>
              <w:rPr>
                <w:sz w:val="18"/>
              </w:rPr>
              <w:t>MATD3</w:t>
            </w:r>
          </w:p>
        </w:tc>
        <w:tc>
          <w:tcPr>
            <w:tcW w:type="dxa" w:w="2551"/>
          </w:tcPr>
          <w:p>
            <w:r/>
            <w:r>
              <w:rPr>
                <w:sz w:val="18"/>
              </w:rPr>
              <w:t>Delta CO2 (kg) = 23,070; score = 1.0000</w:t>
            </w:r>
          </w:p>
        </w:tc>
        <w:tc>
          <w:tcPr>
            <w:tcW w:type="dxa" w:w="2721"/>
          </w:tcPr>
          <w:p>
            <w:r/>
            <w:r>
              <w:rPr>
                <w:sz w:val="18"/>
              </w:rPr>
              <w:t>Cumplido descriptivamente; inferencia causal limitada (1 semilla)</w:t>
            </w:r>
          </w:p>
        </w:tc>
      </w:tr>
      <w:tr>
        <w:tc>
          <w:tcPr>
            <w:tcW w:type="dxa" w:w="850"/>
          </w:tcPr>
          <w:p>
            <w:r/>
            <w:r>
              <w:rPr>
                <w:sz w:val="18"/>
              </w:rPr>
              <w:t>OE.3</w:t>
            </w:r>
          </w:p>
        </w:tc>
        <w:tc>
          <w:tcPr>
            <w:tcW w:type="dxa" w:w="1247"/>
          </w:tcPr>
          <w:p>
            <w:r/>
            <w:r>
              <w:rPr>
                <w:sz w:val="18"/>
              </w:rPr>
              <w:t>D-VD.3 / E3</w:t>
            </w:r>
          </w:p>
        </w:tc>
        <w:tc>
          <w:tcPr>
            <w:tcW w:type="dxa" w:w="1134"/>
          </w:tcPr>
          <w:p>
            <w:r/>
            <w:r>
              <w:rPr>
                <w:sz w:val="18"/>
              </w:rPr>
              <w:t>MAAC</w:t>
            </w:r>
          </w:p>
        </w:tc>
        <w:tc>
          <w:tcPr>
            <w:tcW w:type="dxa" w:w="2551"/>
          </w:tcPr>
          <w:p>
            <w:r/>
            <w:r>
              <w:rPr>
                <w:sz w:val="18"/>
              </w:rPr>
              <w:t>Delta costo electrico (EUR) = 9,515; score = 1.0000</w:t>
            </w:r>
          </w:p>
        </w:tc>
        <w:tc>
          <w:tcPr>
            <w:tcW w:type="dxa" w:w="2721"/>
          </w:tcPr>
          <w:p>
            <w:r/>
            <w:r>
              <w:rPr>
                <w:sz w:val="18"/>
              </w:rPr>
              <w:t>Cumplido descriptivamente; inferencia causal limitada (1 semilla)</w:t>
            </w:r>
          </w:p>
        </w:tc>
      </w:tr>
      <w:tr>
        <w:tc>
          <w:tcPr>
            <w:tcW w:type="dxa" w:w="850"/>
          </w:tcPr>
          <w:p>
            <w:r/>
            <w:r>
              <w:rPr>
                <w:sz w:val="18"/>
              </w:rPr>
              <w:t>OG</w:t>
            </w:r>
          </w:p>
        </w:tc>
        <w:tc>
          <w:tcPr>
            <w:tcW w:type="dxa" w:w="1247"/>
          </w:tcPr>
          <w:p>
            <w:r/>
            <w:r>
              <w:rPr>
                <w:sz w:val="18"/>
              </w:rPr>
              <w:t>VD integrada (ALL)</w:t>
            </w:r>
          </w:p>
        </w:tc>
        <w:tc>
          <w:tcPr>
            <w:tcW w:type="dxa" w:w="1134"/>
          </w:tcPr>
          <w:p>
            <w:r/>
            <w:r>
              <w:rPr>
                <w:sz w:val="18"/>
              </w:rPr>
              <w:t>MATD3</w:t>
            </w:r>
          </w:p>
        </w:tc>
        <w:tc>
          <w:tcPr>
            <w:tcW w:type="dxa" w:w="2551"/>
          </w:tcPr>
          <w:p>
            <w:r/>
            <w:r>
              <w:rPr>
                <w:sz w:val="18"/>
              </w:rPr>
              <w:t>score global = 0.6667</w:t>
            </w:r>
          </w:p>
        </w:tc>
        <w:tc>
          <w:tcPr>
            <w:tcW w:type="dxa" w:w="2721"/>
          </w:tcPr>
          <w:p>
            <w:r/>
            <w:r>
              <w:rPr>
                <w:sz w:val="18"/>
              </w:rPr>
              <w:t>Cumplido descriptivamente; sin dominancia universal en los tres ejes</w:t>
            </w:r>
          </w:p>
        </w:tc>
      </w:tr>
    </w:tbl>
    <w:p/>
    <w:p>
      <w:pPr>
        <w:jc w:val="both"/>
      </w:pPr>
      <w:r>
        <w:rPr>
          <w:b w:val="0"/>
          <w:i w:val="0"/>
        </w:rPr>
        <w:t>Veredicto OG/OE (evidencia descriptiva, corrida canonica 50 ep): OG cumplido en el sentido de determinar el efecto coordinado del MADRL e identificar a MATD3 como mayor efecto integrado (score 0,6667), con trade-offs entre ejes. OE.1 cumplido: MATD3 (flex_composite = 1,0009). OE.2 cumplido: MATD3 (delta CO2 = 23 070 kg). OE.3 cumplido: MAAC (delta costo = 9 515 EUR). Ningun objetivo exige por si mismo significancia estadistica omnibus; los limites de inferencia causal (semilla unica, HAPPO excluido) se declaran explicitamente. Las hipotesis HG y HE.1–HE.3 se resuelven solo en la seccion 5.9.5.</w:t>
      </w:r>
    </w:p>
    <w:p>
      <w:r>
        <w:br w:type="page"/>
      </w:r>
    </w:p>
    <w:p>
      <w:pPr>
        <w:pStyle w:val="Heading1"/>
      </w:pPr>
      <w:r>
        <w:t>Capitulo 6. Conclusiones y trabajo futuro</w:t>
      </w:r>
    </w:p>
    <w:p>
      <w:pPr>
        <w:pStyle w:val="Heading2"/>
      </w:pPr>
      <w:r>
        <w:t>6.1 Conclusion general (OG) y respuesta a PE.1–PE.3</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pStyle w:val="Heading2"/>
      </w:pPr>
      <w:r>
        <w:t>6.2 Conclusiones por objetivo especifico (OE.1–OE.3)</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pStyle w:val="Heading2"/>
      </w:pPr>
      <w:r>
        <w:t>6.3 Conclusiones sobre hipotesis (HG, HE.1–HE.3)</w:t>
      </w:r>
    </w:p>
    <w:p>
      <w:pPr>
        <w:jc w:val="both"/>
      </w:pPr>
      <w:r>
        <w:rPr>
          <w:b w:val="0"/>
          <w:i w:val="0"/>
        </w:rPr>
        <w:t>HG: no confirmada inferencialmente (Kruskal-Wallis ALL p = 0,155; H0 no rechazada). Descriptivamente, MATD3 presenta el mayor efecto coordinado (score global 0,6667), pero sin respaldo omnibus al alpha = 0,05.</w:t>
      </w:r>
    </w:p>
    <w:p>
      <w:pPr>
        <w:jc w:val="both"/>
      </w:pPr>
      <w:r>
        <w:rPr>
          <w:b w:val="0"/>
          <w:i w:val="0"/>
        </w:rPr>
        <w:t>HE.1: no confirmada inferencialmente (KW p = 0,281); descriptivamente MATD3 lidera flexibilidad en E1 (flex_composite = 1,0009).</w:t>
      </w:r>
    </w:p>
    <w:p>
      <w:pPr>
        <w:jc w:val="both"/>
      </w:pPr>
      <w:r>
        <w:rPr>
          <w:b w:val="0"/>
          <w:i w:val="0"/>
        </w:rPr>
        <w:t>HE.2: no confirmada inferencialmente (KW p = 0,546); descriptivamente MATD3 lidera emisiones en E2 (delta CO2 = 23 070 kg).</w:t>
      </w:r>
    </w:p>
    <w:p>
      <w:pPr>
        <w:jc w:val="both"/>
      </w:pPr>
      <w:r>
        <w:rPr>
          <w:b w:val="0"/>
          <w:i w:val="0"/>
        </w:rPr>
        <w:t>HE.3: no confirmada inferencialmente (KW p = 0,388); descriptivamente MAAC lidera costos en E3 (delta costo = 9 515 EUR), alineado con la redaccion direccional de la hipotesis (menor delta de costo electrico) pero sin significancia omnibus. La literatura de atencion multiagente reporta ventajas en minimizacion de costos tarifarios frente a politicas deterministicas sin atencion (Iqbal y Sha, 2019; Xie et al., 2023). Wilcoxon exploratorio detecta pares significativos (p. ej. MASAC vs MAAC en OE.3) que no sustituyen el contraste omnibus ni la replicacion multi-semilla (Tabla 5.20, seccion 5.9.5; Agarwal et al., 2021; Colas et al., 2019).</w:t>
      </w:r>
    </w:p>
    <w:p>
      <w:pPr>
        <w:pStyle w:val="Heading2"/>
      </w:pPr>
      <w:r>
        <w:t>6.4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Las hipotesis HG/HE se contrastan en seccion 5.9; los objetivos OG/OE en seccion 5.11.</w:t>
      </w:r>
    </w:p>
    <w:p>
      <w:pPr>
        <w:pStyle w:val="Heading2"/>
      </w:pPr>
      <w:r>
        <w:t>6.5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