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MATD3 obtiene el mejor score global (0,6667) y lidera flexibilidad (OE1) y emisiones (OE2); MAAC lidera costos (OE3).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evidencia inferencial Colab (Kruskal-Wallis ALL p=0.155; Wilcoxon MASAC vs MATD3 p=0.0049) complementa el ranking descriptivo;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evaluates four cooperative Multi-Agent Deep Reinforcement Learning (MADRL) algorithms under a Dec-POMDP/CTDE framework on a real 17-building dataset from Iquitos, Peru. A canonical 50-episode Colab run shows MATD3 as the best overall performer (global score 0.6667), leading flexibility and CO₂ objectives, while MAAC leads energy cost. Multi-objective KPIs are reported at district and building levels (185 EV chargers). Training figures use audited Drive timeseries and trace CSVs (no synthetic data). Results are grounded in audited Drive artifacts; inferential tests on the canonical run remain pending.</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w:t>
      </w:r>
    </w:p>
    <w:p>
      <w:pPr>
        <w:jc w:val="both"/>
      </w:pPr>
      <w:r>
        <w:rPr>
          <w:b w:val="0"/>
          <w:i/>
        </w:rPr>
        <w:t>¿Cual es el mejor Multi-Agente de Aprendizaje por Refuerzo Profundo que gestiona de manera coordinada la flexibilidad energetica, las emisiones de CO2 y los costos energeticos en comunidades inteligentes?</w:t>
      </w:r>
    </w:p>
    <w:p>
      <w:pPr>
        <w:jc w:val="both"/>
      </w:pPr>
      <w:r>
        <w:rPr>
          <w:b/>
          <w:i w:val="0"/>
        </w:rPr>
        <w:t>Problemas especificos:</w:t>
      </w:r>
    </w:p>
    <w:p>
      <w:pPr>
        <w:pStyle w:val="ListBullet"/>
        <w:jc w:val="both"/>
      </w:pPr>
      <w:r>
        <w:t>PE.1: ¿Cual es el mejor MADRL que optimiza la flexibilidad energetica en comunidades inteligentes?</w:t>
      </w:r>
    </w:p>
    <w:p>
      <w:pPr>
        <w:pStyle w:val="ListBullet"/>
        <w:jc w:val="both"/>
      </w:pPr>
      <w:r>
        <w:t>PE.2: ¿Cual es el mejor MADRL que reduce las emisiones de CO2 en comunidades inteligentes?</w:t>
      </w:r>
    </w:p>
    <w:p>
      <w:pPr>
        <w:pStyle w:val="ListBullet"/>
        <w:jc w:val="both"/>
      </w:pPr>
      <w:r>
        <w:t>PE.3: ¿Cual es el mejor MADRL que optimiza los costos energeticos en comunidades inteligentes?</w:t>
      </w:r>
    </w:p>
    <w:p>
      <w:pPr>
        <w:pStyle w:val="Heading2"/>
      </w:pPr>
      <w:r>
        <w:t>1.2 Objetivos</w:t>
      </w:r>
    </w:p>
    <w:p>
      <w:pPr>
        <w:jc w:val="both"/>
      </w:pPr>
      <w:r>
        <w:rPr>
          <w:b/>
          <w:i w:val="0"/>
        </w:rPr>
        <w:t>Objetivo general (O.G.):</w:t>
      </w:r>
    </w:p>
    <w:p>
      <w:pPr>
        <w:jc w:val="both"/>
      </w:pPr>
      <w:r>
        <w:rPr>
          <w:b w:val="0"/>
          <w:i/>
        </w:rPr>
        <w:t>Determinar el mejor Multi-Agente de Aprendizaje por Refuerzo Profundo que gestiona de manera coordinada la flexibilidad energetica, las emisiones de CO2 y los costos energeticos en comunidades inteligentes.</w:t>
      </w:r>
    </w:p>
    <w:p>
      <w:pPr>
        <w:jc w:val="both"/>
      </w:pPr>
      <w:r>
        <w:rPr>
          <w:b/>
          <w:i w:val="0"/>
        </w:rPr>
        <w:t>Objetivos especificos:</w:t>
      </w:r>
    </w:p>
    <w:p>
      <w:pPr>
        <w:pStyle w:val="ListBullet"/>
        <w:jc w:val="both"/>
      </w:pPr>
      <w:r>
        <w:t>OE.1: Determinar el mejor MADRL que optimiza la flexibilidad energetica en comunidades inteligentes.</w:t>
      </w:r>
    </w:p>
    <w:p>
      <w:pPr>
        <w:pStyle w:val="ListBullet"/>
        <w:jc w:val="both"/>
      </w:pPr>
      <w:r>
        <w:t>OE.2: Determinar el mejor MADRL que reduce las emisiones de CO2 en comunidades inteligentes.</w:t>
      </w:r>
    </w:p>
    <w:p>
      <w:pPr>
        <w:pStyle w:val="ListBullet"/>
        <w:jc w:val="both"/>
      </w:pPr>
      <w:r>
        <w:t>OE.3: Determinar el mejor MADRL que optimiza los costos energeticos en comunidades inteligentes.</w:t>
      </w:r>
    </w:p>
    <w:p>
      <w:pPr>
        <w:jc w:val="both"/>
      </w:pPr>
      <w:r>
        <w:rPr>
          <w:b w:val="0"/>
          <w:i w:val="0"/>
        </w:rPr>
        <w:t>Coherencia vertical: cada objetivo especifico responde a su problema especifico, se operacionaliza mediante su eje de KPIs y se evalua con la metodologia comparativa de CityLearn v3 propuesto con los cuatro algoritmos bajo Dec-POMDP y CTDE.</w:t>
      </w:r>
    </w:p>
    <w:p>
      <w:pPr>
        <w:pStyle w:val="Heading2"/>
      </w:pPr>
      <w:r>
        <w:t>1.3 Hipotesis</w:t>
      </w:r>
    </w:p>
    <w:p>
      <w:pPr>
        <w:jc w:val="both"/>
      </w:pPr>
      <w:r>
        <w:rPr>
          <w:b w:val="0"/>
          <w:i w:val="0"/>
        </w:rPr>
        <w:t>Por tratarse de un estudio cuantitativo, comparativo y no experimental basado en simulacion, las hipotesis se formulan en terminos de diferencias de desempeno entre algoritmos:</w:t>
      </w:r>
    </w:p>
    <w:p>
      <w:pPr>
        <w:pStyle w:val="ListBullet"/>
        <w:jc w:val="both"/>
      </w:pPr>
      <w:r>
        <w:t>H.G.: Existe al menos un algoritmo MADRL cuyo desempeno coordinado en flexibilidad, CO2 y costos es significativamente superior al de los demas algoritmos comparados.</w:t>
      </w:r>
    </w:p>
    <w:p>
      <w:pPr>
        <w:pStyle w:val="ListBullet"/>
        <w:jc w:val="both"/>
      </w:pPr>
      <w:r>
        <w:t>H.1/H.2/H.3: En cada eje (flexibilidad, CO2 y costos) existen diferencias estadisticamente significativas entre HAPPO, MASAC, MATD3 y MAAC, verificables mediante pruebas no parametricas (Kruskal-Wallis, Mann-Whitney U, Wilcoxon).</w:t>
      </w:r>
    </w:p>
    <w:p>
      <w:pPr>
        <w:jc w:val="both"/>
      </w:pPr>
      <w:r>
        <w:rPr>
          <w:b w:val="0"/>
          <w:i w:val="0"/>
        </w:rPr>
        <w:t>La evidencia preliminar de la corrida v4 respalda H.G.: la prueba de Kruskal-Wallis sobre el score global arroja p = 0.0459 (significativo a alpha = 0.05), identificando a MATD3 como el mejor algoritmo global.</w:t>
      </w:r>
    </w:p>
    <w:p>
      <w:pPr>
        <w:pStyle w:val="Heading2"/>
      </w:pPr>
      <w:r>
        <w:t>1.4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1.5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1"/>
      </w:pPr>
      <w:r>
        <w:t>Capitulo 2. Marco teorico</w:t>
      </w:r>
    </w:p>
    <w:p>
      <w:pPr>
        <w:pStyle w:val="Heading2"/>
      </w:pPr>
      <w:r>
        <w:t>2.1 Estado del arte actualizado</w:t>
      </w:r>
    </w:p>
    <w:p>
      <w:pPr>
        <w:jc w:val="both"/>
      </w:pPr>
      <w:r>
        <w:rPr>
          <w:b w:val="0"/>
          <w:i w:val="0"/>
        </w:rPr>
        <w:t>La revision sistematica (Modulo A) comprende 50 investigaciones verificadas, organizadas en cuatro ejes alineados con los objetivos de la tesis: (1) flexibilidad energetica con MADRL, (2) reduccion de emisiones de CO2 con MADRL, (3) optimizacion de costos energeticos con MADRL y (4) marco tecnico MADRL transversal.</w:t>
      </w:r>
    </w:p>
    <w:p>
      <w:pPr>
        <w:jc w:val="both"/>
      </w:pPr>
      <w:r>
        <w:rPr>
          <w:b/>
          <w:i w:val="0"/>
        </w:rPr>
        <w:t>Eje 1 — Flexibilidad energetica con MADRL:</w:t>
      </w:r>
    </w:p>
    <w:p>
      <w:pPr>
        <w:jc w:val="both"/>
      </w:pPr>
      <w:r>
        <w:rPr>
          <w:b w:val="0"/>
          <w:i w:val="0"/>
        </w:rPr>
        <w:t>Vazquez-Canteli y Nagy (2019a) introducen CityLearn como entorno OpenAI Gym para respuesta a la demanda multiedificio; Vazquez-Canteli et al. (2020) estandarizan KPIs comparables (peak_average, ramping_average, one_minus_load_factor_average). Nweye et al. (2024) desarrollan CityLearn v2 con EV/V2G, intensidad de carbono dinamica, BESS, PV y KPIs de flexibilidad, CO2 y costos. Nweye et al. (2022) identifican nueve desafios reales del MARL en edificios grid-interactive; Nweye et al. (2023a) presentan MERLIN para comunidades de 17 edificios reales, escala equivalente al SEAI Iquitos. Yao et al. (2023) y Xie et al. (2023) demuestran mejoras de coordinacion con MARL cooperativo y mecanismos de atencion; Hribar et al. (2025) reportan +20% de autonomia energetica en distritos de energia positiva.</w:t>
      </w:r>
    </w:p>
    <w:p>
      <w:pPr>
        <w:jc w:val="both"/>
      </w:pPr>
      <w:r>
        <w:rPr>
          <w:b/>
          <w:i w:val="0"/>
        </w:rPr>
        <w:t>Eje 2 — Reduccion de emisiones de CO2 con MADRL:</w:t>
      </w:r>
    </w:p>
    <w:p>
      <w:pPr>
        <w:jc w:val="both"/>
      </w:pPr>
      <w:r>
        <w:rPr>
          <w:b w:val="0"/>
          <w:i w:val="0"/>
        </w:rPr>
        <w:t>Liu et al. (2022) proponen MADDPG multiobjetivo con reducciones de ~15% de CO2 y ~20% de costo; Ye et al. (2025) y Ma et al. (2025) introducen MARL seguro con restricciones de carbono en redes de distribucion y multi-microgrids; Sarkar et al. (2024) aplican desplazamiento temporal de carga hacia periodos de baja intensidad de carbono, directamente transferible al OE.2.</w:t>
      </w:r>
    </w:p>
    <w:p>
      <w:pPr>
        <w:jc w:val="both"/>
      </w:pPr>
      <w:r>
        <w:rPr>
          <w:b/>
          <w:i w:val="0"/>
        </w:rPr>
        <w:t>Eje 3 — Optimizacion de costos energeticos con MADRL:</w:t>
      </w:r>
    </w:p>
    <w:p>
      <w:pPr>
        <w:jc w:val="both"/>
      </w:pPr>
      <w:r>
        <w:rPr>
          <w:b w:val="0"/>
          <w:i w:val="0"/>
        </w:rPr>
        <w:t>Yao et al. (2023) logran ~18% de reduccion de costo con LSD-MADDPG; Shojaeighadikolaei et al. (2022) ~22% frente a configuraciones no cooperativas; Gao et al. (2023) validan MASAC para programacion colaborativa multi-microgrid con respuesta a precios; Xiong et al. (2024) y Kim et al. (2025) abordan tarifas TOU y control de BESS en tiempo real.</w:t>
      </w:r>
    </w:p>
    <w:p>
      <w:pPr>
        <w:jc w:val="both"/>
      </w:pPr>
      <w:r>
        <w:rPr>
          <w:b/>
          <w:i w:val="0"/>
        </w:rPr>
        <w:t>Eje transversal — Marco tecnico MADRL:</w:t>
      </w:r>
    </w:p>
    <w:p>
      <w:pPr>
        <w:jc w:val="both"/>
      </w:pPr>
      <w:r>
        <w:rPr>
          <w:b w:val="0"/>
          <w:i w:val="0"/>
        </w:rPr>
        <w:t>Lowe et al. (2017) establecen el paradigma CTDE (MADDPG); Oliehoek y Amato (2016) formalizan el Dec-POMDP; Kuba et al. (2021) presentan HAPPO con garantias de mejora monotona para agentes heterogeneos; Iqbal y Sha (2019) introducen MAAC con atencion multi-cabeza; Hu et al. (2023) presentan MARLlib; Akiba et al. (2019) presentan Optuna; Haarnoja et al. (2018) presentan SAC, base de MASAC y MAAC.</w:t>
      </w:r>
    </w:p>
    <w:p>
      <w:pPr>
        <w:pStyle w:val="Heading2"/>
      </w:pPr>
      <w:r>
        <w:t>2.2 Bases teoricas</w:t>
      </w:r>
    </w:p>
    <w:p>
      <w:pPr>
        <w:pStyle w:val="Heading3"/>
      </w:pPr>
      <w:r>
        <w:t>2.2.1 Flexibilidad energetica en comunidades inteligentes</w:t>
      </w:r>
    </w:p>
    <w:p>
      <w:pPr>
        <w:jc w:val="both"/>
      </w:pPr>
      <w:r>
        <w:rPr>
          <w:b w:val="0"/>
          <w:i w:val="0"/>
        </w:rPr>
        <w:t>La flexibilidad energetica es la capacidad del sistema para modificar su curva de demanda mediante desplazamiento de cargas, almacenamiento en BESS, autoconsumo solar y carga/descarga de EV. KPIs relevantes: peak_average (reduccion de pico), ramping_average (suavizado), one_minus_load_factor_average (factor de carga), autoconsumo, autosuficiencia, reduccion de importacion de red y utilizacion de renovables.</w:t>
      </w:r>
    </w:p>
    <w:p>
      <w:pPr>
        <w:pStyle w:val="Heading3"/>
      </w:pPr>
      <w:r>
        <w:t>2.2.2 Emisiones de carbono en comunidades inteligentes</w:t>
      </w:r>
    </w:p>
    <w:p>
      <w:pPr>
        <w:jc w:val="both"/>
      </w:pPr>
      <w:r>
        <w:rPr>
          <w:b w:val="0"/>
          <w:i w:val="0"/>
        </w:rPr>
        <w:t>La intensidad de carbono (CI) varia con la mezcla de generacion horaria. En el SEAI Iquitos CI(t) = 0.790 x (1 - 0.15 x GHI(t)/1000) kgCO2/kWh, en el rango [0.672, 0.790]. La gestion consciente de la CI desplaza el consumo hacia periodos de menor emision. KPIs: emisiones totales, reduccion frente a baseline, consumo ponderado por CI y emisiones evitadas.</w:t>
      </w:r>
    </w:p>
    <w:p>
      <w:pPr>
        <w:pStyle w:val="Heading3"/>
      </w:pPr>
      <w:r>
        <w:t>2.2.3 Costos energeticos en comunidades inteligentes</w:t>
      </w:r>
    </w:p>
    <w:p>
      <w:pPr>
        <w:jc w:val="both"/>
      </w:pPr>
      <w:r>
        <w:rPr>
          <w:b w:val="0"/>
          <w:i w:val="0"/>
        </w:rPr>
        <w:t>Las tarifas TOU y los precios en tiempo real crean incentivos para la flexibilidad economica. El arbitraje tarifario mediante BESS/EV reduce el cargo por demanda. KPIs: costo total de electricidad, reduccion frente a baseline, reduccion del cargo por demanda y desviacion respecto a la senal de precio.</w:t>
      </w:r>
    </w:p>
    <w:p>
      <w:pPr>
        <w:pStyle w:val="Heading3"/>
      </w:pPr>
      <w:r>
        <w:t>2.2.4 Marco tecnico MADRL</w:t>
      </w:r>
    </w:p>
    <w:p>
      <w:r>
        <w:rPr>
          <w:b/>
          <w:color w:val="595959"/>
          <w:sz w:val="19"/>
        </w:rPr>
        <w:t>Tabla 2.1. Conceptos del marco tecnico MADRL.</w:t>
      </w:r>
    </w:p>
    <w:tbl>
      <w:tblPr>
        <w:tblStyle w:val="LightGrid-Accent1"/>
        <w:tblW w:type="auto" w:w="0"/>
        <w:jc w:val="center"/>
        <w:tblLook w:firstColumn="1" w:firstRow="1" w:lastColumn="0" w:lastRow="0" w:noHBand="0" w:noVBand="1" w:val="04A0"/>
      </w:tblPr>
      <w:tblGrid>
        <w:gridCol w:w="4561"/>
        <w:gridCol w:w="4561"/>
      </w:tblGrid>
      <w:tr>
        <w:tc>
          <w:tcPr>
            <w:tcW w:type="dxa" w:w="1701"/>
            <w:shd w:val="clear" w:color="auto" w:fill="1F4E79"/>
          </w:tcPr>
          <w:p>
            <w:r/>
            <w:r>
              <w:rPr>
                <w:b/>
                <w:color w:val="FFFFFF"/>
                <w:sz w:val="18"/>
              </w:rPr>
              <w:t>Concepto</w:t>
            </w:r>
          </w:p>
        </w:tc>
        <w:tc>
          <w:tcPr>
            <w:tcW w:type="dxa" w:w="7370"/>
            <w:shd w:val="clear" w:color="auto" w:fill="1F4E79"/>
          </w:tcPr>
          <w:p>
            <w:r/>
            <w:r>
              <w:rPr>
                <w:b/>
                <w:color w:val="FFFFFF"/>
                <w:sz w:val="18"/>
              </w:rPr>
              <w:t>Definicion sintetica</w:t>
            </w:r>
          </w:p>
        </w:tc>
      </w:tr>
      <w:tr>
        <w:tc>
          <w:tcPr>
            <w:tcW w:type="dxa" w:w="1701"/>
          </w:tcPr>
          <w:p>
            <w:r/>
            <w:r>
              <w:rPr>
                <w:sz w:val="18"/>
              </w:rPr>
              <w:t>Dec-POMDP</w:t>
            </w:r>
          </w:p>
        </w:tc>
        <w:tc>
          <w:tcPr>
            <w:tcW w:type="dxa" w:w="7370"/>
          </w:tcPr>
          <w:p>
            <w:r/>
            <w:r>
              <w:rPr>
                <w:sz w:val="18"/>
              </w:rPr>
              <w:t>Tupla &lt;S, {Ai}, T, R, {Oi}, Z, gamma, T&gt; para decision cooperativa bajo observabilidad parcial (Oliehoek y Amato, 2016).</w:t>
            </w:r>
          </w:p>
        </w:tc>
      </w:tr>
      <w:tr>
        <w:tc>
          <w:tcPr>
            <w:tcW w:type="dxa" w:w="1701"/>
          </w:tcPr>
          <w:p>
            <w:r/>
            <w:r>
              <w:rPr>
                <w:sz w:val="18"/>
              </w:rPr>
              <w:t>CTDE</w:t>
            </w:r>
          </w:p>
        </w:tc>
        <w:tc>
          <w:tcPr>
            <w:tcW w:type="dxa" w:w="7370"/>
          </w:tcPr>
          <w:p>
            <w:r/>
            <w:r>
              <w:rPr>
                <w:sz w:val="18"/>
              </w:rPr>
              <w:t>Entrenamiento centralizado (critico accede al estado global) con ejecucion descentralizada (politica usa solo la observacion local) (Lowe et al., 2017).</w:t>
            </w:r>
          </w:p>
        </w:tc>
      </w:tr>
      <w:tr>
        <w:tc>
          <w:tcPr>
            <w:tcW w:type="dxa" w:w="1701"/>
          </w:tcPr>
          <w:p>
            <w:r/>
            <w:r>
              <w:rPr>
                <w:sz w:val="18"/>
              </w:rPr>
              <w:t>HAPPO</w:t>
            </w:r>
          </w:p>
        </w:tc>
        <w:tc>
          <w:tcPr>
            <w:tcW w:type="dxa" w:w="7370"/>
          </w:tcPr>
          <w:p>
            <w:r/>
            <w:r>
              <w:rPr>
                <w:sz w:val="18"/>
              </w:rPr>
              <w:t>On-policy basado en PPO, actualizacion secuencial por agente, critico centralizado; mejora monotona para agentes heterogeneos (Kuba et al., 2021).</w:t>
            </w:r>
          </w:p>
        </w:tc>
      </w:tr>
      <w:tr>
        <w:tc>
          <w:tcPr>
            <w:tcW w:type="dxa" w:w="1701"/>
          </w:tcPr>
          <w:p>
            <w:r/>
            <w:r>
              <w:rPr>
                <w:sz w:val="18"/>
              </w:rPr>
              <w:t>MASAC</w:t>
            </w:r>
          </w:p>
        </w:tc>
        <w:tc>
          <w:tcPr>
            <w:tcW w:type="dxa" w:w="7370"/>
          </w:tcPr>
          <w:p>
            <w:r/>
            <w:r>
              <w:rPr>
                <w:sz w:val="18"/>
              </w:rPr>
              <w:t>Off-policy SAC + mezcla cooperativa tipo QMIX con redes RNN para observaciones parciales (Haarnoja et al., 2018; Gao et al., 2023).</w:t>
            </w:r>
          </w:p>
        </w:tc>
      </w:tr>
      <w:tr>
        <w:tc>
          <w:tcPr>
            <w:tcW w:type="dxa" w:w="1701"/>
          </w:tcPr>
          <w:p>
            <w:r/>
            <w:r>
              <w:rPr>
                <w:sz w:val="18"/>
              </w:rPr>
              <w:t>MATD3</w:t>
            </w:r>
          </w:p>
        </w:tc>
        <w:tc>
          <w:tcPr>
            <w:tcW w:type="dxa" w:w="7370"/>
          </w:tcPr>
          <w:p>
            <w:r/>
            <w:r>
              <w:rPr>
                <w:sz w:val="18"/>
              </w:rPr>
              <w:t>Off-policy con doble critico centralizado (anti sobreestimacion), policy delay y target noise (Fujimoto et al., 2018).</w:t>
            </w:r>
          </w:p>
        </w:tc>
      </w:tr>
      <w:tr>
        <w:tc>
          <w:tcPr>
            <w:tcW w:type="dxa" w:w="1701"/>
          </w:tcPr>
          <w:p>
            <w:r/>
            <w:r>
              <w:rPr>
                <w:sz w:val="18"/>
              </w:rPr>
              <w:t>MAAC</w:t>
            </w:r>
          </w:p>
        </w:tc>
        <w:tc>
          <w:tcPr>
            <w:tcW w:type="dxa" w:w="7370"/>
          </w:tcPr>
          <w:p>
            <w:r/>
            <w:r>
              <w:rPr>
                <w:sz w:val="18"/>
              </w:rPr>
              <w:t>Off-policy con critico de atencion multi-cabeza para coordinacion selectiva entre agentes (Iqbal y Sha, 2019).</w:t>
            </w:r>
          </w:p>
        </w:tc>
      </w:tr>
      <w:tr>
        <w:tc>
          <w:tcPr>
            <w:tcW w:type="dxa" w:w="1701"/>
          </w:tcPr>
          <w:p>
            <w:r/>
            <w:r>
              <w:rPr>
                <w:sz w:val="18"/>
              </w:rPr>
              <w:t>MARLlib</w:t>
            </w:r>
          </w:p>
        </w:tc>
        <w:tc>
          <w:tcPr>
            <w:tcW w:type="dxa" w:w="7370"/>
          </w:tcPr>
          <w:p>
            <w:r/>
            <w:r>
              <w:rPr>
                <w:sz w:val="18"/>
              </w:rPr>
              <w:t>Biblioteca unificada de algoritmos MADRL compatible con Ray/RLlib, Gymnasium y PettingZoo (Hu et al., 2023).</w:t>
            </w:r>
          </w:p>
        </w:tc>
      </w:tr>
      <w:tr>
        <w:tc>
          <w:tcPr>
            <w:tcW w:type="dxa" w:w="1701"/>
          </w:tcPr>
          <w:p>
            <w:r/>
            <w:r>
              <w:rPr>
                <w:sz w:val="18"/>
              </w:rPr>
              <w:t>CityLearn v2</w:t>
            </w:r>
          </w:p>
        </w:tc>
        <w:tc>
          <w:tcPr>
            <w:tcW w:type="dxa" w:w="7370"/>
          </w:tcPr>
          <w:p>
            <w:r/>
            <w:r>
              <w:rPr>
                <w:sz w:val="18"/>
              </w:rPr>
              <w:t>Entorno de simulacion multiagente para comunidades grid-interactive con DER, EV, CI y precios (Nweye et al., 2024).</w:t>
            </w:r>
          </w:p>
        </w:tc>
      </w:tr>
      <w:tr>
        <w:tc>
          <w:tcPr>
            <w:tcW w:type="dxa" w:w="1701"/>
          </w:tcPr>
          <w:p>
            <w:r/>
            <w:r>
              <w:rPr>
                <w:sz w:val="18"/>
              </w:rPr>
              <w:t>Optuna</w:t>
            </w:r>
          </w:p>
        </w:tc>
        <w:tc>
          <w:tcPr>
            <w:tcW w:type="dxa" w:w="7370"/>
          </w:tcPr>
          <w:p>
            <w:r/>
            <w:r>
              <w:rPr>
                <w:sz w:val="18"/>
              </w:rPr>
              <w:t>Framework de optimizacion automatica de hiperparametros basado en TPE (Akiba et al., 2019).</w:t>
            </w:r>
          </w:p>
        </w:tc>
      </w:tr>
    </w:tbl>
    <w:p/>
    <w:p>
      <w:pPr>
        <w:pStyle w:val="Heading2"/>
      </w:pPr>
      <w:r>
        <w:t>2.3 Trabajos relacionados</w:t>
      </w:r>
    </w:p>
    <w:p>
      <w:pPr>
        <w:jc w:val="both"/>
      </w:pPr>
      <w:r>
        <w:rPr>
          <w:b w:val="0"/>
          <w:i w:val="0"/>
        </w:rPr>
        <w:t>El antecedente directo mas cercano es Nweye et al. (2023b), que evalua HAPPO (HARL) en comunidades grid-interactive heterogeneas con CityLearn a escala de 17 edificios. Esta tesis se diferencia por: (i) comparar simultaneamente cuatro algoritmos (HAPPO, MASAC, MATD3, MAAC) bajo la misma funcion de recompensa unificada; (ii) usar un dataset real propio del SEAI Iquitos (red aislada diesel+PV, clima ecuatorial, tarifas locales); y (iii) introducir cuatro aportes originales al motor de simulacion (degradacion BESS con C-rate y Arrhenius, correccion PV tropical IEC 61215, KPI de pico con ventana de facturacion OSINERGMIN, y clase CarbonIntensityModel).</w:t>
      </w:r>
    </w:p>
    <w:p>
      <w:r>
        <w:rPr>
          <w:b/>
          <w:color w:val="595959"/>
          <w:sz w:val="19"/>
        </w:rPr>
        <w:t>Tabla 2.2. Sintesis de trabajos relacionados.</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color="auto" w:fill="1F4E79"/>
          </w:tcPr>
          <w:p>
            <w:r/>
            <w:r>
              <w:rPr>
                <w:b/>
                <w:color w:val="FFFFFF"/>
                <w:sz w:val="18"/>
              </w:rPr>
              <w:t>Trabajo</w:t>
            </w:r>
          </w:p>
        </w:tc>
        <w:tc>
          <w:tcPr>
            <w:tcW w:type="dxa" w:w="2494"/>
            <w:shd w:val="clear" w:color="auto" w:fill="1F4E79"/>
          </w:tcPr>
          <w:p>
            <w:r/>
            <w:r>
              <w:rPr>
                <w:b/>
                <w:color w:val="FFFFFF"/>
                <w:sz w:val="18"/>
              </w:rPr>
              <w:t>Enfoque</w:t>
            </w:r>
          </w:p>
        </w:tc>
        <w:tc>
          <w:tcPr>
            <w:tcW w:type="dxa" w:w="4535"/>
            <w:shd w:val="clear" w:color="auto" w:fill="1F4E79"/>
          </w:tcPr>
          <w:p>
            <w:r/>
            <w:r>
              <w:rPr>
                <w:b/>
                <w:color w:val="FFFFFF"/>
                <w:sz w:val="18"/>
              </w:rPr>
              <w:t>Resultado / aporte</w:t>
            </w:r>
          </w:p>
        </w:tc>
      </w:tr>
      <w:tr>
        <w:tc>
          <w:tcPr>
            <w:tcW w:type="dxa" w:w="2041"/>
          </w:tcPr>
          <w:p>
            <w:r/>
            <w:r>
              <w:rPr>
                <w:sz w:val="18"/>
              </w:rPr>
              <w:t>Lowe et al. (2017)</w:t>
            </w:r>
          </w:p>
        </w:tc>
        <w:tc>
          <w:tcPr>
            <w:tcW w:type="dxa" w:w="2494"/>
          </w:tcPr>
          <w:p>
            <w:r/>
            <w:r>
              <w:rPr>
                <w:sz w:val="18"/>
              </w:rPr>
              <w:t>MADDPG, CTDE</w:t>
            </w:r>
          </w:p>
        </w:tc>
        <w:tc>
          <w:tcPr>
            <w:tcW w:type="dxa" w:w="4535"/>
          </w:tcPr>
          <w:p>
            <w:r/>
            <w:r>
              <w:rPr>
                <w:sz w:val="18"/>
              </w:rPr>
              <w:t>Paradigma base de critico centralizado y politica descentralizada.</w:t>
            </w:r>
          </w:p>
        </w:tc>
      </w:tr>
      <w:tr>
        <w:tc>
          <w:tcPr>
            <w:tcW w:type="dxa" w:w="2041"/>
          </w:tcPr>
          <w:p>
            <w:r/>
            <w:r>
              <w:rPr>
                <w:sz w:val="18"/>
              </w:rPr>
              <w:t>Kuba et al. (2021)</w:t>
            </w:r>
          </w:p>
        </w:tc>
        <w:tc>
          <w:tcPr>
            <w:tcW w:type="dxa" w:w="2494"/>
          </w:tcPr>
          <w:p>
            <w:r/>
            <w:r>
              <w:rPr>
                <w:sz w:val="18"/>
              </w:rPr>
              <w:t>HAPPO (HARL)</w:t>
            </w:r>
          </w:p>
        </w:tc>
        <w:tc>
          <w:tcPr>
            <w:tcW w:type="dxa" w:w="4535"/>
          </w:tcPr>
          <w:p>
            <w:r/>
            <w:r>
              <w:rPr>
                <w:sz w:val="18"/>
              </w:rPr>
              <w:t>Mejora monotona para agentes heterogeneos; supera a MAPPO/IPPO.</w:t>
            </w:r>
          </w:p>
        </w:tc>
      </w:tr>
      <w:tr>
        <w:tc>
          <w:tcPr>
            <w:tcW w:type="dxa" w:w="2041"/>
          </w:tcPr>
          <w:p>
            <w:r/>
            <w:r>
              <w:rPr>
                <w:sz w:val="18"/>
              </w:rPr>
              <w:t>Iqbal y Sha (2019)</w:t>
            </w:r>
          </w:p>
        </w:tc>
        <w:tc>
          <w:tcPr>
            <w:tcW w:type="dxa" w:w="2494"/>
          </w:tcPr>
          <w:p>
            <w:r/>
            <w:r>
              <w:rPr>
                <w:sz w:val="18"/>
              </w:rPr>
              <w:t>MAAC (atencion)</w:t>
            </w:r>
          </w:p>
        </w:tc>
        <w:tc>
          <w:tcPr>
            <w:tcW w:type="dxa" w:w="4535"/>
          </w:tcPr>
          <w:p>
            <w:r/>
            <w:r>
              <w:rPr>
                <w:sz w:val="18"/>
              </w:rPr>
              <w:t>Coordinacion selectiva; mejoras de ~15-30% sobre MADDPG/COMA.</w:t>
            </w:r>
          </w:p>
        </w:tc>
      </w:tr>
      <w:tr>
        <w:tc>
          <w:tcPr>
            <w:tcW w:type="dxa" w:w="2041"/>
          </w:tcPr>
          <w:p>
            <w:r/>
            <w:r>
              <w:rPr>
                <w:sz w:val="18"/>
              </w:rPr>
              <w:t>Nweye et al. (2024)</w:t>
            </w:r>
          </w:p>
        </w:tc>
        <w:tc>
          <w:tcPr>
            <w:tcW w:type="dxa" w:w="2494"/>
          </w:tcPr>
          <w:p>
            <w:r/>
            <w:r>
              <w:rPr>
                <w:sz w:val="18"/>
              </w:rPr>
              <w:t>CityLearn v2</w:t>
            </w:r>
          </w:p>
        </w:tc>
        <w:tc>
          <w:tcPr>
            <w:tcW w:type="dxa" w:w="4535"/>
          </w:tcPr>
          <w:p>
            <w:r/>
            <w:r>
              <w:rPr>
                <w:sz w:val="18"/>
              </w:rPr>
              <w:t>Entorno base con EV/V2G, CI dinamica y KPIs multiobjetivo.</w:t>
            </w:r>
          </w:p>
        </w:tc>
      </w:tr>
      <w:tr>
        <w:tc>
          <w:tcPr>
            <w:tcW w:type="dxa" w:w="2041"/>
          </w:tcPr>
          <w:p>
            <w:r/>
            <w:r>
              <w:rPr>
                <w:sz w:val="18"/>
              </w:rPr>
              <w:t>Nweye et al. (2023a)</w:t>
            </w:r>
          </w:p>
        </w:tc>
        <w:tc>
          <w:tcPr>
            <w:tcW w:type="dxa" w:w="2494"/>
          </w:tcPr>
          <w:p>
            <w:r/>
            <w:r>
              <w:rPr>
                <w:sz w:val="18"/>
              </w:rPr>
              <w:t>MERLIN</w:t>
            </w:r>
          </w:p>
        </w:tc>
        <w:tc>
          <w:tcPr>
            <w:tcW w:type="dxa" w:w="4535"/>
          </w:tcPr>
          <w:p>
            <w:r/>
            <w:r>
              <w:rPr>
                <w:sz w:val="18"/>
              </w:rPr>
              <w:t>MARL en comunidad real de 17 edificios (escala SEAI Iquitos).</w:t>
            </w:r>
          </w:p>
        </w:tc>
      </w:tr>
      <w:tr>
        <w:tc>
          <w:tcPr>
            <w:tcW w:type="dxa" w:w="2041"/>
          </w:tcPr>
          <w:p>
            <w:r/>
            <w:r>
              <w:rPr>
                <w:sz w:val="18"/>
              </w:rPr>
              <w:t>Yao et al. (2023)</w:t>
            </w:r>
          </w:p>
        </w:tc>
        <w:tc>
          <w:tcPr>
            <w:tcW w:type="dxa" w:w="2494"/>
          </w:tcPr>
          <w:p>
            <w:r/>
            <w:r>
              <w:rPr>
                <w:sz w:val="18"/>
              </w:rPr>
              <w:t>LSD-MADDPG</w:t>
            </w:r>
          </w:p>
        </w:tc>
        <w:tc>
          <w:tcPr>
            <w:tcW w:type="dxa" w:w="4535"/>
          </w:tcPr>
          <w:p>
            <w:r/>
            <w:r>
              <w:rPr>
                <w:sz w:val="18"/>
              </w:rPr>
              <w:t>~15% pico y ~18% costo frente a agentes no cooperativos.</w:t>
            </w:r>
          </w:p>
        </w:tc>
      </w:tr>
      <w:tr>
        <w:tc>
          <w:tcPr>
            <w:tcW w:type="dxa" w:w="2041"/>
          </w:tcPr>
          <w:p>
            <w:r/>
            <w:r>
              <w:rPr>
                <w:sz w:val="18"/>
              </w:rPr>
              <w:t>Liu et al. (2022)</w:t>
            </w:r>
          </w:p>
        </w:tc>
        <w:tc>
          <w:tcPr>
            <w:tcW w:type="dxa" w:w="2494"/>
          </w:tcPr>
          <w:p>
            <w:r/>
            <w:r>
              <w:rPr>
                <w:sz w:val="18"/>
              </w:rPr>
              <w:t>MADDPG multiobjetivo</w:t>
            </w:r>
          </w:p>
        </w:tc>
        <w:tc>
          <w:tcPr>
            <w:tcW w:type="dxa" w:w="4535"/>
          </w:tcPr>
          <w:p>
            <w:r/>
            <w:r>
              <w:rPr>
                <w:sz w:val="18"/>
              </w:rPr>
              <w:t>~15% CO2 y ~20% costo; recompensa con termino de exportacion.</w:t>
            </w:r>
          </w:p>
        </w:tc>
      </w:tr>
      <w:tr>
        <w:tc>
          <w:tcPr>
            <w:tcW w:type="dxa" w:w="2041"/>
          </w:tcPr>
          <w:p>
            <w:r/>
            <w:r>
              <w:rPr>
                <w:sz w:val="18"/>
              </w:rPr>
              <w:t>Gao et al. (2023)</w:t>
            </w:r>
          </w:p>
        </w:tc>
        <w:tc>
          <w:tcPr>
            <w:tcW w:type="dxa" w:w="2494"/>
          </w:tcPr>
          <w:p>
            <w:r/>
            <w:r>
              <w:rPr>
                <w:sz w:val="18"/>
              </w:rPr>
              <w:t>MASAC multi-microgrid</w:t>
            </w:r>
          </w:p>
        </w:tc>
        <w:tc>
          <w:tcPr>
            <w:tcW w:type="dxa" w:w="4535"/>
          </w:tcPr>
          <w:p>
            <w:r/>
            <w:r>
              <w:rPr>
                <w:sz w:val="18"/>
              </w:rPr>
              <w:t>Arbitraje BESS en mercados TOU con respuesta a precios.</w:t>
            </w:r>
          </w:p>
        </w:tc>
      </w:tr>
    </w:tbl>
    <w:p/>
    <w:p>
      <w:r>
        <w:br w:type="page"/>
      </w:r>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metodologico</w:t>
      </w:r>
    </w:p>
    <w:p>
      <w:pPr>
        <w:jc w:val="both"/>
      </w:pPr>
      <w:r>
        <w:rPr>
          <w:b w:val="0"/>
          <w:i w:val="0"/>
        </w:rPr>
        <w:t>El experimento se organiza en una matriz de 12 corridas (4 algoritmos x 3 escenarios) ejecutadas con la misma funcion de recompensa multiobjetivo y los mismos KPIs oficiales de CityLearn v2. Cada escenario condiciona la politica hacia un objetivo dominante mediante un vector de pesos distinto, respondiendo a cada objetivo especifico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i w:val="0"/>
        </w:rPr>
        <w:t>Variable independiente:</w:t>
      </w:r>
    </w:p>
    <w:p>
      <w:pPr>
        <w:jc w:val="both"/>
      </w:pPr>
      <w:r>
        <w:rPr>
          <w:b w:val="0"/>
          <w:i w:val="0"/>
        </w:rPr>
        <w:t>Capa MADRL cooperativa implementada sobre CityLearn v2 (CityLearn v3 propuesto): algoritmos HAPPO, MASAC, MATD3 y MAAC bajo Dec-POMDP y CTDE.</w:t>
      </w:r>
    </w:p>
    <w:p>
      <w:pPr>
        <w:jc w:val="both"/>
      </w:pPr>
      <w:r>
        <w:rPr>
          <w:b/>
          <w:i w:val="0"/>
        </w:rPr>
        <w:t>Variable dependiente:</w:t>
      </w:r>
    </w:p>
    <w:p>
      <w:pPr>
        <w:jc w:val="both"/>
      </w:pPr>
      <w:r>
        <w:rPr>
          <w:b w:val="0"/>
          <w:i w:val="0"/>
        </w:rPr>
        <w:t>Desempeno coordinado en flexibilidad energetica, emisiones de CO2 y costos energeticos, medido con los KPIs oficiales de CityLearn v2.</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e instrumentos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jc w:val="both"/>
      </w:pPr>
      <w: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Hiperparametros comunes (CityLearn/configs/ y v3/config.py):</w:t>
      </w:r>
    </w:p>
    <w:p>
      <w:r>
        <w:rPr>
          <w:b/>
          <w:color w:val="595959"/>
          <w:sz w:val="19"/>
        </w:rPr>
        <w:t>Tabla 4.3. Hiperparametros del entrenamiento MADRL.</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shd w:val="clear" w:color="auto" w:fill="1F4E79"/>
          </w:tcPr>
          <w:p>
            <w:r/>
            <w:r>
              <w:rPr>
                <w:b/>
                <w:color w:val="FFFFFF"/>
                <w:sz w:val="18"/>
              </w:rPr>
              <w:t>Hiperparametro</w:t>
            </w:r>
          </w:p>
        </w:tc>
        <w:tc>
          <w:tcPr>
            <w:tcW w:type="dxa" w:w="3402"/>
            <w:shd w:val="clear" w:color="auto" w:fill="1F4E79"/>
          </w:tcPr>
          <w:p>
            <w:r/>
            <w:r>
              <w:rPr>
                <w:b/>
                <w:color w:val="FFFFFF"/>
                <w:sz w:val="18"/>
              </w:rPr>
              <w:t>Valor</w:t>
            </w:r>
          </w:p>
        </w:tc>
        <w:tc>
          <w:tcPr>
            <w:tcW w:type="dxa" w:w="3118"/>
            <w:shd w:val="clear" w:color="auto" w:fill="1F4E79"/>
          </w:tcPr>
          <w:p>
            <w:r/>
            <w:r>
              <w:rPr>
                <w:b/>
                <w:color w:val="FFFFFF"/>
                <w:sz w:val="18"/>
              </w:rPr>
              <w:t>Aplicabilidad</w:t>
            </w:r>
          </w:p>
        </w:tc>
      </w:tr>
      <w:tr>
        <w:tc>
          <w:tcPr>
            <w:tcW w:type="dxa" w:w="2551"/>
          </w:tcPr>
          <w:p>
            <w:r/>
            <w:r>
              <w:rPr>
                <w:sz w:val="18"/>
              </w:rPr>
              <w:t>hidden_sizes</w:t>
            </w:r>
          </w:p>
        </w:tc>
        <w:tc>
          <w:tcPr>
            <w:tcW w:type="dxa" w:w="3402"/>
          </w:tcPr>
          <w:p>
            <w:r/>
            <w:r>
              <w:rPr>
                <w:sz w:val="18"/>
              </w:rPr>
              <w:t>[256, 256]</w:t>
            </w:r>
          </w:p>
        </w:tc>
        <w:tc>
          <w:tcPr>
            <w:tcW w:type="dxa" w:w="3118"/>
          </w:tcPr>
          <w:p>
            <w:r/>
            <w:r>
              <w:rPr>
                <w:sz w:val="18"/>
              </w:rPr>
              <w:t>Todos</w:t>
            </w:r>
          </w:p>
        </w:tc>
      </w:tr>
      <w:tr>
        <w:tc>
          <w:tcPr>
            <w:tcW w:type="dxa" w:w="2551"/>
          </w:tcPr>
          <w:p>
            <w:r/>
            <w:r>
              <w:rPr>
                <w:sz w:val="18"/>
              </w:rPr>
              <w:t>actor_lr</w:t>
            </w:r>
          </w:p>
        </w:tc>
        <w:tc>
          <w:tcPr>
            <w:tcW w:type="dxa" w:w="3402"/>
          </w:tcPr>
          <w:p>
            <w:r/>
            <w:r>
              <w:rPr>
                <w:sz w:val="18"/>
              </w:rPr>
              <w:t>3e-4</w:t>
            </w:r>
          </w:p>
        </w:tc>
        <w:tc>
          <w:tcPr>
            <w:tcW w:type="dxa" w:w="3118"/>
          </w:tcPr>
          <w:p>
            <w:r/>
            <w:r>
              <w:rPr>
                <w:sz w:val="18"/>
              </w:rPr>
              <w:t>Todos</w:t>
            </w:r>
          </w:p>
        </w:tc>
      </w:tr>
      <w:tr>
        <w:tc>
          <w:tcPr>
            <w:tcW w:type="dxa" w:w="2551"/>
          </w:tcPr>
          <w:p>
            <w:r/>
            <w:r>
              <w:rPr>
                <w:sz w:val="18"/>
              </w:rPr>
              <w:t>critic_lr</w:t>
            </w:r>
          </w:p>
        </w:tc>
        <w:tc>
          <w:tcPr>
            <w:tcW w:type="dxa" w:w="3402"/>
          </w:tcPr>
          <w:p>
            <w:r/>
            <w:r>
              <w:rPr>
                <w:sz w:val="18"/>
              </w:rPr>
              <w:t>1e-3</w:t>
            </w:r>
          </w:p>
        </w:tc>
        <w:tc>
          <w:tcPr>
            <w:tcW w:type="dxa" w:w="3118"/>
          </w:tcPr>
          <w:p>
            <w:r/>
            <w:r>
              <w:rPr>
                <w:sz w:val="18"/>
              </w:rPr>
              <w:t>Todos</w:t>
            </w:r>
          </w:p>
        </w:tc>
      </w:tr>
      <w:tr>
        <w:tc>
          <w:tcPr>
            <w:tcW w:type="dxa" w:w="2551"/>
          </w:tcPr>
          <w:p>
            <w:r/>
            <w:r>
              <w:rPr>
                <w:sz w:val="18"/>
              </w:rPr>
              <w:t>gamma</w:t>
            </w:r>
          </w:p>
        </w:tc>
        <w:tc>
          <w:tcPr>
            <w:tcW w:type="dxa" w:w="3402"/>
          </w:tcPr>
          <w:p>
            <w:r/>
            <w:r>
              <w:rPr>
                <w:sz w:val="18"/>
              </w:rPr>
              <w:t>0.9999 (canonico y corrida v4)</w:t>
            </w:r>
          </w:p>
        </w:tc>
        <w:tc>
          <w:tcPr>
            <w:tcW w:type="dxa" w:w="3118"/>
          </w:tcPr>
          <w:p>
            <w:r/>
            <w:r>
              <w:rPr>
                <w:sz w:val="18"/>
              </w:rPr>
              <w:t>Todos</w:t>
            </w:r>
          </w:p>
        </w:tc>
      </w:tr>
      <w:tr>
        <w:tc>
          <w:tcPr>
            <w:tcW w:type="dxa" w:w="2551"/>
          </w:tcPr>
          <w:p>
            <w:r/>
            <w:r>
              <w:rPr>
                <w:sz w:val="18"/>
              </w:rPr>
              <w:t>batch_size</w:t>
            </w:r>
          </w:p>
        </w:tc>
        <w:tc>
          <w:tcPr>
            <w:tcW w:type="dxa" w:w="3402"/>
          </w:tcPr>
          <w:p>
            <w:r/>
            <w:r>
              <w:rPr>
                <w:sz w:val="18"/>
              </w:rPr>
              <w:t>256</w:t>
            </w:r>
          </w:p>
        </w:tc>
        <w:tc>
          <w:tcPr>
            <w:tcW w:type="dxa" w:w="3118"/>
          </w:tcPr>
          <w:p>
            <w:r/>
            <w:r>
              <w:rPr>
                <w:sz w:val="18"/>
              </w:rPr>
              <w:t>Todos</w:t>
            </w:r>
          </w:p>
        </w:tc>
      </w:tr>
      <w:tr>
        <w:tc>
          <w:tcPr>
            <w:tcW w:type="dxa" w:w="2551"/>
          </w:tcPr>
          <w:p>
            <w:r/>
            <w:r>
              <w:rPr>
                <w:sz w:val="18"/>
              </w:rPr>
              <w:t>replay_buffer_size</w:t>
            </w:r>
          </w:p>
        </w:tc>
        <w:tc>
          <w:tcPr>
            <w:tcW w:type="dxa" w:w="3402"/>
          </w:tcPr>
          <w:p>
            <w:r/>
            <w:r>
              <w:rPr>
                <w:sz w:val="18"/>
              </w:rPr>
              <w:t>1 000 000 (4 096 en MATD3 local 8 GB)</w:t>
            </w:r>
          </w:p>
        </w:tc>
        <w:tc>
          <w:tcPr>
            <w:tcW w:type="dxa" w:w="3118"/>
          </w:tcPr>
          <w:p>
            <w:r/>
            <w:r>
              <w:rPr>
                <w:sz w:val="18"/>
              </w:rPr>
              <w:t>MASAC, MATD3, MAAC</w:t>
            </w:r>
          </w:p>
        </w:tc>
      </w:tr>
      <w:tr>
        <w:tc>
          <w:tcPr>
            <w:tcW w:type="dxa" w:w="2551"/>
          </w:tcPr>
          <w:p>
            <w:r/>
            <w:r>
              <w:rPr>
                <w:sz w:val="18"/>
              </w:rPr>
              <w:t>tau</w:t>
            </w:r>
          </w:p>
        </w:tc>
        <w:tc>
          <w:tcPr>
            <w:tcW w:type="dxa" w:w="3402"/>
          </w:tcPr>
          <w:p>
            <w:r/>
            <w:r>
              <w:rPr>
                <w:sz w:val="18"/>
              </w:rPr>
              <w:t>0.005</w:t>
            </w:r>
          </w:p>
        </w:tc>
        <w:tc>
          <w:tcPr>
            <w:tcW w:type="dxa" w:w="3118"/>
          </w:tcPr>
          <w:p>
            <w:r/>
            <w:r>
              <w:rPr>
                <w:sz w:val="18"/>
              </w:rPr>
              <w:t>MASAC, MATD3, MAAC</w:t>
            </w:r>
          </w:p>
        </w:tc>
      </w:tr>
      <w:tr>
        <w:tc>
          <w:tcPr>
            <w:tcW w:type="dxa" w:w="2551"/>
          </w:tcPr>
          <w:p>
            <w:r/>
            <w:r>
              <w:rPr>
                <w:sz w:val="18"/>
              </w:rPr>
              <w:t>ppo_clip</w:t>
            </w:r>
          </w:p>
        </w:tc>
        <w:tc>
          <w:tcPr>
            <w:tcW w:type="dxa" w:w="3402"/>
          </w:tcPr>
          <w:p>
            <w:r/>
            <w:r>
              <w:rPr>
                <w:sz w:val="18"/>
              </w:rPr>
              <w:t>0.2</w:t>
            </w:r>
          </w:p>
        </w:tc>
        <w:tc>
          <w:tcPr>
            <w:tcW w:type="dxa" w:w="3118"/>
          </w:tcPr>
          <w:p>
            <w:r/>
            <w:r>
              <w:rPr>
                <w:sz w:val="18"/>
              </w:rPr>
              <w:t>Solo HAPPO</w:t>
            </w:r>
          </w:p>
        </w:tc>
      </w:tr>
      <w:tr>
        <w:tc>
          <w:tcPr>
            <w:tcW w:type="dxa" w:w="2551"/>
          </w:tcPr>
          <w:p>
            <w:r/>
            <w:r>
              <w:rPr>
                <w:sz w:val="18"/>
              </w:rPr>
              <w:t>matd3_policy_delay</w:t>
            </w:r>
          </w:p>
        </w:tc>
        <w:tc>
          <w:tcPr>
            <w:tcW w:type="dxa" w:w="3402"/>
          </w:tcPr>
          <w:p>
            <w:r/>
            <w:r>
              <w:rPr>
                <w:sz w:val="18"/>
              </w:rPr>
              <w:t>2</w:t>
            </w:r>
          </w:p>
        </w:tc>
        <w:tc>
          <w:tcPr>
            <w:tcW w:type="dxa" w:w="3118"/>
          </w:tcPr>
          <w:p>
            <w:r/>
            <w:r>
              <w:rPr>
                <w:sz w:val="18"/>
              </w:rPr>
              <w:t>Solo MATD3</w:t>
            </w:r>
          </w:p>
        </w:tc>
      </w:tr>
      <w:tr>
        <w:tc>
          <w:tcPr>
            <w:tcW w:type="dxa" w:w="2551"/>
          </w:tcPr>
          <w:p>
            <w:r/>
            <w:r>
              <w:rPr>
                <w:sz w:val="18"/>
              </w:rPr>
              <w:t>maac_attention_heads</w:t>
            </w:r>
          </w:p>
        </w:tc>
        <w:tc>
          <w:tcPr>
            <w:tcW w:type="dxa" w:w="3402"/>
          </w:tcPr>
          <w:p>
            <w:r/>
            <w:r>
              <w:rPr>
                <w:sz w:val="18"/>
              </w:rPr>
              <w:t>4</w:t>
            </w:r>
          </w:p>
        </w:tc>
        <w:tc>
          <w:tcPr>
            <w:tcW w:type="dxa" w:w="3118"/>
          </w:tcPr>
          <w:p>
            <w:r/>
            <w:r>
              <w:rPr>
                <w:sz w:val="18"/>
              </w:rPr>
              <w:t>Solo MAAC</w:t>
            </w:r>
          </w:p>
        </w:tc>
      </w:tr>
      <w:tr>
        <w:tc>
          <w:tcPr>
            <w:tcW w:type="dxa" w:w="2551"/>
          </w:tcPr>
          <w:p>
            <w:r/>
            <w:r>
              <w:rPr>
                <w:sz w:val="18"/>
              </w:rPr>
              <w:t>masac_alpha</w:t>
            </w:r>
          </w:p>
        </w:tc>
        <w:tc>
          <w:tcPr>
            <w:tcW w:type="dxa" w:w="3402"/>
          </w:tcPr>
          <w:p>
            <w:r/>
            <w:r>
              <w:rPr>
                <w:sz w:val="18"/>
              </w:rPr>
              <w:t>auto</w:t>
            </w:r>
          </w:p>
        </w:tc>
        <w:tc>
          <w:tcPr>
            <w:tcW w:type="dxa" w:w="3118"/>
          </w:tcPr>
          <w:p>
            <w:r/>
            <w:r>
              <w:rPr>
                <w:sz w:val="18"/>
              </w:rPr>
              <w:t>Solo MASAC</w:t>
            </w:r>
          </w:p>
        </w:tc>
      </w:tr>
    </w:tbl>
    <w:p/>
    <w:p>
      <w:pPr>
        <w:jc w:val="both"/>
      </w:pPr>
      <w:r>
        <w:rPr>
          <w:b w:val="0"/>
          <w:i w:val="0"/>
        </w:rPr>
        <w:t>La optimizacion automatica de hiperparametros con Optuna (TPE) queda como mejora experimental posterior; la evidencia cuantitativa se toma de la corrida vigente.</w:t>
      </w:r>
    </w:p>
    <w:p>
      <w:pPr>
        <w:jc w:val="both"/>
      </w:pPr>
      <w:r>
        <w:rPr>
          <w:b w:val="0"/>
          <w:i w:val="0"/>
        </w:rPr>
        <w:t>Configuracion canonica de 50 episodios (Colab A100). La corrida definitiva se ejecuta en Google Colab sobre una NVIDIA A100-SXM4-80GB en modo two_phase_happo_masac (Fase 1 HAPPO+MASAC, Fase 2 MATD3+MAAC, seis trabajos por fase). Conforme a la celda 6.1 del notebook CityLearn/examples/madrl_citylearn_v3_tutorial.ipynb (fuente unica de verdad), los hiperparametros canonicos son los siguientes:</w:t>
      </w:r>
    </w:p>
    <w:p>
      <w:r>
        <w:rPr>
          <w:b/>
          <w:color w:val="595959"/>
          <w:sz w:val="19"/>
        </w:rPr>
        <w:t>Tabla 4.3b. Hiperparametros canonicos de 50 episodios (Colab A100, notebook celda 6.1).</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041"/>
            <w:shd w:val="clear" w:color="auto" w:fill="1F4E79"/>
          </w:tcPr>
          <w:p>
            <w:r/>
            <w:r>
              <w:rPr>
                <w:b/>
                <w:color w:val="FFFFFF"/>
                <w:sz w:val="16"/>
              </w:rPr>
              <w:t>Parametro</w:t>
            </w:r>
          </w:p>
        </w:tc>
        <w:tc>
          <w:tcPr>
            <w:tcW w:type="dxa" w:w="1701"/>
            <w:shd w:val="clear" w:color="auto" w:fill="1F4E79"/>
          </w:tcPr>
          <w:p>
            <w:r/>
            <w:r>
              <w:rPr>
                <w:b/>
                <w:color w:val="FFFFFF"/>
                <w:sz w:val="16"/>
              </w:rPr>
              <w:t>HAPPO</w:t>
            </w:r>
          </w:p>
        </w:tc>
        <w:tc>
          <w:tcPr>
            <w:tcW w:type="dxa" w:w="2041"/>
            <w:shd w:val="clear" w:color="auto" w:fill="1F4E79"/>
          </w:tcPr>
          <w:p>
            <w:r/>
            <w:r>
              <w:rPr>
                <w:b/>
                <w:color w:val="FFFFFF"/>
                <w:sz w:val="16"/>
              </w:rPr>
              <w:t>MASAC</w:t>
            </w:r>
          </w:p>
        </w:tc>
        <w:tc>
          <w:tcPr>
            <w:tcW w:type="dxa" w:w="1701"/>
            <w:shd w:val="clear" w:color="auto" w:fill="1F4E79"/>
          </w:tcPr>
          <w:p>
            <w:r/>
            <w:r>
              <w:rPr>
                <w:b/>
                <w:color w:val="FFFFFF"/>
                <w:sz w:val="16"/>
              </w:rPr>
              <w:t>MATD3</w:t>
            </w:r>
          </w:p>
        </w:tc>
        <w:tc>
          <w:tcPr>
            <w:tcW w:type="dxa" w:w="1701"/>
            <w:shd w:val="clear" w:color="auto" w:fill="1F4E79"/>
          </w:tcPr>
          <w:p>
            <w:r/>
            <w:r>
              <w:rPr>
                <w:b/>
                <w:color w:val="FFFFFF"/>
                <w:sz w:val="16"/>
              </w:rPr>
              <w:t>MAAC</w:t>
            </w:r>
          </w:p>
        </w:tc>
      </w:tr>
      <w:tr>
        <w:tc>
          <w:tcPr>
            <w:tcW w:type="dxa" w:w="2041"/>
          </w:tcPr>
          <w:p>
            <w:r/>
            <w:r>
              <w:rPr>
                <w:sz w:val="16"/>
              </w:rPr>
              <w:t>Episodios x pasos</w:t>
            </w:r>
          </w:p>
        </w:tc>
        <w:tc>
          <w:tcPr>
            <w:tcW w:type="dxa" w:w="1701"/>
          </w:tcPr>
          <w:p>
            <w:r/>
            <w:r>
              <w:rPr>
                <w:sz w:val="16"/>
              </w:rPr>
              <w:t>50 x 8 760</w:t>
            </w:r>
          </w:p>
        </w:tc>
        <w:tc>
          <w:tcPr>
            <w:tcW w:type="dxa" w:w="2041"/>
          </w:tcPr>
          <w:p>
            <w:r/>
            <w:r>
              <w:rPr>
                <w:sz w:val="16"/>
              </w:rPr>
              <w:t>50 x 8 760</w:t>
            </w:r>
          </w:p>
        </w:tc>
        <w:tc>
          <w:tcPr>
            <w:tcW w:type="dxa" w:w="1701"/>
          </w:tcPr>
          <w:p>
            <w:r/>
            <w:r>
              <w:rPr>
                <w:sz w:val="16"/>
              </w:rPr>
              <w:t>50 x 8 760</w:t>
            </w:r>
          </w:p>
        </w:tc>
        <w:tc>
          <w:tcPr>
            <w:tcW w:type="dxa" w:w="1701"/>
          </w:tcPr>
          <w:p>
            <w:r/>
            <w:r>
              <w:rPr>
                <w:sz w:val="16"/>
              </w:rPr>
              <w:t>50 x 8 760</w:t>
            </w:r>
          </w:p>
        </w:tc>
      </w:tr>
      <w:tr>
        <w:tc>
          <w:tcPr>
            <w:tcW w:type="dxa" w:w="2041"/>
          </w:tcPr>
          <w:p>
            <w:r/>
            <w:r>
              <w:rPr>
                <w:sz w:val="16"/>
              </w:rPr>
              <w:t>gamma</w:t>
            </w:r>
          </w:p>
        </w:tc>
        <w:tc>
          <w:tcPr>
            <w:tcW w:type="dxa" w:w="1701"/>
          </w:tcPr>
          <w:p>
            <w:r/>
            <w:r>
              <w:rPr>
                <w:sz w:val="16"/>
              </w:rPr>
              <w:t>0.9999</w:t>
            </w:r>
          </w:p>
        </w:tc>
        <w:tc>
          <w:tcPr>
            <w:tcW w:type="dxa" w:w="2041"/>
          </w:tcPr>
          <w:p>
            <w:r/>
            <w:r>
              <w:rPr>
                <w:sz w:val="16"/>
              </w:rPr>
              <w:t>0.9999</w:t>
            </w:r>
          </w:p>
        </w:tc>
        <w:tc>
          <w:tcPr>
            <w:tcW w:type="dxa" w:w="1701"/>
          </w:tcPr>
          <w:p>
            <w:r/>
            <w:r>
              <w:rPr>
                <w:sz w:val="16"/>
              </w:rPr>
              <w:t>0.9999</w:t>
            </w:r>
          </w:p>
        </w:tc>
        <w:tc>
          <w:tcPr>
            <w:tcW w:type="dxa" w:w="1701"/>
          </w:tcPr>
          <w:p>
            <w:r/>
            <w:r>
              <w:rPr>
                <w:sz w:val="16"/>
              </w:rPr>
              <w:t>0.9999</w:t>
            </w:r>
          </w:p>
        </w:tc>
      </w:tr>
      <w:tr>
        <w:tc>
          <w:tcPr>
            <w:tcW w:type="dxa" w:w="2041"/>
          </w:tcPr>
          <w:p>
            <w:r/>
            <w:r>
              <w:rPr>
                <w:sz w:val="16"/>
              </w:rPr>
              <w:t>hidden_size</w:t>
            </w:r>
          </w:p>
        </w:tc>
        <w:tc>
          <w:tcPr>
            <w:tcW w:type="dxa" w:w="1701"/>
          </w:tcPr>
          <w:p>
            <w:r/>
            <w:r>
              <w:rPr>
                <w:sz w:val="16"/>
              </w:rPr>
              <w:t>[512, 512]</w:t>
            </w:r>
          </w:p>
        </w:tc>
        <w:tc>
          <w:tcPr>
            <w:tcW w:type="dxa" w:w="2041"/>
          </w:tcPr>
          <w:p>
            <w:r/>
            <w:r>
              <w:rPr>
                <w:sz w:val="16"/>
              </w:rPr>
              <w:t>rnn 64 / qmix 32 / hyper 64</w:t>
            </w:r>
          </w:p>
        </w:tc>
        <w:tc>
          <w:tcPr>
            <w:tcW w:type="dxa" w:w="1701"/>
          </w:tcPr>
          <w:p>
            <w:r/>
            <w:r>
              <w:rPr>
                <w:sz w:val="16"/>
              </w:rPr>
              <w:t>768</w:t>
            </w:r>
          </w:p>
        </w:tc>
        <w:tc>
          <w:tcPr>
            <w:tcW w:type="dxa" w:w="1701"/>
          </w:tcPr>
          <w:p>
            <w:r/>
            <w:r>
              <w:rPr>
                <w:sz w:val="16"/>
              </w:rPr>
              <w:t>768</w:t>
            </w:r>
          </w:p>
        </w:tc>
      </w:tr>
      <w:tr>
        <w:tc>
          <w:tcPr>
            <w:tcW w:type="dxa" w:w="2041"/>
          </w:tcPr>
          <w:p>
            <w:r/>
            <w:r>
              <w:rPr>
                <w:sz w:val="16"/>
              </w:rPr>
              <w:t>Buffer</w:t>
            </w:r>
          </w:p>
        </w:tc>
        <w:tc>
          <w:tcPr>
            <w:tcW w:type="dxa" w:w="1701"/>
          </w:tcPr>
          <w:p>
            <w:r/>
            <w:r>
              <w:rPr>
                <w:sz w:val="16"/>
              </w:rPr>
              <w:t>on-policy</w:t>
            </w:r>
          </w:p>
        </w:tc>
        <w:tc>
          <w:tcPr>
            <w:tcW w:type="dxa" w:w="2041"/>
          </w:tcPr>
          <w:p>
            <w:r/>
            <w:r>
              <w:rPr>
                <w:sz w:val="16"/>
              </w:rPr>
              <w:t>2 ep (replay CPU)</w:t>
            </w:r>
          </w:p>
        </w:tc>
        <w:tc>
          <w:tcPr>
            <w:tcW w:type="dxa" w:w="1701"/>
          </w:tcPr>
          <w:p>
            <w:r/>
            <w:r>
              <w:rPr>
                <w:sz w:val="16"/>
              </w:rPr>
              <w:t>2 000 000</w:t>
            </w:r>
          </w:p>
        </w:tc>
        <w:tc>
          <w:tcPr>
            <w:tcW w:type="dxa" w:w="1701"/>
          </w:tcPr>
          <w:p>
            <w:r/>
            <w:r>
              <w:rPr>
                <w:sz w:val="16"/>
              </w:rPr>
              <w:t>1 000 000</w:t>
            </w:r>
          </w:p>
        </w:tc>
      </w:tr>
      <w:tr>
        <w:tc>
          <w:tcPr>
            <w:tcW w:type="dxa" w:w="2041"/>
          </w:tcPr>
          <w:p>
            <w:r/>
            <w:r>
              <w:rPr>
                <w:sz w:val="16"/>
              </w:rPr>
              <w:t>Batch</w:t>
            </w:r>
          </w:p>
        </w:tc>
        <w:tc>
          <w:tcPr>
            <w:tcW w:type="dxa" w:w="1701"/>
          </w:tcPr>
          <w:p>
            <w:r/>
            <w:r>
              <w:rPr>
                <w:sz w:val="16"/>
              </w:rPr>
              <w:t>rollout</w:t>
            </w:r>
          </w:p>
        </w:tc>
        <w:tc>
          <w:tcPr>
            <w:tcW w:type="dxa" w:w="2041"/>
          </w:tcPr>
          <w:p>
            <w:r/>
            <w:r>
              <w:rPr>
                <w:sz w:val="16"/>
              </w:rPr>
              <w:t>512 (critic_batch 1 ep)</w:t>
            </w:r>
          </w:p>
        </w:tc>
        <w:tc>
          <w:tcPr>
            <w:tcW w:type="dxa" w:w="1701"/>
          </w:tcPr>
          <w:p>
            <w:r/>
            <w:r>
              <w:rPr>
                <w:sz w:val="16"/>
              </w:rPr>
              <w:t>1 024 (GPU 1 280)</w:t>
            </w:r>
          </w:p>
        </w:tc>
        <w:tc>
          <w:tcPr>
            <w:tcW w:type="dxa" w:w="1701"/>
          </w:tcPr>
          <w:p>
            <w:r/>
            <w:r>
              <w:rPr>
                <w:sz w:val="16"/>
              </w:rPr>
              <w:t>512 (GPU 768)</w:t>
            </w:r>
          </w:p>
        </w:tc>
      </w:tr>
      <w:tr>
        <w:tc>
          <w:tcPr>
            <w:tcW w:type="dxa" w:w="2041"/>
          </w:tcPr>
          <w:p>
            <w:r/>
            <w:r>
              <w:rPr>
                <w:sz w:val="16"/>
              </w:rPr>
              <w:t>LR actor / critico</w:t>
            </w:r>
          </w:p>
        </w:tc>
        <w:tc>
          <w:tcPr>
            <w:tcW w:type="dxa" w:w="1701"/>
          </w:tcPr>
          <w:p>
            <w:r/>
            <w:r>
              <w:rPr>
                <w:sz w:val="16"/>
              </w:rPr>
              <w:t>1e-4 / 5e-4</w:t>
            </w:r>
          </w:p>
        </w:tc>
        <w:tc>
          <w:tcPr>
            <w:tcW w:type="dxa" w:w="2041"/>
          </w:tcPr>
          <w:p>
            <w:r/>
            <w:r>
              <w:rPr>
                <w:sz w:val="16"/>
              </w:rPr>
              <w:t>3e-4 / 5e-4</w:t>
            </w:r>
          </w:p>
        </w:tc>
        <w:tc>
          <w:tcPr>
            <w:tcW w:type="dxa" w:w="1701"/>
          </w:tcPr>
          <w:p>
            <w:r/>
            <w:r>
              <w:rPr>
                <w:sz w:val="16"/>
              </w:rPr>
              <w:t>3e-4 / 3e-4</w:t>
            </w:r>
          </w:p>
        </w:tc>
        <w:tc>
          <w:tcPr>
            <w:tcW w:type="dxa" w:w="1701"/>
          </w:tcPr>
          <w:p>
            <w:r/>
            <w:r>
              <w:rPr>
                <w:sz w:val="16"/>
              </w:rPr>
              <w:t>3e-4 / 1e-3</w:t>
            </w:r>
          </w:p>
        </w:tc>
      </w:tr>
      <w:tr>
        <w:tc>
          <w:tcPr>
            <w:tcW w:type="dxa" w:w="2041"/>
          </w:tcPr>
          <w:p>
            <w:r/>
            <w:r>
              <w:rPr>
                <w:sz w:val="16"/>
              </w:rPr>
              <w:t>Especificos</w:t>
            </w:r>
          </w:p>
        </w:tc>
        <w:tc>
          <w:tcPr>
            <w:tcW w:type="dxa" w:w="1701"/>
          </w:tcPr>
          <w:p>
            <w:r/>
            <w:r>
              <w:rPr>
                <w:sz w:val="16"/>
              </w:rPr>
              <w:t>clip 0.2, GAE 0.95, epochs 5</w:t>
            </w:r>
          </w:p>
        </w:tc>
        <w:tc>
          <w:tcPr>
            <w:tcW w:type="dxa" w:w="2041"/>
          </w:tcPr>
          <w:p>
            <w:r/>
            <w:r>
              <w:rPr>
                <w:sz w:val="16"/>
              </w:rPr>
              <w:t>action_bins 3, 89 acc.</w:t>
            </w:r>
          </w:p>
        </w:tc>
        <w:tc>
          <w:tcPr>
            <w:tcW w:type="dxa" w:w="1701"/>
          </w:tcPr>
          <w:p>
            <w:r/>
            <w:r>
              <w:rPr>
                <w:sz w:val="16"/>
              </w:rPr>
              <w:t>policy_delay 2, train_int 50</w:t>
            </w:r>
          </w:p>
        </w:tc>
        <w:tc>
          <w:tcPr>
            <w:tcW w:type="dxa" w:w="1701"/>
          </w:tcPr>
          <w:p>
            <w:r/>
            <w:r>
              <w:rPr>
                <w:sz w:val="16"/>
              </w:rPr>
              <w:t>attend_heads 4, num_updates 12</w:t>
            </w:r>
          </w:p>
        </w:tc>
      </w:tr>
    </w:tbl>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El experimento oficial ejecuta 12 corridas (4 algoritmos x 3 escenarios, seed = 0). La configuracion canonica objetivo es de 50 episodios x 8 760 pasos (438 000 pasos/corrida); la corrida local de referencia v4 completo 5 episodios x 8 760 pasos (43 800 pasos/corrida) en GPU RTX 4060 Laptop 8 GB. La paralelizacion es valida porque las corridas son experimentos independientes (Roijers et al., 2013; MALib, Zhou et al., 2021).</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jc w:val="both"/>
      </w:pPr>
      <w:r>
        <w:rPr>
          <w:b w:val="0"/>
          <w:i w:val="0"/>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pPr>
        <w:pStyle w:val="Heading1"/>
      </w:pPr>
      <w:r>
        <w:t>Capitulo 5. Resultados y contrastacion de hipotesis</w:t>
      </w:r>
    </w:p>
    <w:p>
      <w:pPr>
        <w:jc w:val="both"/>
      </w:pPr>
      <w:r>
        <w:rPr>
          <w:b w:val="0"/>
          <w:i w:val="0"/>
        </w:rPr>
        <w:t>Este capitulo reporta la corrida canonica Colab/Drive (madrl_v3_20260627_164047) como evidencia principal y la corrida local v4 (5 episodios) como referencia historica. Los KPIs por edificio provienen del analisis multiobjetivo integrado (17 edificios × 3 algoritmos × 3 escenarios).</w:t>
      </w:r>
    </w:p>
    <w:p>
      <w:pPr>
        <w:pStyle w:val="Heading2"/>
      </w:pPr>
      <w:r>
        <w:t>5.1 Experimentos realizados</w:t>
      </w:r>
    </w:p>
    <w:p>
      <w:r>
        <w:rPr>
          <w:b/>
          <w:color w:val="595959"/>
          <w:sz w:val="19"/>
        </w:rPr>
        <w:t>Tabla 5.1. Cobertura de episodios auditada (episodes_recorded).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701"/>
            <w:shd w:val="clear" w:color="auto" w:fill="1F4E79"/>
          </w:tcPr>
          <w:p>
            <w:r/>
            <w:r>
              <w:rPr>
                <w:b/>
                <w:color w:val="FFFFFF"/>
                <w:sz w:val="18"/>
              </w:rPr>
              <w:t>Algoritmo</w:t>
            </w:r>
          </w:p>
        </w:tc>
        <w:tc>
          <w:tcPr>
            <w:tcW w:type="dxa" w:w="1247"/>
            <w:shd w:val="clear" w:color="auto" w:fill="1F4E79"/>
          </w:tcPr>
          <w:p>
            <w:r/>
            <w:r>
              <w:rPr>
                <w:b/>
                <w:color w:val="FFFFFF"/>
                <w:sz w:val="18"/>
              </w:rPr>
              <w:t>E1 ep.</w:t>
            </w:r>
          </w:p>
        </w:tc>
        <w:tc>
          <w:tcPr>
            <w:tcW w:type="dxa" w:w="1247"/>
            <w:shd w:val="clear" w:color="auto" w:fill="1F4E79"/>
          </w:tcPr>
          <w:p>
            <w:r/>
            <w:r>
              <w:rPr>
                <w:b/>
                <w:color w:val="FFFFFF"/>
                <w:sz w:val="18"/>
              </w:rPr>
              <w:t>E2 ep.</w:t>
            </w:r>
          </w:p>
        </w:tc>
        <w:tc>
          <w:tcPr>
            <w:tcW w:type="dxa" w:w="1247"/>
            <w:shd w:val="clear" w:color="auto" w:fill="1F4E79"/>
          </w:tcPr>
          <w:p>
            <w:r/>
            <w:r>
              <w:rPr>
                <w:b/>
                <w:color w:val="FFFFFF"/>
                <w:sz w:val="18"/>
              </w:rPr>
              <w:t>E3 ep.</w:t>
            </w:r>
          </w:p>
        </w:tc>
        <w:tc>
          <w:tcPr>
            <w:tcW w:type="dxa" w:w="3061"/>
            <w:shd w:val="clear" w:color="auto" w:fill="1F4E79"/>
          </w:tcPr>
          <w:p>
            <w:r/>
            <w:r>
              <w:rPr>
                <w:b/>
                <w:color w:val="FFFFFF"/>
                <w:sz w:val="18"/>
              </w:rPr>
              <w:t>KPIs finales</w:t>
            </w:r>
          </w:p>
        </w:tc>
      </w:tr>
      <w:tr>
        <w:tc>
          <w:tcPr>
            <w:tcW w:type="dxa" w:w="1701"/>
          </w:tcPr>
          <w:p>
            <w:r/>
            <w:r>
              <w:rPr>
                <w:sz w:val="18"/>
              </w:rPr>
              <w:t>MATD3</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MAAC</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MASAC</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HAPPO</w:t>
            </w:r>
          </w:p>
        </w:tc>
        <w:tc>
          <w:tcPr>
            <w:tcW w:type="dxa" w:w="1247"/>
          </w:tcPr>
          <w:p>
            <w:r/>
            <w:r>
              <w:rPr>
                <w:sz w:val="18"/>
              </w:rPr>
              <w:t>49</w:t>
            </w:r>
          </w:p>
        </w:tc>
        <w:tc>
          <w:tcPr>
            <w:tcW w:type="dxa" w:w="1247"/>
          </w:tcPr>
          <w:p>
            <w:r/>
            <w:r>
              <w:rPr>
                <w:sz w:val="18"/>
              </w:rPr>
              <w:t>49</w:t>
            </w:r>
          </w:p>
        </w:tc>
        <w:tc>
          <w:tcPr>
            <w:tcW w:type="dxa" w:w="1247"/>
          </w:tcPr>
          <w:p>
            <w:r/>
            <w:r>
              <w:rPr>
                <w:sz w:val="18"/>
              </w:rPr>
              <w:t>49</w:t>
            </w:r>
          </w:p>
        </w:tc>
        <w:tc>
          <w:tcPr>
            <w:tcW w:type="dxa" w:w="3061"/>
          </w:tcPr>
          <w:p>
            <w:r/>
            <w:r>
              <w:rPr>
                <w:sz w:val="18"/>
              </w:rPr>
              <w:t>No (error VecEnvWrapper)</w:t>
            </w:r>
          </w:p>
        </w:tc>
      </w:tr>
    </w:tbl>
    <w:p/>
    <w:p>
      <w:pPr>
        <w:pStyle w:val="Heading2"/>
      </w:pPr>
      <w:r>
        <w:t>5.2 Seleccion del mejor MADRL (distrito)</w:t>
      </w:r>
    </w:p>
    <w:p>
      <w:pPr>
        <w:jc w:val="both"/>
      </w:pPr>
      <w:r>
        <w:rPr>
          <w:b/>
          <w:i w:val="0"/>
        </w:rPr>
        <w:t>Mejor algoritmo MADRL seleccionado: MATD3.</w:t>
      </w:r>
    </w:p>
    <w:p>
      <w:r>
        <w:rPr>
          <w:b/>
          <w:color w:val="595959"/>
          <w:sz w:val="19"/>
        </w:rPr>
        <w:t>Tabla 5.2. Ranking global Colab/Drive (best_madrl_report.json).</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417"/>
            <w:shd w:val="clear" w:color="auto" w:fill="1F4E79"/>
          </w:tcPr>
          <w:p>
            <w:r/>
            <w:r>
              <w:rPr>
                <w:b/>
                <w:color w:val="FFFFFF"/>
                <w:sz w:val="18"/>
              </w:rPr>
              <w:t>Score global</w:t>
            </w:r>
          </w:p>
        </w:tc>
        <w:tc>
          <w:tcPr>
            <w:tcW w:type="dxa" w:w="1020"/>
            <w:shd w:val="clear" w:color="auto" w:fill="1F4E79"/>
          </w:tcPr>
          <w:p>
            <w:r/>
            <w:r>
              <w:rPr>
                <w:b/>
                <w:color w:val="FFFFFF"/>
                <w:sz w:val="18"/>
              </w:rPr>
              <w:t>OE1</w:t>
            </w:r>
          </w:p>
        </w:tc>
        <w:tc>
          <w:tcPr>
            <w:tcW w:type="dxa" w:w="1020"/>
            <w:shd w:val="clear" w:color="auto" w:fill="1F4E79"/>
          </w:tcPr>
          <w:p>
            <w:r/>
            <w:r>
              <w:rPr>
                <w:b/>
                <w:color w:val="FFFFFF"/>
                <w:sz w:val="18"/>
              </w:rPr>
              <w:t>OE2</w:t>
            </w:r>
          </w:p>
        </w:tc>
        <w:tc>
          <w:tcPr>
            <w:tcW w:type="dxa" w:w="1020"/>
            <w:shd w:val="clear" w:color="auto" w:fill="1F4E79"/>
          </w:tcPr>
          <w:p>
            <w:r/>
            <w:r>
              <w:rPr>
                <w:b/>
                <w:color w:val="FFFFFF"/>
                <w:sz w:val="18"/>
              </w:rPr>
              <w:t>OE3</w:t>
            </w:r>
          </w:p>
        </w:tc>
        <w:tc>
          <w:tcPr>
            <w:tcW w:type="dxa" w:w="1417"/>
            <w:shd w:val="clear" w:color="auto" w:fill="1F4E79"/>
          </w:tcPr>
          <w:p>
            <w:r/>
            <w:r>
              <w:rPr>
                <w:b/>
                <w:color w:val="FFFFFF"/>
                <w:sz w:val="18"/>
              </w:rPr>
              <w:t>Seleccionado</w:t>
            </w:r>
          </w:p>
        </w:tc>
      </w:tr>
      <w:tr>
        <w:tc>
          <w:tcPr>
            <w:tcW w:type="dxa" w:w="850"/>
          </w:tcPr>
          <w:p>
            <w:r/>
            <w:r>
              <w:rPr>
                <w:sz w:val="18"/>
              </w:rPr>
              <w:t>1</w:t>
            </w:r>
          </w:p>
        </w:tc>
        <w:tc>
          <w:tcPr>
            <w:tcW w:type="dxa" w:w="1417"/>
          </w:tcPr>
          <w:p>
            <w:r/>
            <w:r>
              <w:rPr>
                <w:sz w:val="18"/>
              </w:rPr>
              <w:t>MATD3</w:t>
            </w:r>
          </w:p>
        </w:tc>
        <w:tc>
          <w:tcPr>
            <w:tcW w:type="dxa" w:w="1417"/>
          </w:tcPr>
          <w:p>
            <w:r/>
            <w:r>
              <w:rPr>
                <w:sz w:val="18"/>
              </w:rPr>
              <w:t>0.6667</w:t>
            </w:r>
          </w:p>
        </w:tc>
        <w:tc>
          <w:tcPr>
            <w:tcW w:type="dxa" w:w="1020"/>
          </w:tcPr>
          <w:p>
            <w:r/>
            <w:r>
              <w:rPr>
                <w:sz w:val="18"/>
              </w:rPr>
              <w:t>1.0000</w:t>
            </w:r>
          </w:p>
        </w:tc>
        <w:tc>
          <w:tcPr>
            <w:tcW w:type="dxa" w:w="1020"/>
          </w:tcPr>
          <w:p>
            <w:r/>
            <w:r>
              <w:rPr>
                <w:sz w:val="18"/>
              </w:rPr>
              <w:t>1.0000</w:t>
            </w:r>
          </w:p>
        </w:tc>
        <w:tc>
          <w:tcPr>
            <w:tcW w:type="dxa" w:w="1020"/>
          </w:tcPr>
          <w:p>
            <w:r/>
            <w:r>
              <w:rPr>
                <w:sz w:val="18"/>
              </w:rPr>
              <w:t>0.0000</w:t>
            </w:r>
          </w:p>
        </w:tc>
        <w:tc>
          <w:tcPr>
            <w:tcW w:type="dxa" w:w="1417"/>
          </w:tcPr>
          <w:p>
            <w:r/>
            <w:r>
              <w:rPr>
                <w:sz w:val="18"/>
              </w:rPr>
              <w:t>Si</w:t>
            </w:r>
          </w:p>
        </w:tc>
      </w:tr>
      <w:tr>
        <w:tc>
          <w:tcPr>
            <w:tcW w:type="dxa" w:w="850"/>
          </w:tcPr>
          <w:p>
            <w:r/>
            <w:r>
              <w:rPr>
                <w:sz w:val="18"/>
              </w:rPr>
              <w:t>2</w:t>
            </w:r>
          </w:p>
        </w:tc>
        <w:tc>
          <w:tcPr>
            <w:tcW w:type="dxa" w:w="1417"/>
          </w:tcPr>
          <w:p>
            <w:r/>
            <w:r>
              <w:rPr>
                <w:sz w:val="18"/>
              </w:rPr>
              <w:t>MAAC</w:t>
            </w:r>
          </w:p>
        </w:tc>
        <w:tc>
          <w:tcPr>
            <w:tcW w:type="dxa" w:w="1417"/>
          </w:tcPr>
          <w:p>
            <w:r/>
            <w:r>
              <w:rPr>
                <w:sz w:val="18"/>
              </w:rPr>
              <w:t>0.5706</w:t>
            </w:r>
          </w:p>
        </w:tc>
        <w:tc>
          <w:tcPr>
            <w:tcW w:type="dxa" w:w="1020"/>
          </w:tcPr>
          <w:p>
            <w:r/>
            <w:r>
              <w:rPr>
                <w:sz w:val="18"/>
              </w:rPr>
              <w:t>0.5837</w:t>
            </w:r>
          </w:p>
        </w:tc>
        <w:tc>
          <w:tcPr>
            <w:tcW w:type="dxa" w:w="1020"/>
          </w:tcPr>
          <w:p>
            <w:r/>
            <w:r>
              <w:rPr>
                <w:sz w:val="18"/>
              </w:rPr>
              <w:t>0.1282</w:t>
            </w:r>
          </w:p>
        </w:tc>
        <w:tc>
          <w:tcPr>
            <w:tcW w:type="dxa" w:w="1020"/>
          </w:tcPr>
          <w:p>
            <w:r/>
            <w:r>
              <w:rPr>
                <w:sz w:val="18"/>
              </w:rPr>
              <w:t>1.0000</w:t>
            </w:r>
          </w:p>
        </w:tc>
        <w:tc>
          <w:tcPr>
            <w:tcW w:type="dxa" w:w="1417"/>
          </w:tcPr>
          <w:p>
            <w:r/>
            <w:r>
              <w:rPr>
                <w:sz w:val="18"/>
              </w:rPr>
              <w:t>No</w:t>
            </w:r>
          </w:p>
        </w:tc>
      </w:tr>
      <w:tr>
        <w:tc>
          <w:tcPr>
            <w:tcW w:type="dxa" w:w="850"/>
          </w:tcPr>
          <w:p>
            <w:r/>
            <w:r>
              <w:rPr>
                <w:sz w:val="18"/>
              </w:rPr>
              <w:t>3</w:t>
            </w:r>
          </w:p>
        </w:tc>
        <w:tc>
          <w:tcPr>
            <w:tcW w:type="dxa" w:w="1417"/>
          </w:tcPr>
          <w:p>
            <w:r/>
            <w:r>
              <w:rPr>
                <w:sz w:val="18"/>
              </w:rPr>
              <w:t>MASAC</w:t>
            </w:r>
          </w:p>
        </w:tc>
        <w:tc>
          <w:tcPr>
            <w:tcW w:type="dxa" w:w="1417"/>
          </w:tcPr>
          <w:p>
            <w:r/>
            <w:r>
              <w:rPr>
                <w:sz w:val="18"/>
              </w:rPr>
              <w:t>0.2351</w:t>
            </w:r>
          </w:p>
        </w:tc>
        <w:tc>
          <w:tcPr>
            <w:tcW w:type="dxa" w:w="1020"/>
          </w:tcPr>
          <w:p>
            <w:r/>
            <w:r>
              <w:rPr>
                <w:sz w:val="18"/>
              </w:rPr>
              <w:t>0.0000</w:t>
            </w:r>
          </w:p>
        </w:tc>
        <w:tc>
          <w:tcPr>
            <w:tcW w:type="dxa" w:w="1020"/>
          </w:tcPr>
          <w:p>
            <w:r/>
            <w:r>
              <w:rPr>
                <w:sz w:val="18"/>
              </w:rPr>
              <w:t>0.0000</w:t>
            </w:r>
          </w:p>
        </w:tc>
        <w:tc>
          <w:tcPr>
            <w:tcW w:type="dxa" w:w="1020"/>
          </w:tcPr>
          <w:p>
            <w:r/>
            <w:r>
              <w:rPr>
                <w:sz w:val="18"/>
              </w:rPr>
              <w:t>0.7054</w:t>
            </w:r>
          </w:p>
        </w:tc>
        <w:tc>
          <w:tcPr>
            <w:tcW w:type="dxa" w:w="1417"/>
          </w:tcPr>
          <w:p>
            <w:r/>
            <w:r>
              <w:rPr>
                <w:sz w:val="18"/>
              </w:rPr>
              <w:t>No</w:t>
            </w:r>
          </w:p>
        </w:tc>
      </w:tr>
    </w:tbl>
    <w:p/>
    <w:p>
      <w:pPr>
        <w:pStyle w:val="Heading2"/>
      </w:pPr>
      <w:r>
        <w:t>5.3 KPIs fisicos por objetivo (distrito)</w:t>
      </w:r>
    </w:p>
    <w:p>
      <w:r>
        <w:rPr>
          <w:b/>
          <w:color w:val="595959"/>
          <w:sz w:val="19"/>
        </w:rPr>
        <w:t>Tabla 5.3. KPIs fisicos agregados de distrito.</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417"/>
            <w:shd w:val="clear" w:color="auto" w:fill="1F4E79"/>
          </w:tcPr>
          <w:p>
            <w:r/>
            <w:r>
              <w:rPr>
                <w:b/>
                <w:color w:val="FFFFFF"/>
                <w:sz w:val="18"/>
              </w:rPr>
              <w:t>Algoritmo</w:t>
            </w:r>
          </w:p>
        </w:tc>
        <w:tc>
          <w:tcPr>
            <w:tcW w:type="dxa" w:w="850"/>
            <w:shd w:val="clear" w:color="auto" w:fill="1F4E79"/>
          </w:tcPr>
          <w:p>
            <w:r/>
            <w:r>
              <w:rPr>
                <w:b/>
                <w:color w:val="FFFFFF"/>
                <w:sz w:val="18"/>
              </w:rPr>
              <w:t>Esc.</w:t>
            </w:r>
          </w:p>
        </w:tc>
        <w:tc>
          <w:tcPr>
            <w:tcW w:type="dxa" w:w="1417"/>
            <w:shd w:val="clear" w:color="auto" w:fill="1F4E79"/>
          </w:tcPr>
          <w:p>
            <w:r/>
            <w:r>
              <w:rPr>
                <w:b/>
                <w:color w:val="FFFFFF"/>
                <w:sz w:val="18"/>
              </w:rPr>
              <w:t>Flex comp.</w:t>
            </w:r>
          </w:p>
        </w:tc>
        <w:tc>
          <w:tcPr>
            <w:tcW w:type="dxa" w:w="1701"/>
            <w:shd w:val="clear" w:color="auto" w:fill="1F4E79"/>
          </w:tcPr>
          <w:p>
            <w:r/>
            <w:r>
              <w:rPr>
                <w:b/>
                <w:color w:val="FFFFFF"/>
                <w:sz w:val="18"/>
              </w:rPr>
              <w:t>Delta CO2 (kg)</w:t>
            </w:r>
          </w:p>
        </w:tc>
        <w:tc>
          <w:tcPr>
            <w:tcW w:type="dxa" w:w="1701"/>
            <w:shd w:val="clear" w:color="auto" w:fill="1F4E79"/>
          </w:tcPr>
          <w:p>
            <w:r/>
            <w:r>
              <w:rPr>
                <w:b/>
                <w:color w:val="FFFFFF"/>
                <w:sz w:val="18"/>
              </w:rPr>
              <w:t>Delta costo (EUR)</w:t>
            </w:r>
          </w:p>
        </w:tc>
        <w:tc>
          <w:tcPr>
            <w:tcW w:type="dxa" w:w="1417"/>
            <w:shd w:val="clear" w:color="auto" w:fill="1F4E79"/>
          </w:tcPr>
          <w:p>
            <w:r/>
            <w:r>
              <w:rPr>
                <w:b/>
                <w:color w:val="FFFFFF"/>
                <w:sz w:val="18"/>
              </w:rPr>
              <w:t>EV exito</w:t>
            </w:r>
          </w:p>
        </w:tc>
      </w:tr>
      <w:tr>
        <w:tc>
          <w:tcPr>
            <w:tcW w:type="dxa" w:w="1417"/>
          </w:tcPr>
          <w:p>
            <w:r/>
            <w:r>
              <w:rPr>
                <w:sz w:val="18"/>
              </w:rPr>
              <w:t>MASAC</w:t>
            </w:r>
          </w:p>
        </w:tc>
        <w:tc>
          <w:tcPr>
            <w:tcW w:type="dxa" w:w="850"/>
          </w:tcPr>
          <w:p>
            <w:r/>
            <w:r>
              <w:rPr>
                <w:sz w:val="18"/>
              </w:rPr>
              <w:t>E1</w:t>
            </w:r>
          </w:p>
        </w:tc>
        <w:tc>
          <w:tcPr>
            <w:tcW w:type="dxa" w:w="1417"/>
          </w:tcPr>
          <w:p>
            <w:r/>
            <w:r>
              <w:rPr>
                <w:sz w:val="18"/>
              </w:rPr>
              <w:t>1.0286</w:t>
            </w:r>
          </w:p>
        </w:tc>
        <w:tc>
          <w:tcPr>
            <w:tcW w:type="dxa" w:w="1701"/>
          </w:tcPr>
          <w:p>
            <w:r/>
            <w:r>
              <w:rPr>
                <w:sz w:val="18"/>
              </w:rPr>
              <w:t>81,227</w:t>
            </w:r>
          </w:p>
        </w:tc>
        <w:tc>
          <w:tcPr>
            <w:tcW w:type="dxa" w:w="1701"/>
          </w:tcPr>
          <w:p>
            <w:r/>
            <w:r>
              <w:rPr>
                <w:sz w:val="18"/>
              </w:rPr>
              <w:t>14,672</w:t>
            </w:r>
          </w:p>
        </w:tc>
        <w:tc>
          <w:tcPr>
            <w:tcW w:type="dxa" w:w="1417"/>
          </w:tcPr>
          <w:p>
            <w:r/>
            <w:r>
              <w:rPr>
                <w:sz w:val="18"/>
              </w:rPr>
              <w:t>3.9%</w:t>
            </w:r>
          </w:p>
        </w:tc>
      </w:tr>
      <w:tr>
        <w:tc>
          <w:tcPr>
            <w:tcW w:type="dxa" w:w="1417"/>
          </w:tcPr>
          <w:p>
            <w:r/>
            <w:r>
              <w:rPr>
                <w:sz w:val="18"/>
              </w:rPr>
              <w:t>MASAC</w:t>
            </w:r>
          </w:p>
        </w:tc>
        <w:tc>
          <w:tcPr>
            <w:tcW w:type="dxa" w:w="850"/>
          </w:tcPr>
          <w:p>
            <w:r/>
            <w:r>
              <w:rPr>
                <w:sz w:val="18"/>
              </w:rPr>
              <w:t>E2</w:t>
            </w:r>
          </w:p>
        </w:tc>
        <w:tc>
          <w:tcPr>
            <w:tcW w:type="dxa" w:w="1417"/>
          </w:tcPr>
          <w:p>
            <w:r/>
            <w:r>
              <w:rPr>
                <w:sz w:val="18"/>
              </w:rPr>
              <w:t>1.0318</w:t>
            </w:r>
          </w:p>
        </w:tc>
        <w:tc>
          <w:tcPr>
            <w:tcW w:type="dxa" w:w="1701"/>
          </w:tcPr>
          <w:p>
            <w:r/>
            <w:r>
              <w:rPr>
                <w:sz w:val="18"/>
              </w:rPr>
              <w:t>77,649</w:t>
            </w:r>
          </w:p>
        </w:tc>
        <w:tc>
          <w:tcPr>
            <w:tcW w:type="dxa" w:w="1701"/>
          </w:tcPr>
          <w:p>
            <w:r/>
            <w:r>
              <w:rPr>
                <w:sz w:val="18"/>
              </w:rPr>
              <w:t>15,020</w:t>
            </w:r>
          </w:p>
        </w:tc>
        <w:tc>
          <w:tcPr>
            <w:tcW w:type="dxa" w:w="1417"/>
          </w:tcPr>
          <w:p>
            <w:r/>
            <w:r>
              <w:rPr>
                <w:sz w:val="18"/>
              </w:rPr>
              <w:t>4.1%</w:t>
            </w:r>
          </w:p>
        </w:tc>
      </w:tr>
      <w:tr>
        <w:tc>
          <w:tcPr>
            <w:tcW w:type="dxa" w:w="1417"/>
          </w:tcPr>
          <w:p>
            <w:r/>
            <w:r>
              <w:rPr>
                <w:sz w:val="18"/>
              </w:rPr>
              <w:t>MASAC</w:t>
            </w:r>
          </w:p>
        </w:tc>
        <w:tc>
          <w:tcPr>
            <w:tcW w:type="dxa" w:w="850"/>
          </w:tcPr>
          <w:p>
            <w:r/>
            <w:r>
              <w:rPr>
                <w:sz w:val="18"/>
              </w:rPr>
              <w:t>E3</w:t>
            </w:r>
          </w:p>
        </w:tc>
        <w:tc>
          <w:tcPr>
            <w:tcW w:type="dxa" w:w="1417"/>
          </w:tcPr>
          <w:p>
            <w:r/>
            <w:r>
              <w:rPr>
                <w:sz w:val="18"/>
              </w:rPr>
              <w:t>1.0297</w:t>
            </w:r>
          </w:p>
        </w:tc>
        <w:tc>
          <w:tcPr>
            <w:tcW w:type="dxa" w:w="1701"/>
          </w:tcPr>
          <w:p>
            <w:r/>
            <w:r>
              <w:rPr>
                <w:sz w:val="18"/>
              </w:rPr>
              <w:t>90,900</w:t>
            </w:r>
          </w:p>
        </w:tc>
        <w:tc>
          <w:tcPr>
            <w:tcW w:type="dxa" w:w="1701"/>
          </w:tcPr>
          <w:p>
            <w:r/>
            <w:r>
              <w:rPr>
                <w:sz w:val="18"/>
              </w:rPr>
              <w:t>19,793</w:t>
            </w:r>
          </w:p>
        </w:tc>
        <w:tc>
          <w:tcPr>
            <w:tcW w:type="dxa" w:w="1417"/>
          </w:tcPr>
          <w:p>
            <w:r/>
            <w:r>
              <w:rPr>
                <w:sz w:val="18"/>
              </w:rPr>
              <w:t>4.1%</w:t>
            </w:r>
          </w:p>
        </w:tc>
      </w:tr>
      <w:tr>
        <w:tc>
          <w:tcPr>
            <w:tcW w:type="dxa" w:w="1417"/>
          </w:tcPr>
          <w:p>
            <w:r/>
            <w:r>
              <w:rPr>
                <w:sz w:val="18"/>
              </w:rPr>
              <w:t>MATD3</w:t>
            </w:r>
          </w:p>
        </w:tc>
        <w:tc>
          <w:tcPr>
            <w:tcW w:type="dxa" w:w="850"/>
          </w:tcPr>
          <w:p>
            <w:r/>
            <w:r>
              <w:rPr>
                <w:sz w:val="18"/>
              </w:rPr>
              <w:t>E1</w:t>
            </w:r>
          </w:p>
        </w:tc>
        <w:tc>
          <w:tcPr>
            <w:tcW w:type="dxa" w:w="1417"/>
          </w:tcPr>
          <w:p>
            <w:r/>
            <w:r>
              <w:rPr>
                <w:sz w:val="18"/>
              </w:rPr>
              <w:t>1.0009</w:t>
            </w:r>
          </w:p>
        </w:tc>
        <w:tc>
          <w:tcPr>
            <w:tcW w:type="dxa" w:w="1701"/>
          </w:tcPr>
          <w:p>
            <w:r/>
            <w:r>
              <w:rPr>
                <w:sz w:val="18"/>
              </w:rPr>
              <w:t>36,723</w:t>
            </w:r>
          </w:p>
        </w:tc>
        <w:tc>
          <w:tcPr>
            <w:tcW w:type="dxa" w:w="1701"/>
          </w:tcPr>
          <w:p>
            <w:r/>
            <w:r>
              <w:rPr>
                <w:sz w:val="18"/>
              </w:rPr>
              <w:t>33,075</w:t>
            </w:r>
          </w:p>
        </w:tc>
        <w:tc>
          <w:tcPr>
            <w:tcW w:type="dxa" w:w="1417"/>
          </w:tcPr>
          <w:p>
            <w:r/>
            <w:r>
              <w:rPr>
                <w:sz w:val="18"/>
              </w:rPr>
              <w:t>43.9%</w:t>
            </w:r>
          </w:p>
        </w:tc>
      </w:tr>
      <w:tr>
        <w:tc>
          <w:tcPr>
            <w:tcW w:type="dxa" w:w="1417"/>
          </w:tcPr>
          <w:p>
            <w:r/>
            <w:r>
              <w:rPr>
                <w:sz w:val="18"/>
              </w:rPr>
              <w:t>MATD3</w:t>
            </w:r>
          </w:p>
        </w:tc>
        <w:tc>
          <w:tcPr>
            <w:tcW w:type="dxa" w:w="850"/>
          </w:tcPr>
          <w:p>
            <w:r/>
            <w:r>
              <w:rPr>
                <w:sz w:val="18"/>
              </w:rPr>
              <w:t>E2</w:t>
            </w:r>
          </w:p>
        </w:tc>
        <w:tc>
          <w:tcPr>
            <w:tcW w:type="dxa" w:w="1417"/>
          </w:tcPr>
          <w:p>
            <w:r/>
            <w:r>
              <w:rPr>
                <w:sz w:val="18"/>
              </w:rPr>
              <w:t>1.0007</w:t>
            </w:r>
          </w:p>
        </w:tc>
        <w:tc>
          <w:tcPr>
            <w:tcW w:type="dxa" w:w="1701"/>
          </w:tcPr>
          <w:p>
            <w:r/>
            <w:r>
              <w:rPr>
                <w:sz w:val="18"/>
              </w:rPr>
              <w:t>23,070</w:t>
            </w:r>
          </w:p>
        </w:tc>
        <w:tc>
          <w:tcPr>
            <w:tcW w:type="dxa" w:w="1701"/>
          </w:tcPr>
          <w:p>
            <w:r/>
            <w:r>
              <w:rPr>
                <w:sz w:val="18"/>
              </w:rPr>
              <w:t>13,935</w:t>
            </w:r>
          </w:p>
        </w:tc>
        <w:tc>
          <w:tcPr>
            <w:tcW w:type="dxa" w:w="1417"/>
          </w:tcPr>
          <w:p>
            <w:r/>
            <w:r>
              <w:rPr>
                <w:sz w:val="18"/>
              </w:rPr>
              <w:t>36.4%</w:t>
            </w:r>
          </w:p>
        </w:tc>
      </w:tr>
      <w:tr>
        <w:tc>
          <w:tcPr>
            <w:tcW w:type="dxa" w:w="1417"/>
          </w:tcPr>
          <w:p>
            <w:r/>
            <w:r>
              <w:rPr>
                <w:sz w:val="18"/>
              </w:rPr>
              <w:t>MATD3</w:t>
            </w:r>
          </w:p>
        </w:tc>
        <w:tc>
          <w:tcPr>
            <w:tcW w:type="dxa" w:w="850"/>
          </w:tcPr>
          <w:p>
            <w:r/>
            <w:r>
              <w:rPr>
                <w:sz w:val="18"/>
              </w:rPr>
              <w:t>E3</w:t>
            </w:r>
          </w:p>
        </w:tc>
        <w:tc>
          <w:tcPr>
            <w:tcW w:type="dxa" w:w="1417"/>
          </w:tcPr>
          <w:p>
            <w:r/>
            <w:r>
              <w:rPr>
                <w:sz w:val="18"/>
              </w:rPr>
              <w:t>1.0006</w:t>
            </w:r>
          </w:p>
        </w:tc>
        <w:tc>
          <w:tcPr>
            <w:tcW w:type="dxa" w:w="1701"/>
          </w:tcPr>
          <w:p>
            <w:r/>
            <w:r>
              <w:rPr>
                <w:sz w:val="18"/>
              </w:rPr>
              <w:t>41,293</w:t>
            </w:r>
          </w:p>
        </w:tc>
        <w:tc>
          <w:tcPr>
            <w:tcW w:type="dxa" w:w="1701"/>
          </w:tcPr>
          <w:p>
            <w:r/>
            <w:r>
              <w:rPr>
                <w:sz w:val="18"/>
              </w:rPr>
              <w:t>44,399</w:t>
            </w:r>
          </w:p>
        </w:tc>
        <w:tc>
          <w:tcPr>
            <w:tcW w:type="dxa" w:w="1417"/>
          </w:tcPr>
          <w:p>
            <w:r/>
            <w:r>
              <w:rPr>
                <w:sz w:val="18"/>
              </w:rPr>
              <w:t>48.2%</w:t>
            </w:r>
          </w:p>
        </w:tc>
      </w:tr>
      <w:tr>
        <w:tc>
          <w:tcPr>
            <w:tcW w:type="dxa" w:w="1417"/>
          </w:tcPr>
          <w:p>
            <w:r/>
            <w:r>
              <w:rPr>
                <w:sz w:val="18"/>
              </w:rPr>
              <w:t>MAAC</w:t>
            </w:r>
          </w:p>
        </w:tc>
        <w:tc>
          <w:tcPr>
            <w:tcW w:type="dxa" w:w="850"/>
          </w:tcPr>
          <w:p>
            <w:r/>
            <w:r>
              <w:rPr>
                <w:sz w:val="18"/>
              </w:rPr>
              <w:t>E1</w:t>
            </w:r>
          </w:p>
        </w:tc>
        <w:tc>
          <w:tcPr>
            <w:tcW w:type="dxa" w:w="1417"/>
          </w:tcPr>
          <w:p>
            <w:r/>
            <w:r>
              <w:rPr>
                <w:sz w:val="18"/>
              </w:rPr>
              <w:t>1.0124</w:t>
            </w:r>
          </w:p>
        </w:tc>
        <w:tc>
          <w:tcPr>
            <w:tcW w:type="dxa" w:w="1701"/>
          </w:tcPr>
          <w:p>
            <w:r/>
            <w:r>
              <w:rPr>
                <w:sz w:val="18"/>
              </w:rPr>
              <w:t>38,566</w:t>
            </w:r>
          </w:p>
        </w:tc>
        <w:tc>
          <w:tcPr>
            <w:tcW w:type="dxa" w:w="1701"/>
          </w:tcPr>
          <w:p>
            <w:r/>
            <w:r>
              <w:rPr>
                <w:sz w:val="18"/>
              </w:rPr>
              <w:t>3,628</w:t>
            </w:r>
          </w:p>
        </w:tc>
        <w:tc>
          <w:tcPr>
            <w:tcW w:type="dxa" w:w="1417"/>
          </w:tcPr>
          <w:p>
            <w:r/>
            <w:r>
              <w:rPr>
                <w:sz w:val="18"/>
              </w:rPr>
              <w:t>4.2%</w:t>
            </w:r>
          </w:p>
        </w:tc>
      </w:tr>
      <w:tr>
        <w:tc>
          <w:tcPr>
            <w:tcW w:type="dxa" w:w="1417"/>
          </w:tcPr>
          <w:p>
            <w:r/>
            <w:r>
              <w:rPr>
                <w:sz w:val="18"/>
              </w:rPr>
              <w:t>MAAC</w:t>
            </w:r>
          </w:p>
        </w:tc>
        <w:tc>
          <w:tcPr>
            <w:tcW w:type="dxa" w:w="850"/>
          </w:tcPr>
          <w:p>
            <w:r/>
            <w:r>
              <w:rPr>
                <w:sz w:val="18"/>
              </w:rPr>
              <w:t>E2</w:t>
            </w:r>
          </w:p>
        </w:tc>
        <w:tc>
          <w:tcPr>
            <w:tcW w:type="dxa" w:w="1417"/>
          </w:tcPr>
          <w:p>
            <w:r/>
            <w:r>
              <w:rPr>
                <w:sz w:val="18"/>
              </w:rPr>
              <w:t>1.0172</w:t>
            </w:r>
          </w:p>
        </w:tc>
        <w:tc>
          <w:tcPr>
            <w:tcW w:type="dxa" w:w="1701"/>
          </w:tcPr>
          <w:p>
            <w:r/>
            <w:r>
              <w:rPr>
                <w:sz w:val="18"/>
              </w:rPr>
              <w:t>70,654</w:t>
            </w:r>
          </w:p>
        </w:tc>
        <w:tc>
          <w:tcPr>
            <w:tcW w:type="dxa" w:w="1701"/>
          </w:tcPr>
          <w:p>
            <w:r/>
            <w:r>
              <w:rPr>
                <w:sz w:val="18"/>
              </w:rPr>
              <w:t>13,275</w:t>
            </w:r>
          </w:p>
        </w:tc>
        <w:tc>
          <w:tcPr>
            <w:tcW w:type="dxa" w:w="1417"/>
          </w:tcPr>
          <w:p>
            <w:r/>
            <w:r>
              <w:rPr>
                <w:sz w:val="18"/>
              </w:rPr>
              <w:t>4.1%</w:t>
            </w:r>
          </w:p>
        </w:tc>
      </w:tr>
      <w:tr>
        <w:tc>
          <w:tcPr>
            <w:tcW w:type="dxa" w:w="1417"/>
          </w:tcPr>
          <w:p>
            <w:r/>
            <w:r>
              <w:rPr>
                <w:sz w:val="18"/>
              </w:rPr>
              <w:t>MAAC</w:t>
            </w:r>
          </w:p>
        </w:tc>
        <w:tc>
          <w:tcPr>
            <w:tcW w:type="dxa" w:w="850"/>
          </w:tcPr>
          <w:p>
            <w:r/>
            <w:r>
              <w:rPr>
                <w:sz w:val="18"/>
              </w:rPr>
              <w:t>E3</w:t>
            </w:r>
          </w:p>
        </w:tc>
        <w:tc>
          <w:tcPr>
            <w:tcW w:type="dxa" w:w="1417"/>
          </w:tcPr>
          <w:p>
            <w:r/>
            <w:r>
              <w:rPr>
                <w:sz w:val="18"/>
              </w:rPr>
              <w:t>1.0138</w:t>
            </w:r>
          </w:p>
        </w:tc>
        <w:tc>
          <w:tcPr>
            <w:tcW w:type="dxa" w:w="1701"/>
          </w:tcPr>
          <w:p>
            <w:r/>
            <w:r>
              <w:rPr>
                <w:sz w:val="18"/>
              </w:rPr>
              <w:t>73,411</w:t>
            </w:r>
          </w:p>
        </w:tc>
        <w:tc>
          <w:tcPr>
            <w:tcW w:type="dxa" w:w="1701"/>
          </w:tcPr>
          <w:p>
            <w:r/>
            <w:r>
              <w:rPr>
                <w:sz w:val="18"/>
              </w:rPr>
              <w:t>9,515</w:t>
            </w:r>
          </w:p>
        </w:tc>
        <w:tc>
          <w:tcPr>
            <w:tcW w:type="dxa" w:w="1417"/>
          </w:tcPr>
          <w:p>
            <w:r/>
            <w:r>
              <w:rPr>
                <w:sz w:val="18"/>
              </w:rPr>
              <w:t>4.1%</w:t>
            </w:r>
          </w:p>
        </w:tc>
      </w:tr>
    </w:tbl>
    <w:p/>
    <w:p>
      <w:pPr>
        <w:pStyle w:val="Heading2"/>
      </w:pPr>
      <w:r>
        <w:t>5.5 Figuras de entrenamiento (artefactos Drive reales)</w:t>
      </w:r>
    </w:p>
    <w:p>
      <w:pPr>
        <w:jc w:val="both"/>
      </w:pPr>
      <w:r>
        <w:rPr>
          <w:b w:val="0"/>
          <w:i w:val="0"/>
        </w:rPr>
        <w:t>Las siguientes figuras se generan exclusivamente desde timeseries.csv, trace.csv y results.json descargados de la corrida Colab/Drive (carpeta 1ihH6RqL2KpevfCQEUXj7PP1aS2QYssAX). No se utilizan datos sinteticos ni regeneracion desde episode_summaries.</w:t>
      </w:r>
    </w:p>
    <w:p>
      <w:r>
        <w:br w:type="page"/>
      </w:r>
    </w:p>
    <w:p>
      <w:r>
        <w:drawing>
          <wp:inline xmlns:a="http://schemas.openxmlformats.org/drawingml/2006/main" xmlns:pic="http://schemas.openxmlformats.org/drawingml/2006/picture">
            <wp:extent cx="5580000" cy="2536364"/>
            <wp:docPr id="1" name="Picture 1"/>
            <wp:cNvGraphicFramePr>
              <a:graphicFrameLocks noChangeAspect="1"/>
            </wp:cNvGraphicFramePr>
            <a:graphic>
              <a:graphicData uri="http://schemas.openxmlformats.org/drawingml/2006/picture">
                <pic:pic>
                  <pic:nvPicPr>
                    <pic:cNvPr id="0" name="comparativo_E1_convergence_reward_mean.png"/>
                    <pic:cNvPicPr/>
                  </pic:nvPicPr>
                  <pic:blipFill>
                    <a:blip r:embed="rId9"/>
                    <a:stretch>
                      <a:fillRect/>
                    </a:stretch>
                  </pic:blipFill>
                  <pic:spPr>
                    <a:xfrm>
                      <a:off x="0" y="0"/>
                      <a:ext cx="5580000" cy="2536364"/>
                    </a:xfrm>
                    <a:prstGeom prst="rect"/>
                  </pic:spPr>
                </pic:pic>
              </a:graphicData>
            </a:graphic>
          </wp:inline>
        </w:drawing>
      </w:r>
    </w:p>
    <w:p>
      <w:pPr>
        <w:jc w:val="center"/>
      </w:pPr>
      <w:r>
        <w:rPr>
          <w:i/>
          <w:color w:val="595959"/>
          <w:sz w:val="18"/>
        </w:rPr>
        <w:t>Figura 5.1. Convergencia E1 (reward_mean) — datos reales Drive.</w:t>
      </w:r>
    </w:p>
    <w:p/>
    <w:p>
      <w:r>
        <w:br w:type="page"/>
      </w:r>
    </w:p>
    <w:p>
      <w:r>
        <w:drawing>
          <wp:inline xmlns:a="http://schemas.openxmlformats.org/drawingml/2006/main" xmlns:pic="http://schemas.openxmlformats.org/drawingml/2006/picture">
            <wp:extent cx="5580000" cy="2536364"/>
            <wp:docPr id="2" name="Picture 2"/>
            <wp:cNvGraphicFramePr>
              <a:graphicFrameLocks noChangeAspect="1"/>
            </wp:cNvGraphicFramePr>
            <a:graphic>
              <a:graphicData uri="http://schemas.openxmlformats.org/drawingml/2006/picture">
                <pic:pic>
                  <pic:nvPicPr>
                    <pic:cNvPr id="0" name="comparativo_E2_convergence_reward_mean.png"/>
                    <pic:cNvPicPr/>
                  </pic:nvPicPr>
                  <pic:blipFill>
                    <a:blip r:embed="rId10"/>
                    <a:stretch>
                      <a:fillRect/>
                    </a:stretch>
                  </pic:blipFill>
                  <pic:spPr>
                    <a:xfrm>
                      <a:off x="0" y="0"/>
                      <a:ext cx="5580000" cy="2536364"/>
                    </a:xfrm>
                    <a:prstGeom prst="rect"/>
                  </pic:spPr>
                </pic:pic>
              </a:graphicData>
            </a:graphic>
          </wp:inline>
        </w:drawing>
      </w:r>
    </w:p>
    <w:p>
      <w:pPr>
        <w:jc w:val="center"/>
      </w:pPr>
      <w:r>
        <w:rPr>
          <w:i/>
          <w:color w:val="595959"/>
          <w:sz w:val="18"/>
        </w:rPr>
        <w:t>Figura 5.2. Convergencia E2 (reward_mean) — datos reales Drive.</w:t>
      </w:r>
    </w:p>
    <w:p/>
    <w:p>
      <w:r>
        <w:br w:type="page"/>
      </w:r>
    </w:p>
    <w:p>
      <w:r>
        <w:drawing>
          <wp:inline xmlns:a="http://schemas.openxmlformats.org/drawingml/2006/main" xmlns:pic="http://schemas.openxmlformats.org/drawingml/2006/picture">
            <wp:extent cx="5580000" cy="2536364"/>
            <wp:docPr id="3" name="Picture 3"/>
            <wp:cNvGraphicFramePr>
              <a:graphicFrameLocks noChangeAspect="1"/>
            </wp:cNvGraphicFramePr>
            <a:graphic>
              <a:graphicData uri="http://schemas.openxmlformats.org/drawingml/2006/picture">
                <pic:pic>
                  <pic:nvPicPr>
                    <pic:cNvPr id="0" name="comparativo_E3_convergence_reward_mean.png"/>
                    <pic:cNvPicPr/>
                  </pic:nvPicPr>
                  <pic:blipFill>
                    <a:blip r:embed="rId11"/>
                    <a:stretch>
                      <a:fillRect/>
                    </a:stretch>
                  </pic:blipFill>
                  <pic:spPr>
                    <a:xfrm>
                      <a:off x="0" y="0"/>
                      <a:ext cx="5580000" cy="2536364"/>
                    </a:xfrm>
                    <a:prstGeom prst="rect"/>
                  </pic:spPr>
                </pic:pic>
              </a:graphicData>
            </a:graphic>
          </wp:inline>
        </w:drawing>
      </w:r>
    </w:p>
    <w:p>
      <w:pPr>
        <w:jc w:val="center"/>
      </w:pPr>
      <w:r>
        <w:rPr>
          <w:i/>
          <w:color w:val="595959"/>
          <w:sz w:val="18"/>
        </w:rPr>
        <w:t>Figura 5.3. Convergencia E3 (reward_mean) — datos reales Drive.</w:t>
      </w:r>
    </w:p>
    <w:p/>
    <w:p>
      <w:r>
        <w:br w:type="page"/>
      </w:r>
    </w:p>
    <w:p>
      <w:r>
        <w:drawing>
          <wp:inline xmlns:a="http://schemas.openxmlformats.org/drawingml/2006/main" xmlns:pic="http://schemas.openxmlformats.org/drawingml/2006/picture">
            <wp:extent cx="5580000" cy="2146154"/>
            <wp:docPr id="4" name="Picture 4"/>
            <wp:cNvGraphicFramePr>
              <a:graphicFrameLocks noChangeAspect="1"/>
            </wp:cNvGraphicFramePr>
            <a:graphic>
              <a:graphicData uri="http://schemas.openxmlformats.org/drawingml/2006/picture">
                <pic:pic>
                  <pic:nvPicPr>
                    <pic:cNvPr id="0" name="comparativo_global_ranking_oe.png"/>
                    <pic:cNvPicPr/>
                  </pic:nvPicPr>
                  <pic:blipFill>
                    <a:blip r:embed="rId12"/>
                    <a:stretch>
                      <a:fillRect/>
                    </a:stretch>
                  </pic:blipFill>
                  <pic:spPr>
                    <a:xfrm>
                      <a:off x="0" y="0"/>
                      <a:ext cx="5580000" cy="2146154"/>
                    </a:xfrm>
                    <a:prstGeom prst="rect"/>
                  </pic:spPr>
                </pic:pic>
              </a:graphicData>
            </a:graphic>
          </wp:inline>
        </w:drawing>
      </w:r>
    </w:p>
    <w:p>
      <w:pPr>
        <w:jc w:val="center"/>
      </w:pPr>
      <w:r>
        <w:rPr>
          <w:i/>
          <w:color w:val="595959"/>
          <w:sz w:val="18"/>
        </w:rPr>
        <w:t>Figura 5.4. Ranking global OE1/OE2/OE3 (KPIs Drive).</w:t>
      </w:r>
    </w:p>
    <w:p/>
    <w:p>
      <w:r>
        <w:br w:type="page"/>
      </w:r>
    </w:p>
    <w:p>
      <w:r>
        <w:drawing>
          <wp:inline xmlns:a="http://schemas.openxmlformats.org/drawingml/2006/main" xmlns:pic="http://schemas.openxmlformats.org/drawingml/2006/picture">
            <wp:extent cx="5580000" cy="2232000"/>
            <wp:docPr id="5" name="Picture 5"/>
            <wp:cNvGraphicFramePr>
              <a:graphicFrameLocks noChangeAspect="1"/>
            </wp:cNvGraphicFramePr>
            <a:graphic>
              <a:graphicData uri="http://schemas.openxmlformats.org/drawingml/2006/picture">
                <pic:pic>
                  <pic:nvPicPr>
                    <pic:cNvPr id="0" name="comparativo_best_worst_por_escenario.png"/>
                    <pic:cNvPicPr/>
                  </pic:nvPicPr>
                  <pic:blipFill>
                    <a:blip r:embed="rId13"/>
                    <a:stretch>
                      <a:fillRect/>
                    </a:stretch>
                  </pic:blipFill>
                  <pic:spPr>
                    <a:xfrm>
                      <a:off x="0" y="0"/>
                      <a:ext cx="5580000" cy="2232000"/>
                    </a:xfrm>
                    <a:prstGeom prst="rect"/>
                  </pic:spPr>
                </pic:pic>
              </a:graphicData>
            </a:graphic>
          </wp:inline>
        </w:drawing>
      </w:r>
    </w:p>
    <w:p>
      <w:pPr>
        <w:jc w:val="center"/>
      </w:pPr>
      <w:r>
        <w:rPr>
          <w:i/>
          <w:color w:val="595959"/>
          <w:sz w:val="18"/>
        </w:rPr>
        <w:t>Figura 5.5. Mejor y peor MADRL por escenario.</w:t>
      </w:r>
    </w:p>
    <w:p/>
    <w:p>
      <w:r>
        <w:br w:type="page"/>
      </w:r>
    </w:p>
    <w:p>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comparativo_E1_OE1_kpi.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595959"/>
          <w:sz w:val="18"/>
        </w:rPr>
        <w:t>Figura 5.6. KPI OE1 flexibilidad — comparativa E1.</w:t>
      </w:r>
    </w:p>
    <w:p/>
    <w:p>
      <w:r>
        <w:br w:type="page"/>
      </w:r>
    </w:p>
    <w:p>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comparativo_E2_OE2_kpi.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595959"/>
          <w:sz w:val="18"/>
        </w:rPr>
        <w:t>Figura 5.7. KPI OE2 emisiones CO2 — comparativa E2.</w:t>
      </w:r>
    </w:p>
    <w:p/>
    <w:p>
      <w:r>
        <w:br w:type="page"/>
      </w:r>
    </w:p>
    <w:p>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comparativo_E3_OE3_kpi.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595959"/>
          <w:sz w:val="18"/>
        </w:rPr>
        <w:t>Figura 5.8. KPI OE3 costo energetico — comparativa E3.</w:t>
      </w:r>
    </w:p>
    <w:p/>
    <w:p>
      <w:r>
        <w:br w:type="page"/>
      </w:r>
    </w:p>
    <w:p>
      <w:r>
        <w:drawing>
          <wp:inline xmlns:a="http://schemas.openxmlformats.org/drawingml/2006/main" xmlns:pic="http://schemas.openxmlformats.org/drawingml/2006/picture">
            <wp:extent cx="5580000" cy="2325000"/>
            <wp:docPr id="9" name="Picture 9"/>
            <wp:cNvGraphicFramePr>
              <a:graphicFrameLocks noChangeAspect="1"/>
            </wp:cNvGraphicFramePr>
            <a:graphic>
              <a:graphicData uri="http://schemas.openxmlformats.org/drawingml/2006/picture">
                <pic:pic>
                  <pic:nvPicPr>
                    <pic:cNvPr id="0" name="comparativo_E2_control_trace.png"/>
                    <pic:cNvPicPr/>
                  </pic:nvPicPr>
                  <pic:blipFill>
                    <a:blip r:embed="rId17"/>
                    <a:stretch>
                      <a:fillRect/>
                    </a:stretch>
                  </pic:blipFill>
                  <pic:spPr>
                    <a:xfrm>
                      <a:off x="0" y="0"/>
                      <a:ext cx="5580000" cy="2325000"/>
                    </a:xfrm>
                    <a:prstGeom prst="rect"/>
                  </pic:spPr>
                </pic:pic>
              </a:graphicData>
            </a:graphic>
          </wp:inline>
        </w:drawing>
      </w:r>
    </w:p>
    <w:p>
      <w:pPr>
        <w:jc w:val="center"/>
      </w:pPr>
      <w:r>
        <w:rPr>
          <w:i/>
          <w:color w:val="595959"/>
          <w:sz w:val="18"/>
        </w:rPr>
        <w:t>Figura 5.9. Control MADRL por edificio (trace.csv) — E2.</w:t>
      </w:r>
    </w:p>
    <w:p/>
    <w:p>
      <w:pPr>
        <w:pStyle w:val="Heading2"/>
      </w:pPr>
      <w:r>
        <w:t>5.6 Analisis multiobjetivo por edificio</w:t>
      </w:r>
    </w:p>
    <w:p>
      <w:pPr>
        <w:jc w:val="both"/>
      </w:pPr>
      <w:r>
        <w:rPr>
          <w:b w:val="0"/>
          <w:i w:val="0"/>
        </w:rPr>
        <w:t>Se analizan 17 edificios institucionales/comerciales con inventario de 185 cargadores EV controlables (96 equipos Modo 3 doble toma). Elementos controlados: BESS, cargadores EV y carga desplazable; no controlados: carga base, refrigeracion/ACS modeladas y FV fija.</w:t>
      </w:r>
    </w:p>
    <w:p>
      <w:r>
        <w:rPr>
          <w:b/>
          <w:color w:val="595959"/>
          <w:sz w:val="19"/>
        </w:rPr>
        <w:t>Tabla 5.4. Inventario multiobjetivo (extracto B01–B08; completo en anexo CSV).</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850"/>
            <w:shd w:val="clear" w:color="auto" w:fill="1F4E79"/>
          </w:tcPr>
          <w:p>
            <w:r/>
            <w:r>
              <w:rPr>
                <w:b/>
                <w:color w:val="FFFFFF"/>
                <w:sz w:val="18"/>
              </w:rPr>
              <w:t>ID</w:t>
            </w:r>
          </w:p>
        </w:tc>
        <w:tc>
          <w:tcPr>
            <w:tcW w:type="dxa" w:w="3118"/>
            <w:shd w:val="clear" w:color="auto" w:fill="1F4E79"/>
          </w:tcPr>
          <w:p>
            <w:r/>
            <w:r>
              <w:rPr>
                <w:b/>
                <w:color w:val="FFFFFF"/>
                <w:sz w:val="18"/>
              </w:rPr>
              <w:t>Edificio</w:t>
            </w:r>
          </w:p>
        </w:tc>
        <w:tc>
          <w:tcPr>
            <w:tcW w:type="dxa" w:w="850"/>
            <w:shd w:val="clear" w:color="auto" w:fill="1F4E79"/>
          </w:tcPr>
          <w:p>
            <w:r/>
            <w:r>
              <w:rPr>
                <w:b/>
                <w:color w:val="FFFFFF"/>
                <w:sz w:val="18"/>
              </w:rPr>
              <w:t>EV</w:t>
            </w:r>
          </w:p>
        </w:tc>
        <w:tc>
          <w:tcPr>
            <w:tcW w:type="dxa" w:w="3685"/>
            <w:shd w:val="clear" w:color="auto" w:fill="1F4E79"/>
          </w:tcPr>
          <w:p>
            <w:r/>
            <w:r>
              <w:rPr>
                <w:b/>
                <w:color w:val="FFFFFF"/>
                <w:sz w:val="18"/>
              </w:rPr>
              <w:t>Controlados</w:t>
            </w:r>
          </w:p>
        </w:tc>
      </w:tr>
      <w:tr>
        <w:tc>
          <w:tcPr>
            <w:tcW w:type="dxa" w:w="850"/>
          </w:tcPr>
          <w:p>
            <w:r/>
            <w:r>
              <w:rPr>
                <w:sz w:val="18"/>
              </w:rPr>
              <w:t>B01</w:t>
            </w:r>
          </w:p>
        </w:tc>
        <w:tc>
          <w:tcPr>
            <w:tcW w:type="dxa" w:w="3118"/>
          </w:tcPr>
          <w:p>
            <w:r/>
            <w:r>
              <w:rPr>
                <w:sz w:val="18"/>
              </w:rPr>
              <w:t>ELECTRO ORIENTE S.A.</w:t>
            </w:r>
          </w:p>
        </w:tc>
        <w:tc>
          <w:tcPr>
            <w:tcW w:type="dxa" w:w="850"/>
          </w:tcPr>
          <w:p>
            <w:r/>
            <w:r>
              <w:rPr>
                <w:sz w:val="18"/>
              </w:rPr>
              <w:t>4</w:t>
            </w:r>
          </w:p>
        </w:tc>
        <w:tc>
          <w:tcPr>
            <w:tcW w:type="dxa" w:w="3685"/>
          </w:tcPr>
          <w:p>
            <w:r/>
            <w:r>
              <w:rPr>
                <w:sz w:val="18"/>
              </w:rPr>
              <w:t>BESS (electrical_storage) x1, Carga desplazab…</w:t>
            </w:r>
          </w:p>
        </w:tc>
      </w:tr>
      <w:tr>
        <w:tc>
          <w:tcPr>
            <w:tcW w:type="dxa" w:w="850"/>
          </w:tcPr>
          <w:p>
            <w:r/>
            <w:r>
              <w:rPr>
                <w:sz w:val="18"/>
              </w:rPr>
              <w:t>B02</w:t>
            </w:r>
          </w:p>
        </w:tc>
        <w:tc>
          <w:tcPr>
            <w:tcW w:type="dxa" w:w="3118"/>
          </w:tcPr>
          <w:p>
            <w:r/>
            <w:r>
              <w:rPr>
                <w:sz w:val="18"/>
              </w:rPr>
              <w:t>MUNICIPALIDAD DISTRITAL DE SAN JUAN</w:t>
            </w:r>
          </w:p>
        </w:tc>
        <w:tc>
          <w:tcPr>
            <w:tcW w:type="dxa" w:w="850"/>
          </w:tcPr>
          <w:p>
            <w:r/>
            <w:r>
              <w:rPr>
                <w:sz w:val="18"/>
              </w:rPr>
              <w:t>6</w:t>
            </w:r>
          </w:p>
        </w:tc>
        <w:tc>
          <w:tcPr>
            <w:tcW w:type="dxa" w:w="3685"/>
          </w:tcPr>
          <w:p>
            <w:r/>
            <w:r>
              <w:rPr>
                <w:sz w:val="18"/>
              </w:rPr>
              <w:t>BESS (electrical_storage) x1, Carga desplazab…</w:t>
            </w:r>
          </w:p>
        </w:tc>
      </w:tr>
      <w:tr>
        <w:tc>
          <w:tcPr>
            <w:tcW w:type="dxa" w:w="850"/>
          </w:tcPr>
          <w:p>
            <w:r/>
            <w:r>
              <w:rPr>
                <w:sz w:val="18"/>
              </w:rPr>
              <w:t>B03</w:t>
            </w:r>
          </w:p>
        </w:tc>
        <w:tc>
          <w:tcPr>
            <w:tcW w:type="dxa" w:w="3118"/>
          </w:tcPr>
          <w:p>
            <w:r/>
            <w:r>
              <w:rPr>
                <w:sz w:val="18"/>
              </w:rPr>
              <w:t>AEROPUERTO INTERNACIONAL</w:t>
            </w:r>
          </w:p>
        </w:tc>
        <w:tc>
          <w:tcPr>
            <w:tcW w:type="dxa" w:w="850"/>
          </w:tcPr>
          <w:p>
            <w:r/>
            <w:r>
              <w:rPr>
                <w:sz w:val="18"/>
              </w:rPr>
              <w:t>8</w:t>
            </w:r>
          </w:p>
        </w:tc>
        <w:tc>
          <w:tcPr>
            <w:tcW w:type="dxa" w:w="3685"/>
          </w:tcPr>
          <w:p>
            <w:r/>
            <w:r>
              <w:rPr>
                <w:sz w:val="18"/>
              </w:rPr>
              <w:t>BESS (electrical_storage) x1, Carga desplazab…</w:t>
            </w:r>
          </w:p>
        </w:tc>
      </w:tr>
      <w:tr>
        <w:tc>
          <w:tcPr>
            <w:tcW w:type="dxa" w:w="850"/>
          </w:tcPr>
          <w:p>
            <w:r/>
            <w:r>
              <w:rPr>
                <w:sz w:val="18"/>
              </w:rPr>
              <w:t>B04</w:t>
            </w:r>
          </w:p>
        </w:tc>
        <w:tc>
          <w:tcPr>
            <w:tcW w:type="dxa" w:w="3118"/>
          </w:tcPr>
          <w:p>
            <w:r/>
            <w:r>
              <w:rPr>
                <w:sz w:val="18"/>
              </w:rPr>
              <w:t>HIPERMERCADOS TOTTUS ORIENTE SAC</w:t>
            </w:r>
          </w:p>
        </w:tc>
        <w:tc>
          <w:tcPr>
            <w:tcW w:type="dxa" w:w="850"/>
          </w:tcPr>
          <w:p>
            <w:r/>
            <w:r>
              <w:rPr>
                <w:sz w:val="18"/>
              </w:rPr>
              <w:t>6</w:t>
            </w:r>
          </w:p>
        </w:tc>
        <w:tc>
          <w:tcPr>
            <w:tcW w:type="dxa" w:w="3685"/>
          </w:tcPr>
          <w:p>
            <w:r/>
            <w:r>
              <w:rPr>
                <w:sz w:val="18"/>
              </w:rPr>
              <w:t>BESS (electrical_storage) x1, Carga desplazab…</w:t>
            </w:r>
          </w:p>
        </w:tc>
      </w:tr>
      <w:tr>
        <w:tc>
          <w:tcPr>
            <w:tcW w:type="dxa" w:w="850"/>
          </w:tcPr>
          <w:p>
            <w:r/>
            <w:r>
              <w:rPr>
                <w:sz w:val="18"/>
              </w:rPr>
              <w:t>B05</w:t>
            </w:r>
          </w:p>
        </w:tc>
        <w:tc>
          <w:tcPr>
            <w:tcW w:type="dxa" w:w="3118"/>
          </w:tcPr>
          <w:p>
            <w:r/>
            <w:r>
              <w:rPr>
                <w:sz w:val="18"/>
              </w:rPr>
              <w:t>HOTEL PLAZA S.A.</w:t>
            </w:r>
          </w:p>
        </w:tc>
        <w:tc>
          <w:tcPr>
            <w:tcW w:type="dxa" w:w="850"/>
          </w:tcPr>
          <w:p>
            <w:r/>
            <w:r>
              <w:rPr>
                <w:sz w:val="18"/>
              </w:rPr>
              <w:t>3</w:t>
            </w:r>
          </w:p>
        </w:tc>
        <w:tc>
          <w:tcPr>
            <w:tcW w:type="dxa" w:w="3685"/>
          </w:tcPr>
          <w:p>
            <w:r/>
            <w:r>
              <w:rPr>
                <w:sz w:val="18"/>
              </w:rPr>
              <w:t>BESS (electrical_storage) x1, Carga desplazab…</w:t>
            </w:r>
          </w:p>
        </w:tc>
      </w:tr>
      <w:tr>
        <w:tc>
          <w:tcPr>
            <w:tcW w:type="dxa" w:w="850"/>
          </w:tcPr>
          <w:p>
            <w:r/>
            <w:r>
              <w:rPr>
                <w:sz w:val="18"/>
              </w:rPr>
              <w:t>B06</w:t>
            </w:r>
          </w:p>
        </w:tc>
        <w:tc>
          <w:tcPr>
            <w:tcW w:type="dxa" w:w="3118"/>
          </w:tcPr>
          <w:p>
            <w:r/>
            <w:r>
              <w:rPr>
                <w:sz w:val="18"/>
              </w:rPr>
              <w:t>MALL AVENTURA S.A.</w:t>
            </w:r>
          </w:p>
        </w:tc>
        <w:tc>
          <w:tcPr>
            <w:tcW w:type="dxa" w:w="850"/>
          </w:tcPr>
          <w:p>
            <w:r/>
            <w:r>
              <w:rPr>
                <w:sz w:val="18"/>
              </w:rPr>
              <w:t>32</w:t>
            </w:r>
          </w:p>
        </w:tc>
        <w:tc>
          <w:tcPr>
            <w:tcW w:type="dxa" w:w="3685"/>
          </w:tcPr>
          <w:p>
            <w:r/>
            <w:r>
              <w:rPr>
                <w:sz w:val="18"/>
              </w:rPr>
              <w:t>BESS (electrical_storage) x1, Carga desplazab…</w:t>
            </w:r>
          </w:p>
        </w:tc>
      </w:tr>
      <w:tr>
        <w:tc>
          <w:tcPr>
            <w:tcW w:type="dxa" w:w="850"/>
          </w:tcPr>
          <w:p>
            <w:r/>
            <w:r>
              <w:rPr>
                <w:sz w:val="18"/>
              </w:rPr>
              <w:t>B07</w:t>
            </w:r>
          </w:p>
        </w:tc>
        <w:tc>
          <w:tcPr>
            <w:tcW w:type="dxa" w:w="3118"/>
          </w:tcPr>
          <w:p>
            <w:r/>
            <w:r>
              <w:rPr>
                <w:sz w:val="18"/>
              </w:rPr>
              <w:t>UNAP-FACULTAD DE BIOLOGIA-AULAS</w:t>
            </w:r>
          </w:p>
        </w:tc>
        <w:tc>
          <w:tcPr>
            <w:tcW w:type="dxa" w:w="850"/>
          </w:tcPr>
          <w:p>
            <w:r/>
            <w:r>
              <w:rPr>
                <w:sz w:val="18"/>
              </w:rPr>
              <w:t>42</w:t>
            </w:r>
          </w:p>
        </w:tc>
        <w:tc>
          <w:tcPr>
            <w:tcW w:type="dxa" w:w="3685"/>
          </w:tcPr>
          <w:p>
            <w:r/>
            <w:r>
              <w:rPr>
                <w:sz w:val="18"/>
              </w:rPr>
              <w:t>BESS (electrical_storage) x1, Carga desplazab…</w:t>
            </w:r>
          </w:p>
        </w:tc>
      </w:tr>
      <w:tr>
        <w:tc>
          <w:tcPr>
            <w:tcW w:type="dxa" w:w="850"/>
          </w:tcPr>
          <w:p>
            <w:r/>
            <w:r>
              <w:rPr>
                <w:sz w:val="18"/>
              </w:rPr>
              <w:t>B08</w:t>
            </w:r>
          </w:p>
        </w:tc>
        <w:tc>
          <w:tcPr>
            <w:tcW w:type="dxa" w:w="3118"/>
          </w:tcPr>
          <w:p>
            <w:r/>
            <w:r>
              <w:rPr>
                <w:sz w:val="18"/>
              </w:rPr>
              <w:t>PNP- ESCUELA TECNICA SUPERIOR-IQUIT</w:t>
            </w:r>
          </w:p>
        </w:tc>
        <w:tc>
          <w:tcPr>
            <w:tcW w:type="dxa" w:w="850"/>
          </w:tcPr>
          <w:p>
            <w:r/>
            <w:r>
              <w:rPr>
                <w:sz w:val="18"/>
              </w:rPr>
              <w:t>17</w:t>
            </w:r>
          </w:p>
        </w:tc>
        <w:tc>
          <w:tcPr>
            <w:tcW w:type="dxa" w:w="3685"/>
          </w:tcPr>
          <w:p>
            <w:r/>
            <w:r>
              <w:rPr>
                <w:sz w:val="18"/>
              </w:rPr>
              <w:t>BESS (electrical_storage) x1, Carga desplazab…</w:t>
            </w:r>
          </w:p>
        </w:tc>
      </w:tr>
    </w:tbl>
    <w:p/>
    <w:p>
      <w:pPr>
        <w:pStyle w:val="Heading2"/>
      </w:pPr>
      <w:r>
        <w:t>5.7 Figuras multiobjetivo (distrito y edificio)</w:t>
      </w:r>
    </w:p>
    <w:p>
      <w:r>
        <w:br w:type="page"/>
      </w:r>
    </w:p>
    <w:p>
      <w:r>
        <w:drawing>
          <wp:inline xmlns:a="http://schemas.openxmlformats.org/drawingml/2006/main" xmlns:pic="http://schemas.openxmlformats.org/drawingml/2006/picture">
            <wp:extent cx="5580000" cy="1931538"/>
            <wp:docPr id="10" name="Picture 10"/>
            <wp:cNvGraphicFramePr>
              <a:graphicFrameLocks noChangeAspect="1"/>
            </wp:cNvGraphicFramePr>
            <a:graphic>
              <a:graphicData uri="http://schemas.openxmlformats.org/drawingml/2006/picture">
                <pic:pic>
                  <pic:nvPicPr>
                    <pic:cNvPr id="0" name="drive_district_objectives.png"/>
                    <pic:cNvPicPr/>
                  </pic:nvPicPr>
                  <pic:blipFill>
                    <a:blip r:embed="rId18"/>
                    <a:stretch>
                      <a:fillRect/>
                    </a:stretch>
                  </pic:blipFill>
                  <pic:spPr>
                    <a:xfrm>
                      <a:off x="0" y="0"/>
                      <a:ext cx="5580000" cy="1931538"/>
                    </a:xfrm>
                    <a:prstGeom prst="rect"/>
                  </pic:spPr>
                </pic:pic>
              </a:graphicData>
            </a:graphic>
          </wp:inline>
        </w:drawing>
      </w:r>
    </w:p>
    <w:p>
      <w:pPr>
        <w:jc w:val="center"/>
      </w:pPr>
      <w:r>
        <w:rPr>
          <w:i/>
          <w:color w:val="595959"/>
          <w:sz w:val="18"/>
        </w:rPr>
        <w:t>Figura 5.10. KPIs multiobjetivo — distrito.</w:t>
      </w:r>
    </w:p>
    <w:p/>
    <w:p>
      <w:r>
        <w:br w:type="page"/>
      </w:r>
    </w:p>
    <w:p>
      <w:r>
        <w:drawing>
          <wp:inline xmlns:a="http://schemas.openxmlformats.org/drawingml/2006/main" xmlns:pic="http://schemas.openxmlformats.org/drawingml/2006/picture">
            <wp:extent cx="5580000" cy="6975000"/>
            <wp:docPr id="11" name="Picture 11"/>
            <wp:cNvGraphicFramePr>
              <a:graphicFrameLocks noChangeAspect="1"/>
            </wp:cNvGraphicFramePr>
            <a:graphic>
              <a:graphicData uri="http://schemas.openxmlformats.org/drawingml/2006/picture">
                <pic:pic>
                  <pic:nvPicPr>
                    <pic:cNvPr id="0" name="drive_building_E1_flex_composite_proxy.png"/>
                    <pic:cNvPicPr/>
                  </pic:nvPicPr>
                  <pic:blipFill>
                    <a:blip r:embed="rId19"/>
                    <a:stretch>
                      <a:fillRect/>
                    </a:stretch>
                  </pic:blipFill>
                  <pic:spPr>
                    <a:xfrm>
                      <a:off x="0" y="0"/>
                      <a:ext cx="5580000" cy="6975000"/>
                    </a:xfrm>
                    <a:prstGeom prst="rect"/>
                  </pic:spPr>
                </pic:pic>
              </a:graphicData>
            </a:graphic>
          </wp:inline>
        </w:drawing>
      </w:r>
    </w:p>
    <w:p>
      <w:pPr>
        <w:jc w:val="center"/>
      </w:pPr>
      <w:r>
        <w:rPr>
          <w:i/>
          <w:color w:val="595959"/>
          <w:sz w:val="18"/>
        </w:rPr>
        <w:t>Figura 5.11. OE1 flexibilidad por edificio.</w:t>
      </w:r>
    </w:p>
    <w:p/>
    <w:p>
      <w:r>
        <w:br w:type="page"/>
      </w:r>
    </w:p>
    <w:p>
      <w:r>
        <w:drawing>
          <wp:inline xmlns:a="http://schemas.openxmlformats.org/drawingml/2006/main" xmlns:pic="http://schemas.openxmlformats.org/drawingml/2006/picture">
            <wp:extent cx="5580000" cy="6975000"/>
            <wp:docPr id="12" name="Picture 12"/>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0"/>
                    <a:stretch>
                      <a:fillRect/>
                    </a:stretch>
                  </pic:blipFill>
                  <pic:spPr>
                    <a:xfrm>
                      <a:off x="0" y="0"/>
                      <a:ext cx="5580000" cy="6975000"/>
                    </a:xfrm>
                    <a:prstGeom prst="rect"/>
                  </pic:spPr>
                </pic:pic>
              </a:graphicData>
            </a:graphic>
          </wp:inline>
        </w:drawing>
      </w:r>
    </w:p>
    <w:p>
      <w:pPr>
        <w:jc w:val="center"/>
      </w:pPr>
      <w:r>
        <w:rPr>
          <w:i/>
          <w:color w:val="595959"/>
          <w:sz w:val="18"/>
        </w:rPr>
        <w:t>Figura 5.12. OE2 delta CO2 por edificio.</w:t>
      </w:r>
    </w:p>
    <w:p/>
    <w:p>
      <w:r>
        <w:br w:type="page"/>
      </w:r>
    </w:p>
    <w:p>
      <w:r>
        <w:drawing>
          <wp:inline xmlns:a="http://schemas.openxmlformats.org/drawingml/2006/main" xmlns:pic="http://schemas.openxmlformats.org/drawingml/2006/picture">
            <wp:extent cx="5580000" cy="6975000"/>
            <wp:docPr id="13" name="Picture 13"/>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1"/>
                    <a:stretch>
                      <a:fillRect/>
                    </a:stretch>
                  </pic:blipFill>
                  <pic:spPr>
                    <a:xfrm>
                      <a:off x="0" y="0"/>
                      <a:ext cx="5580000" cy="6975000"/>
                    </a:xfrm>
                    <a:prstGeom prst="rect"/>
                  </pic:spPr>
                </pic:pic>
              </a:graphicData>
            </a:graphic>
          </wp:inline>
        </w:drawing>
      </w:r>
    </w:p>
    <w:p>
      <w:pPr>
        <w:jc w:val="center"/>
      </w:pPr>
      <w:r>
        <w:rPr>
          <w:i/>
          <w:color w:val="595959"/>
          <w:sz w:val="18"/>
        </w:rPr>
        <w:t>Figura 5.13. OE3 delta costo por edificio.</w:t>
      </w:r>
    </w:p>
    <w:p/>
    <w:p>
      <w:r>
        <w:br w:type="page"/>
      </w:r>
    </w:p>
    <w:p>
      <w:r>
        <w:drawing>
          <wp:inline xmlns:a="http://schemas.openxmlformats.org/drawingml/2006/main" xmlns:pic="http://schemas.openxmlformats.org/drawingml/2006/picture">
            <wp:extent cx="5580000" cy="1992857"/>
            <wp:docPr id="14" name="Picture 14"/>
            <wp:cNvGraphicFramePr>
              <a:graphicFrameLocks noChangeAspect="1"/>
            </wp:cNvGraphicFramePr>
            <a:graphic>
              <a:graphicData uri="http://schemas.openxmlformats.org/drawingml/2006/picture">
                <pic:pic>
                  <pic:nvPicPr>
                    <pic:cNvPr id="0" name="drive_building_ev_inventory.png"/>
                    <pic:cNvPicPr/>
                  </pic:nvPicPr>
                  <pic:blipFill>
                    <a:blip r:embed="rId22"/>
                    <a:stretch>
                      <a:fillRect/>
                    </a:stretch>
                  </pic:blipFill>
                  <pic:spPr>
                    <a:xfrm>
                      <a:off x="0" y="0"/>
                      <a:ext cx="5580000" cy="1992857"/>
                    </a:xfrm>
                    <a:prstGeom prst="rect"/>
                  </pic:spPr>
                </pic:pic>
              </a:graphicData>
            </a:graphic>
          </wp:inline>
        </w:drawing>
      </w:r>
    </w:p>
    <w:p>
      <w:pPr>
        <w:jc w:val="center"/>
      </w:pPr>
      <w:r>
        <w:rPr>
          <w:i/>
          <w:color w:val="595959"/>
          <w:sz w:val="18"/>
        </w:rPr>
        <w:t>Figura 5.14. Inventario EV por edificio.</w:t>
      </w:r>
    </w:p>
    <w:p/>
    <w:p>
      <w:r>
        <w:br w:type="page"/>
      </w:r>
    </w:p>
    <w:p>
      <w:r>
        <w:drawing>
          <wp:inline xmlns:a="http://schemas.openxmlformats.org/drawingml/2006/main" xmlns:pic="http://schemas.openxmlformats.org/drawingml/2006/picture">
            <wp:extent cx="5580000" cy="1992857"/>
            <wp:docPr id="15" name="Picture 15"/>
            <wp:cNvGraphicFramePr>
              <a:graphicFrameLocks noChangeAspect="1"/>
            </wp:cNvGraphicFramePr>
            <a:graphic>
              <a:graphicData uri="http://schemas.openxmlformats.org/drawingml/2006/picture">
                <pic:pic>
                  <pic:nvPicPr>
                    <pic:cNvPr id="0" name="drive_building_ev_success_matd3_e2.png"/>
                    <pic:cNvPicPr/>
                  </pic:nvPicPr>
                  <pic:blipFill>
                    <a:blip r:embed="rId23"/>
                    <a:stretch>
                      <a:fillRect/>
                    </a:stretch>
                  </pic:blipFill>
                  <pic:spPr>
                    <a:xfrm>
                      <a:off x="0" y="0"/>
                      <a:ext cx="5580000" cy="1992857"/>
                    </a:xfrm>
                    <a:prstGeom prst="rect"/>
                  </pic:spPr>
                </pic:pic>
              </a:graphicData>
            </a:graphic>
          </wp:inline>
        </w:drawing>
      </w:r>
    </w:p>
    <w:p>
      <w:pPr>
        <w:jc w:val="center"/>
      </w:pPr>
      <w:r>
        <w:rPr>
          <w:i/>
          <w:color w:val="595959"/>
          <w:sz w:val="18"/>
        </w:rPr>
        <w:t>Figura 5.15. Desempeno EV — MATD3/E2.</w:t>
      </w:r>
    </w:p>
    <w:p/>
    <w:p>
      <w:pPr>
        <w:pStyle w:val="Heading2"/>
      </w:pPr>
      <w:r>
        <w:t>5.8 Pruebas estadisticas</w:t>
      </w:r>
    </w:p>
    <w:p>
      <w:pPr>
        <w:jc w:val="both"/>
      </w:pPr>
      <w:r>
        <w:rPr>
          <w:b w:val="0"/>
          <w:i w:val="0"/>
        </w:rPr>
        <w:t>La bateria inferencial se ejecuto localmente sobre KPIs auditados de la corrida Colab/Drive (madrl_v3_20260627_164047) con tools/run_colab_drive_statistical_analysis.py (231 filas signed_relative_gain; MATD3, MAAC, MASAC; HAPPO excluido sin KPIs). La corrida local v4 (5 ep, 4 algoritmos) se conserva solo como referencia historica.</w:t>
      </w:r>
    </w:p>
    <w:p>
      <w:r>
        <w:rPr>
          <w:b/>
          <w:color w:val="595959"/>
          <w:sz w:val="19"/>
        </w:rPr>
        <w:t>Tabla 5.5. Contrastacion inferencial Colab vs referencia local v4.</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tcPr>
          <w:p>
            <w:r/>
            <w:r>
              <w:rPr>
                <w:b/>
                <w:color w:val="FFFFFF"/>
                <w:sz w:val="18"/>
              </w:rPr>
              <w:t>Alcance</w:t>
            </w:r>
          </w:p>
        </w:tc>
        <w:tc>
          <w:tcPr>
            <w:tcW w:type="dxa" w:w="1701"/>
            <w:shd w:val="clear" w:color="auto" w:fill="1F4E79"/>
          </w:tcPr>
          <w:p>
            <w:r/>
            <w:r>
              <w:rPr>
                <w:b/>
                <w:color w:val="FFFFFF"/>
                <w:sz w:val="18"/>
              </w:rPr>
              <w:t>Prueba</w:t>
            </w:r>
          </w:p>
        </w:tc>
        <w:tc>
          <w:tcPr>
            <w:tcW w:type="dxa" w:w="1984"/>
            <w:shd w:val="clear" w:color="auto" w:fill="1F4E79"/>
          </w:tcPr>
          <w:p>
            <w:r/>
            <w:r>
              <w:rPr>
                <w:b/>
                <w:color w:val="FFFFFF"/>
                <w:sz w:val="18"/>
              </w:rPr>
              <w:t>Estadistico / p</w:t>
            </w:r>
          </w:p>
        </w:tc>
        <w:tc>
          <w:tcPr>
            <w:tcW w:type="dxa" w:w="2268"/>
            <w:shd w:val="clear" w:color="auto" w:fill="1F4E79"/>
          </w:tcPr>
          <w:p>
            <w:r/>
            <w:r>
              <w:rPr>
                <w:b/>
                <w:color w:val="FFFFFF"/>
                <w:sz w:val="18"/>
              </w:rPr>
              <w:t>Decision alpha=0.05</w:t>
            </w:r>
          </w:p>
        </w:tc>
      </w:tr>
      <w:tr>
        <w:tc>
          <w:tcPr>
            <w:tcW w:type="dxa" w:w="1984"/>
          </w:tcPr>
          <w:p>
            <w:r/>
            <w:r>
              <w:rPr>
                <w:sz w:val="18"/>
              </w:rPr>
              <w:t>Colab ALL (KPI-level)</w:t>
            </w:r>
          </w:p>
        </w:tc>
        <w:tc>
          <w:tcPr>
            <w:tcW w:type="dxa" w:w="1701"/>
          </w:tcPr>
          <w:p>
            <w:r/>
            <w:r>
              <w:rPr>
                <w:sz w:val="18"/>
              </w:rPr>
              <w:t>Shapiro-Wilk</w:t>
            </w:r>
          </w:p>
        </w:tc>
        <w:tc>
          <w:tcPr>
            <w:tcW w:type="dxa" w:w="1984"/>
          </w:tcPr>
          <w:p>
            <w:r/>
            <w:r>
              <w:rPr>
                <w:sz w:val="18"/>
              </w:rPr>
              <w:t>MASAC/MATD3/MAAC: p&lt;1e-11</w:t>
            </w:r>
          </w:p>
        </w:tc>
        <w:tc>
          <w:tcPr>
            <w:tcW w:type="dxa" w:w="2268"/>
          </w:tcPr>
          <w:p>
            <w:r/>
            <w:r>
              <w:rPr>
                <w:sz w:val="18"/>
              </w:rPr>
              <w:t>No normal → no parametricos</w:t>
            </w:r>
          </w:p>
        </w:tc>
      </w:tr>
      <w:tr>
        <w:tc>
          <w:tcPr>
            <w:tcW w:type="dxa" w:w="1984"/>
          </w:tcPr>
          <w:p>
            <w:r/>
            <w:r>
              <w:rPr>
                <w:sz w:val="18"/>
              </w:rPr>
              <w:t>Colab ALL (KPI-level)</w:t>
            </w:r>
          </w:p>
        </w:tc>
        <w:tc>
          <w:tcPr>
            <w:tcW w:type="dxa" w:w="1701"/>
          </w:tcPr>
          <w:p>
            <w:r/>
            <w:r>
              <w:rPr>
                <w:sz w:val="18"/>
              </w:rPr>
              <w:t>Kruskal-Wallis</w:t>
            </w:r>
          </w:p>
        </w:tc>
        <w:tc>
          <w:tcPr>
            <w:tcW w:type="dxa" w:w="1984"/>
          </w:tcPr>
          <w:p>
            <w:r/>
            <w:r>
              <w:rPr>
                <w:sz w:val="18"/>
              </w:rPr>
              <w:t>H=3.72, p=0.155</w:t>
            </w:r>
          </w:p>
        </w:tc>
        <w:tc>
          <w:tcPr>
            <w:tcW w:type="dxa" w:w="2268"/>
          </w:tcPr>
          <w:p>
            <w:r/>
            <w:r>
              <w:rPr>
                <w:sz w:val="18"/>
              </w:rPr>
              <w:t>No rechaza H0 global</w:t>
            </w:r>
          </w:p>
        </w:tc>
      </w:tr>
      <w:tr>
        <w:tc>
          <w:tcPr>
            <w:tcW w:type="dxa" w:w="1984"/>
          </w:tcPr>
          <w:p>
            <w:r/>
            <w:r>
              <w:rPr>
                <w:sz w:val="18"/>
              </w:rPr>
              <w:t>Colab ALL (KPI-level)</w:t>
            </w:r>
          </w:p>
        </w:tc>
        <w:tc>
          <w:tcPr>
            <w:tcW w:type="dxa" w:w="1701"/>
          </w:tcPr>
          <w:p>
            <w:r/>
            <w:r>
              <w:rPr>
                <w:sz w:val="18"/>
              </w:rPr>
              <w:t>Wilcoxon SR</w:t>
            </w:r>
          </w:p>
        </w:tc>
        <w:tc>
          <w:tcPr>
            <w:tcW w:type="dxa" w:w="1984"/>
          </w:tcPr>
          <w:p>
            <w:r/>
            <w:r>
              <w:rPr>
                <w:sz w:val="18"/>
              </w:rPr>
              <w:t>MASAC vs MATD3: p=0.0049</w:t>
            </w:r>
          </w:p>
        </w:tc>
        <w:tc>
          <w:tcPr>
            <w:tcW w:type="dxa" w:w="2268"/>
          </w:tcPr>
          <w:p>
            <w:r/>
            <w:r>
              <w:rPr>
                <w:sz w:val="18"/>
              </w:rPr>
              <w:t>Significativo (pareado)</w:t>
            </w:r>
          </w:p>
        </w:tc>
      </w:tr>
      <w:tr>
        <w:tc>
          <w:tcPr>
            <w:tcW w:type="dxa" w:w="1984"/>
          </w:tcPr>
          <w:p>
            <w:r/>
            <w:r>
              <w:rPr>
                <w:sz w:val="18"/>
              </w:rPr>
              <w:t>Colab ALL (KPI-level)</w:t>
            </w:r>
          </w:p>
        </w:tc>
        <w:tc>
          <w:tcPr>
            <w:tcW w:type="dxa" w:w="1701"/>
          </w:tcPr>
          <w:p>
            <w:r/>
            <w:r>
              <w:rPr>
                <w:sz w:val="18"/>
              </w:rPr>
              <w:t>Mann-Whitney U</w:t>
            </w:r>
          </w:p>
        </w:tc>
        <w:tc>
          <w:tcPr>
            <w:tcW w:type="dxa" w:w="1984"/>
          </w:tcPr>
          <w:p>
            <w:r/>
            <w:r>
              <w:rPr>
                <w:sz w:val="18"/>
              </w:rPr>
              <w:t>MASAC vs MATD3: p=0.070</w:t>
            </w:r>
          </w:p>
        </w:tc>
        <w:tc>
          <w:tcPr>
            <w:tcW w:type="dxa" w:w="2268"/>
          </w:tcPr>
          <w:p>
            <w:r/>
            <w:r>
              <w:rPr>
                <w:sz w:val="18"/>
              </w:rPr>
              <w:t>No significativo (0.05)</w:t>
            </w:r>
          </w:p>
        </w:tc>
      </w:tr>
      <w:tr>
        <w:tc>
          <w:tcPr>
            <w:tcW w:type="dxa" w:w="1984"/>
          </w:tcPr>
          <w:p>
            <w:r/>
            <w:r>
              <w:rPr>
                <w:sz w:val="18"/>
              </w:rPr>
              <w:t>Colab OE1</w:t>
            </w:r>
          </w:p>
        </w:tc>
        <w:tc>
          <w:tcPr>
            <w:tcW w:type="dxa" w:w="1701"/>
          </w:tcPr>
          <w:p>
            <w:r/>
            <w:r>
              <w:rPr>
                <w:sz w:val="18"/>
              </w:rPr>
              <w:t>Kruskal-Wallis</w:t>
            </w:r>
          </w:p>
        </w:tc>
        <w:tc>
          <w:tcPr>
            <w:tcW w:type="dxa" w:w="1984"/>
          </w:tcPr>
          <w:p>
            <w:r/>
            <w:r>
              <w:rPr>
                <w:sz w:val="18"/>
              </w:rPr>
              <w:t>p=0.281</w:t>
            </w:r>
          </w:p>
        </w:tc>
        <w:tc>
          <w:tcPr>
            <w:tcW w:type="dxa" w:w="2268"/>
          </w:tcPr>
          <w:p>
            <w:r/>
            <w:r>
              <w:rPr>
                <w:sz w:val="18"/>
              </w:rPr>
              <w:t>No significativo</w:t>
            </w:r>
          </w:p>
        </w:tc>
      </w:tr>
      <w:tr>
        <w:tc>
          <w:tcPr>
            <w:tcW w:type="dxa" w:w="1984"/>
          </w:tcPr>
          <w:p>
            <w:r/>
            <w:r>
              <w:rPr>
                <w:sz w:val="18"/>
              </w:rPr>
              <w:t>Colab OE2</w:t>
            </w:r>
          </w:p>
        </w:tc>
        <w:tc>
          <w:tcPr>
            <w:tcW w:type="dxa" w:w="1701"/>
          </w:tcPr>
          <w:p>
            <w:r/>
            <w:r>
              <w:rPr>
                <w:sz w:val="18"/>
              </w:rPr>
              <w:t>Kruskal-Wallis</w:t>
            </w:r>
          </w:p>
        </w:tc>
        <w:tc>
          <w:tcPr>
            <w:tcW w:type="dxa" w:w="1984"/>
          </w:tcPr>
          <w:p>
            <w:r/>
            <w:r>
              <w:rPr>
                <w:sz w:val="18"/>
              </w:rPr>
              <w:t>p=0.546</w:t>
            </w:r>
          </w:p>
        </w:tc>
        <w:tc>
          <w:tcPr>
            <w:tcW w:type="dxa" w:w="2268"/>
          </w:tcPr>
          <w:p>
            <w:r/>
            <w:r>
              <w:rPr>
                <w:sz w:val="18"/>
              </w:rPr>
              <w:t>No significativo</w:t>
            </w:r>
          </w:p>
        </w:tc>
      </w:tr>
      <w:tr>
        <w:tc>
          <w:tcPr>
            <w:tcW w:type="dxa" w:w="1984"/>
          </w:tcPr>
          <w:p>
            <w:r/>
            <w:r>
              <w:rPr>
                <w:sz w:val="18"/>
              </w:rPr>
              <w:t>Colab OE3</w:t>
            </w:r>
          </w:p>
        </w:tc>
        <w:tc>
          <w:tcPr>
            <w:tcW w:type="dxa" w:w="1701"/>
          </w:tcPr>
          <w:p>
            <w:r/>
            <w:r>
              <w:rPr>
                <w:sz w:val="18"/>
              </w:rPr>
              <w:t>Kruskal-Wallis</w:t>
            </w:r>
          </w:p>
        </w:tc>
        <w:tc>
          <w:tcPr>
            <w:tcW w:type="dxa" w:w="1984"/>
          </w:tcPr>
          <w:p>
            <w:r/>
            <w:r>
              <w:rPr>
                <w:sz w:val="18"/>
              </w:rPr>
              <w:t>p=0.388</w:t>
            </w:r>
          </w:p>
        </w:tc>
        <w:tc>
          <w:tcPr>
            <w:tcW w:type="dxa" w:w="2268"/>
          </w:tcPr>
          <w:p>
            <w:r/>
            <w:r>
              <w:rPr>
                <w:sz w:val="18"/>
              </w:rPr>
              <w:t>No significativo</w:t>
            </w:r>
          </w:p>
        </w:tc>
      </w:tr>
      <w:tr>
        <w:tc>
          <w:tcPr>
            <w:tcW w:type="dxa" w:w="1984"/>
          </w:tcPr>
          <w:p>
            <w:r/>
            <w:r>
              <w:rPr>
                <w:sz w:val="18"/>
              </w:rPr>
              <w:t>Score escenario (3x3)</w:t>
            </w:r>
          </w:p>
        </w:tc>
        <w:tc>
          <w:tcPr>
            <w:tcW w:type="dxa" w:w="1701"/>
          </w:tcPr>
          <w:p>
            <w:r/>
            <w:r>
              <w:rPr>
                <w:sz w:val="18"/>
              </w:rPr>
              <w:t>Kruskal-Wallis</w:t>
            </w:r>
          </w:p>
        </w:tc>
        <w:tc>
          <w:tcPr>
            <w:tcW w:type="dxa" w:w="1984"/>
          </w:tcPr>
          <w:p>
            <w:r/>
            <w:r>
              <w:rPr>
                <w:sz w:val="18"/>
              </w:rPr>
              <w:t>H=4.36, p=0.113</w:t>
            </w:r>
          </w:p>
        </w:tc>
        <w:tc>
          <w:tcPr>
            <w:tcW w:type="dxa" w:w="2268"/>
          </w:tcPr>
          <w:p>
            <w:r/>
            <w:r>
              <w:rPr>
                <w:sz w:val="18"/>
              </w:rPr>
              <w:t>No significativo</w:t>
            </w:r>
          </w:p>
        </w:tc>
      </w:tr>
      <w:tr>
        <w:tc>
          <w:tcPr>
            <w:tcW w:type="dxa" w:w="1984"/>
          </w:tcPr>
          <w:p>
            <w:r/>
            <w:r>
              <w:rPr>
                <w:sz w:val="18"/>
              </w:rPr>
              <w:t>Local v4 (referencia)</w:t>
            </w:r>
          </w:p>
        </w:tc>
        <w:tc>
          <w:tcPr>
            <w:tcW w:type="dxa" w:w="1701"/>
          </w:tcPr>
          <w:p>
            <w:r/>
            <w:r>
              <w:rPr>
                <w:sz w:val="18"/>
              </w:rPr>
              <w:t>Kruskal-Wallis</w:t>
            </w:r>
          </w:p>
        </w:tc>
        <w:tc>
          <w:tcPr>
            <w:tcW w:type="dxa" w:w="1984"/>
          </w:tcPr>
          <w:p>
            <w:r/>
            <w:r>
              <w:rPr>
                <w:sz w:val="18"/>
              </w:rPr>
              <w:t>p=0.0459</w:t>
            </w:r>
          </w:p>
        </w:tc>
        <w:tc>
          <w:tcPr>
            <w:tcW w:type="dxa" w:w="2268"/>
          </w:tcPr>
          <w:p>
            <w:r/>
            <w:r>
              <w:rPr>
                <w:sz w:val="18"/>
              </w:rPr>
              <w:t>Significativo (5 ep, exploratorio)</w:t>
            </w:r>
          </w:p>
        </w:tc>
      </w:tr>
    </w:tbl>
    <w:p/>
    <w:p>
      <w:pPr>
        <w:jc w:val="both"/>
      </w:pPr>
      <w:r>
        <w:rPr>
          <w:b w:val="0"/>
          <w:i w:val="0"/>
        </w:rPr>
        <w:t>Interpretacion: el ranking descriptivo Colab (MATD3 score global 0.6667) se sostiene por KPIs de distrito y edificio; la significancia global KW sobre KPI-gains no alcanza alpha=0.05 con una semilla y sin HAPPO. Wilcoxon pareado detecta diferencia MASAC-MATD3 en el agregado ALL. Se requiere multi-semilla para elevar conclusiones causales (Colas et al., 2019).</w:t>
      </w:r>
    </w:p>
    <w:p>
      <w:pPr>
        <w:pStyle w:val="Heading2"/>
      </w:pPr>
      <w:r>
        <w:t>5.9 Discusion</w:t>
      </w:r>
    </w:p>
    <w:p>
      <w:pPr>
        <w:jc w:val="both"/>
      </w:pPr>
      <w:r>
        <w:rPr>
          <w:b w:val="0"/>
          <w:i w:val="0"/>
        </w:rPr>
        <w:t>MATD3 domina flexibilidad y emisiones en la corrida canonica, con mayor tasa de exito EV que MASAC/MAAC. MAAC es competitivo en costo energetico del distrito. El analisis por edificio revela heterogeneidad estructural (B06 Mall: 32 EV; B07 UNAP: 42 EV). La interpretacion exige frontera de Pareto por eje, no solo score global. HAPPO requiere re-evaluacion tras corregir VecEnvWrapper.</w:t>
      </w:r>
    </w:p>
    <w:p>
      <w:r>
        <w:br w:type="page"/>
      </w:r>
    </w:p>
    <w:p>
      <w:pPr>
        <w:pStyle w:val="Heading1"/>
      </w:pPr>
      <w:r>
        <w:t>Capitulo 6. Conclusiones y trabajo futuro</w:t>
      </w:r>
    </w:p>
    <w:p>
      <w:pPr>
        <w:pStyle w:val="Heading2"/>
      </w:pPr>
      <w:r>
        <w:t>6.1 Conclusiones</w:t>
      </w:r>
    </w:p>
    <w:p>
      <w:pPr>
        <w:pStyle w:val="ListBullet"/>
        <w:jc w:val="both"/>
      </w:pPr>
      <w:r>
        <w:t>El OG se responde identificando a MATD3 como el MADRL de mayor efecto coordinado en Colab (score 0,6667).</w:t>
      </w:r>
    </w:p>
    <w:p>
      <w:pPr>
        <w:pStyle w:val="ListBullet"/>
        <w:jc w:val="both"/>
      </w:pPr>
      <w:r>
        <w:t>OE.1 y OE.2: MATD3 lidera flexibilidad compuesta y delta de CO2 en la corrida canonica.</w:t>
      </w:r>
    </w:p>
    <w:p>
      <w:pPr>
        <w:pStyle w:val="ListBullet"/>
        <w:jc w:val="both"/>
      </w:pPr>
      <w:r>
        <w:t>OE.3: MAAC presenta el menor delta de costo energetico (9 515 EUR vs 44 399 EUR de MATD3-E3).</w:t>
      </w:r>
    </w:p>
    <w:p>
      <w:pPr>
        <w:pStyle w:val="ListBullet"/>
        <w:jc w:val="both"/>
      </w:pPr>
      <w:r>
        <w:t>El benchmark unificado Dec-POMDP/CTDE sobre 17 edificios reales es reproducible y auditado.</w:t>
      </w:r>
    </w:p>
    <w:p>
      <w:pPr>
        <w:pStyle w:val="Heading2"/>
      </w:pPr>
      <w:r>
        <w:t>6.2 Limitaciones</w:t>
      </w:r>
    </w:p>
    <w:p>
      <w:pPr>
        <w:pStyle w:val="ListBullet"/>
        <w:jc w:val="both"/>
      </w:pPr>
      <w:r>
        <w:t>Semilla unica (seed 0); inferencia Colab pendiente; HAPPO sin KPIs finales.</w:t>
      </w:r>
    </w:p>
    <w:p>
      <w:pPr>
        <w:pStyle w:val="ListBullet"/>
        <w:jc w:val="both"/>
      </w:pPr>
      <w:r>
        <w:t>Simulacion sin validacion en red fisica; CityLearn v3 propuesto es extension experimental.</w:t>
      </w:r>
    </w:p>
    <w:p>
      <w:pPr>
        <w:pStyle w:val="Heading2"/>
      </w:pPr>
      <w:r>
        <w:t>6.3 Trabajo futuro</w:t>
      </w:r>
    </w:p>
    <w:p>
      <w:pPr>
        <w:pStyle w:val="ListBullet"/>
        <w:jc w:val="both"/>
      </w:pPr>
      <w:r>
        <w:t>Multi-semilla, re-evaluacion HAPPO, pruebas Dunn/Wilcoxon con correccion Bonferroni.</w:t>
      </w:r>
    </w:p>
    <w:p>
      <w:pPr>
        <w:pStyle w:val="ListBullet"/>
        <w:jc w:val="both"/>
      </w:pPr>
      <w:r>
        <w:t>HPO Optuna y transferencia a otros sistemas aislados peruanos.</w:t>
      </w:r>
    </w:p>
    <w:p>
      <w:r>
        <w:br w:type="page"/>
      </w:r>
    </w:p>
    <w:p>
      <w:r>
        <w:br w:type="page"/>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