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Posgrado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spacing w:line="480" w:lineRule="auto" w:before="0" w:after="0"/>
        <w:jc w:val="center"/>
      </w:pPr>
      <w:r>
        <w:rPr>
          <w:rFonts w:ascii="Times New Roman" w:hAnsi="Times New Roman" w:cs="Times New Roman" w:eastAsia="Times New Roman"/>
          <w:color w:val="000000"/>
          <w:sz w:val="24"/>
        </w:rPr>
        <w:t>Resumen</w:t>
      </w:r>
    </w:p>
    <w:p>
      <w:pPr>
        <w:spacing w:line="480" w:lineRule="auto" w:before="0" w:after="0"/>
        <w:ind w:firstLine="720"/>
        <w:jc w:val="both"/>
      </w:pPr>
      <w:r>
        <w:rPr>
          <w:rFonts w:ascii="Times New Roman" w:hAnsi="Times New Roman" w:cs="Times New Roman" w:eastAsia="Times New Roman"/>
          <w:color w:val="000000"/>
          <w:sz w:val="24"/>
        </w:rPr>
        <w:t>El presente estudio de tesis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
    <w:p>
      <w:pPr>
        <w:spacing w:line="480" w:lineRule="auto" w:before="0" w:after="0"/>
        <w:ind w:firstLine="720"/>
        <w:jc w:val="both"/>
      </w:pPr>
      <w:r>
        <w:rPr>
          <w:rFonts w:ascii="Times New Roman" w:hAnsi="Times New Roman" w:cs="Times New Roman" w:eastAsia="Times New Roman"/>
          <w:color w:val="000000"/>
          <w:sz w:val="24"/>
        </w:rPr>
        <w:t>La evidencia experimental corresponde exclusivamente a la corrida Drive madrl_v3_20260627_164047 y a sus artefactos results.json, training_summary.json, timeseries.csv, trace.csv, building_kpis.csv, building_behavior_summary.csv, checkpoint_manifest.json y tablas materializadas de KPIs episodicos. Se conservan 597 filas episodicas: HAPPO aporta 49 episodios por escenario como evidencia descriptiva, mientras MAAC, MASAC y MATD3 conservan 50 episodios por escenario para contraste inferencial completo. En OE.1, flexibilidad energetica, Kruskal-Wallis rechaza la igualdad entre algoritmos con H=36,3083, p=1,305e-08 y epsilon2=0,2334; MAAC presenta el mayor efecto inferencial y MASAC el mejor KPI anual final. En OE.2, emisiones de CO2, el efecto es significativo pero bajo (H=6,2532; p=0,043866; epsilon2=0,0289); MAAC lidera la muestra completa y MASAC el KPI anual final. En OE.3, costos energeticos, no se rechaza H0 (H=2,7613; p=0,251421; epsilon2=0,0052); MATD3 lidera la muestra completa y MAAC el KPI anual final. Los resultados se interpretan por distrito, edificio, escenario, equipamiento controlado/no controlado, curvas de convergencia, checkpoints, trazas y KPIs compatibles con CityLearn v2 evaluate_v2, sin incorporar valores externos ni datos no existentes en los artefactos auditados.</w:t>
      </w:r>
    </w:p>
    <w:p>
      <w:pPr>
        <w:spacing w:line="480" w:lineRule="auto" w:before="0" w:after="0"/>
        <w:jc w:val="both"/>
      </w:pPr>
      <w:r>
        <w:rPr>
          <w:rFonts w:ascii="Times New Roman" w:hAnsi="Times New Roman" w:cs="Times New Roman" w:eastAsia="Times New Roman"/>
          <w:color w:val="000000"/>
          <w:sz w:val="24"/>
        </w:rPr>
        <w:t>Palabras clave: aprendizaje por refuerzo profundo multiagente; comunidades inteligentes; CityLearn; Dec-POMDP; entrenamiento centralizado y ejecucion descentralizada; flexibilidad energetica; emisiones de CO2; costos energeticos; Sistema Electrico Aislado de Iquitos;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Abstract</w:t>
      </w:r>
    </w:p>
    <w:p>
      <w:pPr>
        <w:spacing w:line="480" w:lineRule="auto" w:before="0" w:after="0"/>
        <w:ind w:firstLine="720"/>
        <w:jc w:val="both"/>
      </w:pPr>
      <w:r>
        <w:rPr>
          <w:rFonts w:ascii="Times New Roman" w:hAnsi="Times New Roman" w:cs="Times New Roman" w:eastAsia="Times New Roman"/>
          <w:color w:val="000000"/>
          <w:sz w:val="24"/>
        </w:rPr>
        <w:t>This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pPr>
        <w:spacing w:line="480" w:lineRule="auto" w:before="0" w:after="0"/>
        <w:ind w:firstLine="720"/>
        <w:jc w:val="both"/>
      </w:pPr>
      <w:r>
        <w:rPr>
          <w:rFonts w:ascii="Times New Roman" w:hAnsi="Times New Roman" w:cs="Times New Roman" w:eastAsia="Times New Roman"/>
          <w:color w:val="000000"/>
          <w:sz w:val="24"/>
        </w:rPr>
        <w:t>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convergence, checkpoint and trace levels using CityLearn v2 evaluate_v2-compatible KPIs without adding external or synthetic values.</w:t>
      </w:r>
    </w:p>
    <w:p>
      <w:pPr>
        <w:spacing w:line="480" w:lineRule="auto" w:before="0" w:after="0"/>
        <w:jc w:val="both"/>
      </w:pPr>
      <w:r>
        <w:rPr>
          <w:rFonts w:ascii="Times New Roman" w:hAnsi="Times New Roman" w:cs="Times New Roman" w:eastAsia="Times New Roman"/>
          <w:color w:val="000000"/>
          <w:sz w:val="24"/>
        </w:rPr>
        <w:t>Keywords: multi-agent deep reinforcement learning; smart communities; CityLearn; Dec-POMDP; centralized training and decentralized execution; energy flexibility; CO2 emissions; energy costs; Iquitos Isolated Electric System;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eastAsia="Times New Roman"/>
          <w:color w:val="00000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cs="Times New Roman" w:eastAsia="Times New Roman"/>
          <w:color w:val="000000"/>
          <w:sz w:val="24"/>
        </w:rPr>
        <w:t>1.2.1.1 Formulacion del problema general</w:t>
      </w:r>
    </w:p>
    <w:p>
      <w:pPr>
        <w:spacing w:before="0" w:after="0" w:line="480" w:lineRule="auto"/>
        <w:ind w:firstLine="720"/>
        <w:jc w:val="both"/>
      </w:pPr>
      <w:r>
        <w:rPr>
          <w:rFonts w:ascii="Times New Roman" w:hAnsi="Times New Roman" w:cs="Times New Roman" w:eastAsia="Times New Roman"/>
          <w:color w:val="000000"/>
          <w:sz w:val="24"/>
        </w:rPr>
        <w:t>Problema general (PG):</w:t>
      </w:r>
    </w:p>
    <w:p>
      <w:pPr>
        <w:spacing w:before="0" w:after="0" w:line="480" w:lineRule="auto"/>
        <w:ind w:firstLine="720"/>
        <w:jc w:val="both"/>
      </w:pPr>
      <w:r>
        <w:rPr>
          <w:rFonts w:ascii="Times New Roman" w:hAnsi="Times New Roman" w:cs="Times New Roman" w:eastAsia="Times New Roman"/>
          <w:color w:val="000000"/>
          <w:sz w:val="24"/>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pStyle w:val="Heading4"/>
        <w:spacing w:line="480" w:lineRule="auto" w:before="0" w:after="0"/>
        <w:ind w:firstLine="720"/>
        <w:jc w:val="left"/>
      </w:pPr>
      <w:r>
        <w:rPr>
          <w:rFonts w:ascii="Times New Roman" w:hAnsi="Times New Roman" w:cs="Times New Roman" w:eastAsia="Times New Roman"/>
          <w:color w:val="000000"/>
          <w:sz w:val="24"/>
        </w:rPr>
        <w:t>1.2.1.2 Formulacion de los problemas especificos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cs="Times New Roman" w:eastAsia="Times New Roman"/>
          <w:color w:val="000000"/>
          <w:sz w:val="24"/>
        </w:rPr>
        <w:t>Objetivo general (OG):</w:t>
      </w:r>
    </w:p>
    <w:p>
      <w:pPr>
        <w:spacing w:before="0" w:after="0" w:line="480" w:lineRule="auto"/>
        <w:ind w:firstLine="720"/>
        <w:jc w:val="both"/>
      </w:pPr>
      <w:r>
        <w:rPr>
          <w:rFonts w:ascii="Times New Roman" w:hAnsi="Times New Roman" w:cs="Times New Roman" w:eastAsia="Times New Roman"/>
          <w:color w:val="000000"/>
          <w:sz w:val="24"/>
        </w:rPr>
        <w:t>Determinar el efecto del algoritmo MADRL aplicado a una comunidad inteligente (VI) sobre la gestion coordinada de la flexibilidad energetica, las emisiones de CO2 y los costos energeticos (VD), e identificar el algoritmo que produce el mayor efecto coordinado.</w:t>
      </w:r>
    </w:p>
    <w:p>
      <w:pPr>
        <w:pStyle w:val="Heading4"/>
        <w:spacing w:line="480" w:lineRule="auto" w:before="0" w:after="0"/>
        <w:ind w:firstLine="720"/>
        <w:jc w:val="left"/>
      </w:pPr>
      <w:r>
        <w:rPr>
          <w:rFonts w:ascii="Times New Roman" w:hAnsi="Times New Roman" w:cs="Times New Roman" w:eastAsia="Times New Roman"/>
          <w:color w:val="000000"/>
          <w:sz w:val="24"/>
        </w:rPr>
        <w:t>1.3.1.2 Objetivos especificos</w:t>
      </w:r>
    </w:p>
    <w:p>
      <w:pPr>
        <w:spacing w:before="0" w:after="0" w:line="480" w:lineRule="auto"/>
        <w:ind w:firstLine="720"/>
        <w:jc w:val="both"/>
      </w:pPr>
      <w:r>
        <w:rPr>
          <w:rFonts w:ascii="Times New Roman" w:hAnsi="Times New Roman" w:cs="Times New Roman" w:eastAsia="Times New Roman"/>
          <w:color w:val="000000"/>
          <w:sz w:val="24"/>
        </w:rPr>
        <w:t>Objetivos especificos:</w:t>
      </w:r>
    </w:p>
    <w:p>
      <w:pPr>
        <w:spacing w:before="0" w:after="0" w:line="480" w:lineRule="auto"/>
        <w:ind w:firstLine="720"/>
        <w:jc w:val="both"/>
      </w:pPr>
      <w:r>
        <w:rPr>
          <w:rFonts w:ascii="Times New Roman" w:hAnsi="Times New Roman" w:cs="Times New Roman" w:eastAsia="Times New Roman"/>
          <w:color w:val="000000"/>
          <w:sz w:val="24"/>
        </w:rPr>
        <w:t>OE.1: Determinar el efecto del algoritmo MADRL (VI) sobre la flexibilidad energetica (D-VD.1)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OE.2: Determinar el efecto del algoritmo MADRL (VI) sobre las emisiones de CO2 (D-VD.2)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OE.3: Determinar el efecto del algoritmo MADRL (VI) sobre los costos energeticos (D-VD.3)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cs="Times New Roman" w:eastAsia="Times New Roman"/>
          <w:color w:val="000000"/>
          <w:sz w:val="24"/>
        </w:rPr>
        <w:t>1.3.2 Hipotesis</w:t>
      </w:r>
    </w:p>
    <w:p>
      <w:pPr>
        <w:spacing w:before="0" w:after="0" w:line="480" w:lineRule="auto"/>
        <w:ind w:firstLine="720"/>
        <w:jc w:val="both"/>
      </w:pPr>
      <w:r>
        <w:rPr>
          <w:rFonts w:ascii="Times New Roman" w:hAnsi="Times New Roman" w:cs="Times New Roman" w:eastAsia="Times New Roman"/>
          <w:color w:val="000000"/>
          <w:sz w:val="24"/>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pStyle w:val="Heading4"/>
        <w:spacing w:line="480" w:lineRule="auto" w:before="0" w:after="0"/>
        <w:ind w:firstLine="720"/>
        <w:jc w:val="left"/>
      </w:pPr>
      <w:r>
        <w:rPr>
          <w:rFonts w:ascii="Times New Roman" w:hAnsi="Times New Roman" w:cs="Times New Roman" w:eastAsia="Times New Roman"/>
          <w:color w:val="000000"/>
          <w:sz w:val="24"/>
        </w:rPr>
        <w:t>1.3.2.1 Hipotesis general</w:t>
      </w:r>
    </w:p>
    <w:p>
      <w:pPr>
        <w:spacing w:before="0" w:after="0" w:line="480" w:lineRule="auto"/>
        <w:ind w:firstLine="720"/>
        <w:jc w:val="both"/>
      </w:pPr>
      <w:r>
        <w:rPr>
          <w:rFonts w:ascii="Times New Roman" w:hAnsi="Times New Roman" w:cs="Times New Roman" w:eastAsia="Times New Roman"/>
          <w:color w:val="000000"/>
          <w:sz w:val="24"/>
        </w:rPr>
        <w:t>Hipotesis general (HG):</w:t>
      </w:r>
    </w:p>
    <w:p>
      <w:pPr>
        <w:spacing w:before="0" w:after="0" w:line="480" w:lineRule="auto"/>
        <w:ind w:firstLine="720"/>
        <w:jc w:val="both"/>
      </w:pPr>
      <w:r>
        <w:rPr>
          <w:rFonts w:ascii="Times New Roman" w:hAnsi="Times New Roman" w:cs="Times New Roman" w:eastAsia="Times New Roman"/>
          <w:color w:val="000000"/>
          <w:sz w:val="24"/>
        </w:rPr>
        <w:t>La aplicacion del algoritmo MADRL a la comunidad inteligente (VI) produce un efecto estadisticamente significativo y diferenciado sobre la gestion coordinada de la flexibilidad energetica, las emisiones de CO2 y los costos energeticos (VD).</w:t>
      </w:r>
    </w:p>
    <w:p>
      <w:pPr>
        <w:pStyle w:val="Heading4"/>
        <w:spacing w:line="480" w:lineRule="auto" w:before="0" w:after="0"/>
        <w:ind w:firstLine="720"/>
        <w:jc w:val="left"/>
      </w:pPr>
      <w:r>
        <w:rPr>
          <w:rFonts w:ascii="Times New Roman" w:hAnsi="Times New Roman" w:cs="Times New Roman" w:eastAsia="Times New Roman"/>
          <w:color w:val="000000"/>
          <w:sz w:val="24"/>
        </w:rPr>
        <w:t>1.3.2.2 Hipotesis especificas</w:t>
      </w:r>
    </w:p>
    <w:p>
      <w:pPr>
        <w:spacing w:before="0" w:after="0" w:line="480" w:lineRule="auto"/>
        <w:ind w:firstLine="720"/>
        <w:jc w:val="both"/>
      </w:pPr>
      <w:r>
        <w:rPr>
          <w:rFonts w:ascii="Times New Roman" w:hAnsi="Times New Roman" w:cs="Times New Roman" w:eastAsia="Times New Roman"/>
          <w:color w:val="000000"/>
          <w:sz w:val="24"/>
        </w:rPr>
        <w:t>Hipotesis especificas:</w:t>
      </w:r>
    </w:p>
    <w:p>
      <w:pPr>
        <w:spacing w:before="0" w:after="0" w:line="480" w:lineRule="auto"/>
        <w:ind w:firstLine="720"/>
        <w:jc w:val="both"/>
      </w:pPr>
      <w:r>
        <w:rPr>
          <w:rFonts w:ascii="Times New Roman" w:hAnsi="Times New Roman" w:cs="Times New Roman" w:eastAsia="Times New Roman"/>
          <w:color w:val="000000"/>
          <w:sz w:val="24"/>
        </w:rPr>
        <w:t>HE.1: El algoritmo MADRL (VI) produce un efecto significativo sobre la flexibilidad energetica (D-VD.1); el mayor efecto corresponde al algoritmo con menor variabilidad en los KPI de pico y rampa.</w:t>
      </w:r>
    </w:p>
    <w:p>
      <w:pPr>
        <w:spacing w:before="0" w:after="0" w:line="480" w:lineRule="auto"/>
        <w:ind w:firstLine="720"/>
        <w:jc w:val="both"/>
      </w:pPr>
      <w:r>
        <w:rPr>
          <w:rFonts w:ascii="Times New Roman" w:hAnsi="Times New Roman" w:cs="Times New Roman" w:eastAsia="Times New Roman"/>
          <w:color w:val="000000"/>
          <w:sz w:val="24"/>
        </w:rPr>
        <w:t>HE.2: El algoritmo MADRL (VI) produce un efecto significativo sobre las emisiones de CO2 (D-VD.2); el mayor efecto corresponde a MATD3.</w:t>
      </w:r>
    </w:p>
    <w:p>
      <w:pPr>
        <w:spacing w:before="0" w:after="0" w:line="480" w:lineRule="auto"/>
        <w:ind w:firstLine="720"/>
        <w:jc w:val="both"/>
      </w:pPr>
      <w:r>
        <w:rPr>
          <w:rFonts w:ascii="Times New Roman" w:hAnsi="Times New Roman" w:cs="Times New Roman" w:eastAsia="Times New Roman"/>
          <w:color w:val="000000"/>
          <w:sz w:val="24"/>
        </w:rPr>
        <w:t>HE.3: El algoritmo MADRL (VI) produce un efecto significativo sobre los costos energeticos (D-VD.3); el mayor efecto corresponde al algoritmo con menor delta de costo electrico.</w:t>
      </w:r>
    </w:p>
    <w:p>
      <w:pPr>
        <w:spacing w:before="0" w:after="0" w:line="480" w:lineRule="auto"/>
        <w:ind w:firstLine="720"/>
        <w:jc w:val="both"/>
      </w:pPr>
      <w:r>
        <w:rPr>
          <w:rFonts w:ascii="Times New Roman" w:hAnsi="Times New Roman" w:cs="Times New Roman" w:eastAsia="Times New Roman"/>
          <w:color w:val="000000"/>
          <w:sz w:val="24"/>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 ¿En que medida el algoritmo MADRL (VI) produce un efecto sobre la dimension de flexibilidad energetica de la comunidad (D-VD.1),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 ¿En que medida el algoritmo MADRL (VI) produce un efecto sobre la dimension de emisiones de CO2 de la comunidad (D-VD.2),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 ¿En que medida el algoritmo MADRL (VI) produce un efecto sobre la dimension de costos energeticos de la comunidad (D-VD.3), y cual algoritmo genera el mayor efecto?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eastAsia="Times New Roman"/>
          <w:color w:val="000000"/>
          <w:sz w:val="24"/>
        </w:rPr>
        <w:t>Metodologico: estudio cuantitativo, aplicado, comparativo, basado en simulacion experimental-computacional.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eastAsia="Times New Roman"/>
          <w:color w:val="00000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eastAsia="Times New Roman"/>
          <w:color w:val="00000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de tesis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57-330 dimensiones segun flota EV</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5-44 acciones (BESS, EV, carga desplazable)</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de tesises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de tesis</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pPr>
        <w:pStyle w:val="TablaIndice"/>
        <w:spacing w:before="0" w:after="0" w:line="480" w:lineRule="auto"/>
        <w:jc w:val="left"/>
      </w:pPr>
      <w:r>
        <w:rPr>
          <w:rFonts w:ascii="Times New Roman" w:hAnsi="Times New Roman" w:cs="Times New Roman" w:eastAsia="Times New Roman"/>
          <w:b/>
          <w:i w:val="0"/>
          <w:color w:val="000000"/>
          <w:sz w:val="24"/>
        </w:rPr>
        <w:t>Tabla 2.3</w:t>
        <w:br/>
        <w:t>Mapeo del Dec-POMDP de tesis a artefactos reales del proyecto</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eastAsia="Times New Roman"/>
          <w:color w:val="000000"/>
          <w:sz w:val="24"/>
        </w:rP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eastAsia="Times New Roman"/>
          <w:color w:val="000000"/>
          <w:sz w:val="24"/>
        </w:rP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eastAsia="Times New Roman"/>
          <w:color w:val="00000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eastAsia="Times New Roman"/>
          <w:color w:val="000000"/>
          <w:sz w:val="24"/>
        </w:rP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eastAsia="Times New Roman"/>
          <w:color w:val="00000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(2019a, 2019b); Vazquez-Canteli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en generacion hidroelectrica.</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con datos locales.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estudio de caso en microredes.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eastAsia="Times New Roman"/>
          <w:color w:val="00000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eastAsia="Times New Roman"/>
          <w:color w:val="00000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eastAsia="Times New Roman"/>
          <w:color w:val="00000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before="0" w:after="0" w:line="480" w:lineRule="auto"/>
        <w:ind w:firstLine="720"/>
        <w:jc w:val="both"/>
      </w:pPr>
      <w:r>
        <w:rPr>
          <w:rFonts w:ascii="Times New Roman" w:hAnsi="Times New Roman" w:cs="Times New Roman" w:eastAsia="Times New Roman"/>
          <w:color w:val="000000"/>
          <w:sz w:val="24"/>
        </w:rP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et al. (2002) advierten que la validez interna, estadistica, de constructo y externa deben declararse de forma diferenciada; en este caso, la validez externa queda limitada por la ausencia de multiples semillas independientes.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3.2 Diseno experimental-computacional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t>Visualizacion de tesis</w:t>
            </w:r>
            <w:r>
              <w:rPr>
                <w:rFonts w:ascii="Times New Roman" w:hAnsi="Times New Roman" w:cs="Times New Roman" w:eastAsia="Times New Roman"/>
                <w:b w:val="0"/>
                <w:i w:val="0"/>
                <w:color w:val="000000"/>
                <w:sz w:val="20"/>
              </w:rPr>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las observaciones locales (state dim global = 1856 en el entorno cargado),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eastAsia="Times New Roman"/>
          <w:b/>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4.7 Diseno experimental: matriz de 12 corridas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t>Cadena de trazabilidad de la propuesta de tesis</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Análisis de la tesis</w:t>
            </w:r>
            <w:r>
              <w:rPr>
                <w:rFonts w:ascii="Times New Roman" w:hAnsi="Times New Roman" w:cs="Times New Roman" w:eastAsia="Times New Roman"/>
                <w:b w:val="0"/>
                <w:i w:val="0"/>
                <w:color w:val="000000"/>
                <w:sz w:val="20"/>
              </w:rPr>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reward_mean_average</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 (efecto alto)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 (efecto bajo)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 (efecto muy bajo)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5. Resultados y contrastacion de hipotesis</w:t>
      </w:r>
    </w:p>
    <w:p>
      <w:pPr>
        <w:spacing w:before="0" w:after="0" w:line="480" w:lineRule="auto"/>
        <w:ind w:firstLine="720"/>
        <w:jc w:val="both"/>
      </w:pPr>
      <w:r>
        <w:rPr>
          <w:rFonts w:ascii="Times New Roman" w:hAnsi="Times New Roman" w:cs="Times New Roman" w:eastAsia="Times New Roman"/>
          <w:color w:val="000000"/>
          <w:sz w:val="24"/>
        </w:rP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before="0" w:after="0" w:line="480" w:lineRule="auto"/>
        <w:ind w:firstLine="720"/>
        <w:jc w:val="both"/>
      </w:pPr>
      <w:r>
        <w:rPr>
          <w:rFonts w:ascii="Times New Roman" w:hAnsi="Times New Roman" w:cs="Times New Roman" w:eastAsia="Times New Roman"/>
          <w:color w:val="000000"/>
          <w:sz w:val="24"/>
        </w:rP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before="0" w:after="0" w:line="480" w:lineRule="auto"/>
        <w:ind w:firstLine="720"/>
        <w:jc w:val="both"/>
      </w:pPr>
      <w:r>
        <w:rPr>
          <w:rFonts w:ascii="Times New Roman" w:hAnsi="Times New Roman" w:cs="Times New Roman" w:eastAsia="Times New Roman"/>
          <w:color w:val="000000"/>
          <w:sz w:val="24"/>
        </w:rP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spacing w:line="480" w:lineRule="auto" w:before="0" w:after="0"/>
        <w:jc w:val="left"/>
      </w:pPr>
      <w:r>
        <w:rPr>
          <w:rFonts w:ascii="Times New Roman" w:hAnsi="Times New Roman" w:cs="Times New Roman" w:eastAsia="Times New Roman"/>
          <w:color w:val="000000"/>
          <w:sz w:val="24"/>
        </w:rPr>
        <w:t>5.1 Cobertura de artefactos experimentales</w:t>
      </w:r>
    </w:p>
    <w:p>
      <w:pPr>
        <w:pStyle w:val="TablaIndice"/>
        <w:spacing w:before="0" w:after="0" w:line="480" w:lineRule="auto"/>
        <w:jc w:val="left"/>
      </w:pPr>
      <w:r>
        <w:rPr>
          <w:rFonts w:ascii="Times New Roman" w:hAnsi="Times New Roman" w:cs="Times New Roman" w:eastAsia="Times New Roman"/>
          <w:b/>
          <w:i w:val="0"/>
          <w:color w:val="000000"/>
          <w:sz w:val="24"/>
        </w:rPr>
        <w:t>Tabla 5.1</w:t>
        <w:br/>
      </w:r>
      <w:r>
        <w:rPr>
          <w:rFonts w:ascii="Times New Roman" w:hAnsi="Times New Roman" w:cs="Times New Roman" w:eastAsia="Times New Roman"/>
          <w:b w:val="0"/>
          <w:i/>
          <w:color w:val="000000"/>
          <w:sz w:val="24"/>
        </w:rPr>
        <w:t>Cobertura real de artefactos por tratamiento en Google Drive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registrados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resumenes G:</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KPI usados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checkpoints</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w:t>
        <w:br/>
      </w:r>
      <w:r>
        <w:rPr>
          <w:rFonts w:ascii="Times New Roman" w:hAnsi="Times New Roman" w:cs="Times New Roman" w:eastAsia="Times New Roman"/>
          <w:b w:val="0"/>
          <w:i/>
          <w:color w:val="000000"/>
          <w:sz w:val="24"/>
        </w:rPr>
        <w:t>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cobertura de checkpoints guardados por tratamiento y la trazabilidad material del entrenamiento. Fuente: Elaboracion propia a partir de checkpoint_manifest.json, results.json y training_summary.json de los 12 tratamientos algoritmo-escenario conservados en Drive.</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Conteo de archivos listados en checkpoint_manifest.json de la corrida canónica madrl_v3_20260627_164047 (espejo outputs/_drive_madrl/full_data). HAPPO-E1/E2/E3 = 0 (manifiesto ausente); MAAC = 52 por escenario; MASAC = 12; MATD3 = 34. La lectura corrige el falso cero previo de MASAC/MATD3 causado por filtrar solo rutas episode_(\d+).</w:t>
      </w:r>
    </w:p>
    <w:p/>
    <w:p>
      <w:pPr>
        <w:pStyle w:val="Heading2"/>
        <w:spacing w:line="480" w:lineRule="auto" w:before="0" w:after="0"/>
        <w:jc w:val="left"/>
      </w:pPr>
      <w:r>
        <w:rPr>
          <w:rFonts w:ascii="Times New Roman" w:hAnsi="Times New Roman" w:cs="Times New Roman" w:eastAsia="Times New Roman"/>
          <w:color w:val="000000"/>
          <w:sz w:val="24"/>
        </w:rPr>
        <w:t>5.2 Trazabilidad entre objetivos, hipotesis e indicadores</w:t>
      </w:r>
    </w:p>
    <w:p>
      <w:pPr>
        <w:pStyle w:val="TablaIndice"/>
        <w:spacing w:before="0" w:after="0" w:line="480" w:lineRule="auto"/>
        <w:jc w:val="left"/>
      </w:pPr>
      <w:r>
        <w:rPr>
          <w:rFonts w:ascii="Times New Roman" w:hAnsi="Times New Roman" w:cs="Times New Roman" w:eastAsia="Times New Roman"/>
          <w:b/>
          <w:i w:val="0"/>
          <w:color w:val="000000"/>
          <w:sz w:val="24"/>
        </w:rPr>
        <w:t>Tabla 5.2</w:t>
        <w:br/>
      </w:r>
      <w:r>
        <w:rPr>
          <w:rFonts w:ascii="Times New Roman" w:hAnsi="Times New Roman" w:cs="Times New Roman" w:eastAsia="Times New Roman"/>
          <w:b w:val="0"/>
          <w:i/>
          <w:color w:val="000000"/>
          <w:sz w:val="24"/>
        </w:rPr>
        <w:t>Trazabilidad objetivo-hipotesis-escenario-indicador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VD</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usado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media del episodio en 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maximizar</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district_net_electricity_consumption_emission en 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district_net_electricity_consumption_cost en 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Heading2"/>
        <w:spacing w:line="480" w:lineRule="auto" w:before="0" w:after="0"/>
        <w:jc w:val="left"/>
      </w:pPr>
      <w:r>
        <w:rPr>
          <w:rFonts w:ascii="Times New Roman" w:hAnsi="Times New Roman" w:cs="Times New Roman" w:eastAsia="Times New Roman"/>
          <w:color w:val="000000"/>
          <w:sz w:val="24"/>
        </w:rPr>
        <w:t>5.3 Curvas de convergencia y episodios de aprendizaje</w:t>
      </w:r>
    </w:p>
    <w:p>
      <w:pPr>
        <w:spacing w:before="0" w:after="0" w:line="480" w:lineRule="auto"/>
        <w:ind w:firstLine="720"/>
        <w:jc w:val="both"/>
      </w:pPr>
      <w:r>
        <w:rPr>
          <w:rFonts w:ascii="Times New Roman" w:hAnsi="Times New Roman" w:cs="Times New Roman" w:eastAsia="Times New Roman"/>
          <w:color w:val="000000"/>
          <w:sz w:val="24"/>
        </w:rP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pPr>
        <w:pStyle w:val="TablaIndice"/>
        <w:spacing w:before="0" w:after="0" w:line="480" w:lineRule="auto"/>
        <w:jc w:val="left"/>
      </w:pPr>
      <w:r>
        <w:rPr>
          <w:rFonts w:ascii="Times New Roman" w:hAnsi="Times New Roman" w:cs="Times New Roman" w:eastAsia="Times New Roman"/>
          <w:b/>
          <w:i w:val="0"/>
          <w:color w:val="000000"/>
          <w:sz w:val="24"/>
        </w:rPr>
        <w:t>Tabla 5.3</w:t>
        <w:br/>
      </w:r>
      <w:r>
        <w:rPr>
          <w:rFonts w:ascii="Times New Roman" w:hAnsi="Times New Roman" w:cs="Times New Roman" w:eastAsia="Times New Roman"/>
          <w:b w:val="0"/>
          <w:i/>
          <w:color w:val="000000"/>
          <w:sz w:val="24"/>
        </w:rPr>
        <w:t>Episodios de inicio de aprendizaje, estabilizacion y mejor recompensa media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inicial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final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inicio aprendizaje</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estabilizacion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episodio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reward</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-0.687276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-0.632433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-0.602519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-0.605677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-0.618831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-0.610697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-0.727661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-0.613946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-0.533865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-0.486701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-0.460756</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-0.519982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-0.523789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-0.511314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-0.527569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-0.525298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-0.512239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-0.540114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-0.530624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-0.516268</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-0.560615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-0.524157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-0.494647</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-0.534768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-0.538680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-0.524819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-0.543246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-0.540399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-0.526310</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-0.569808</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-0.547797</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-0.529048</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E1 para 4 algoritmos. El mayor valor final de recompensa movil corresponde a MAAC con -0.605677, y la mayor mejora entre tramo inicial y final corresponde a MATD3 con 0.113715. La estabilizacion estimada ocurre entre los episodios ordinales 1 y 14,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E2 para 4 algoritmos. El mayor valor final de recompensa movil corresponde a HAPPO con -0.486701, y la mayor mejora entre tramo inicial y final corresponde a HAPPO con 0.047164. La estabilizacion estimada ocurre entre los episodios ordinales 1 y 6,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E3 para 4 algoritmos. El mayor valor final de recompensa movil corresponde a HAPPO con -0.524157, y la mayor mejora entre tramo inicial y final corresponde a HAPPO con 0.036458. La estabilizacion estimada ocurre entre los episodios ordinales 1 y 5, calculados directamente desde reward_mean_average; por ello, la curva se interpreta como evidencia de aprendizaje y estabilidad intra-corrida, no como prueba multi-semilla.</w:t>
      </w:r>
    </w:p>
    <w:p/>
    <w:p>
      <w:pPr>
        <w:spacing w:before="0" w:after="0" w:line="480" w:lineRule="auto"/>
        <w:ind w:firstLine="720"/>
        <w:jc w:val="both"/>
      </w:pPr>
      <w:r>
        <w:rPr>
          <w:rFonts w:ascii="Times New Roman" w:hAnsi="Times New Roman" w:cs="Times New Roman" w:eastAsia="Times New Roman"/>
          <w:color w:val="000000"/>
          <w:sz w:val="24"/>
        </w:rP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spacing w:line="480" w:lineRule="auto" w:before="0" w:after="0"/>
        <w:jc w:val="left"/>
      </w:pPr>
      <w:r>
        <w:rPr>
          <w:rFonts w:ascii="Times New Roman" w:hAnsi="Times New Roman" w:cs="Times New Roman" w:eastAsia="Times New Roman"/>
          <w:color w:val="000000"/>
          <w:sz w:val="24"/>
        </w:rPr>
        <w:t>5.4 KPIs bajo nomenclatura CityLearn v2 evaluate_v2</w:t>
      </w:r>
    </w:p>
    <w:p>
      <w:pPr>
        <w:spacing w:before="0" w:after="0" w:line="480" w:lineRule="auto"/>
        <w:ind w:firstLine="720"/>
        <w:jc w:val="both"/>
      </w:pPr>
      <w:r>
        <w:rPr>
          <w:rFonts w:ascii="Times New Roman" w:hAnsi="Times New Roman" w:cs="Times New Roman" w:eastAsia="Times New Roman"/>
          <w:color w:val="000000"/>
          <w:sz w:val="24"/>
        </w:rP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pPr>
        <w:pStyle w:val="TablaIndice"/>
        <w:spacing w:before="0" w:after="0" w:line="480" w:lineRule="auto"/>
        <w:jc w:val="left"/>
      </w:pPr>
      <w:r>
        <w:rPr>
          <w:rFonts w:ascii="Times New Roman" w:hAnsi="Times New Roman" w:cs="Times New Roman" w:eastAsia="Times New Roman"/>
          <w:b/>
          <w:i w:val="0"/>
          <w:color w:val="000000"/>
          <w:sz w:val="24"/>
        </w:rPr>
        <w:t>Tabla 5.4</w:t>
        <w:br/>
      </w:r>
      <w:r>
        <w:rPr>
          <w:rFonts w:ascii="Times New Roman" w:hAnsi="Times New Roman" w:cs="Times New Roman" w:eastAsia="Times New Roman"/>
          <w:b w:val="0"/>
          <w:i/>
          <w:color w:val="000000"/>
          <w:sz w:val="24"/>
        </w:rPr>
        <w:t>Catalogo de KPIs evaluate_v2 usados para interpretar resultados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Ejemplos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Ranking por eje con KPIs compatibles con CityLearn v2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disp.</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mejora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0.4710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0.4214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0.3340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0.1842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0.5022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0.4567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0.2786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5.4</w:t>
        <w:br/>
      </w:r>
      <w:r>
        <w:rPr>
          <w:rFonts w:ascii="Times New Roman" w:hAnsi="Times New Roman" w:cs="Times New Roman" w:eastAsia="Times New Roman"/>
          <w:b w:val="0"/>
          <w:i/>
          <w:color w:val="000000"/>
          <w:sz w:val="24"/>
        </w:rPr>
        <w:t>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342689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ranking normalizado de KPIs compatibles con CityLearn v2 evaluate_v2 por escenario, eje y metodo.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scores normalizados de evaluate_v2 para 15 combinaciones metodo-eje. Los mejores metodos por escenario son E1: MATD3 (citylearn_v3_madrl, score=0.4956), E2: baseline (citylearn_v2_original, score=1.0000), E3: hour_rbc (citylearn_v2_original, score=0.7370). La lectura es relevante porque CityLearn v2 separa la recompensa de entrenamiento de los KPIs finales de flexibilidad, carbono y costo.</w:t>
      </w:r>
    </w:p>
    <w:p/>
    <w:p>
      <w:pPr>
        <w:spacing w:before="0" w:after="0" w:line="480" w:lineRule="auto"/>
        <w:ind w:firstLine="720"/>
        <w:jc w:val="both"/>
      </w:pPr>
      <w:r>
        <w:rPr>
          <w:rFonts w:ascii="Times New Roman" w:hAnsi="Times New Roman" w:cs="Times New Roman" w:eastAsia="Times New Roman"/>
          <w:color w:val="000000"/>
          <w:sz w:val="24"/>
        </w:rPr>
        <w:t>La lectura evaluate_v2 evita una conclusion sesgada por la recompensa de entrenamiento: un algoritmo puede maximizar reward_mean_average en un escenario y, al mismo tiempo, no liderar todos los KPIs oficiales de flexibilidad, carbono o costo. Por ello, la decision de tesis se reporta en tres niveles: media episodica, prueba estadistica intra-corrida y KPI anual final compatible con CityLearn v2.</w:t>
      </w:r>
    </w:p>
    <w:p>
      <w:pPr>
        <w:pStyle w:val="Heading2"/>
        <w:spacing w:line="480" w:lineRule="auto" w:before="0" w:after="0"/>
        <w:jc w:val="left"/>
      </w:pPr>
      <w:r>
        <w:rPr>
          <w:rFonts w:ascii="Times New Roman" w:hAnsi="Times New Roman" w:cs="Times New Roman" w:eastAsia="Times New Roman"/>
          <w:color w:val="000000"/>
          <w:sz w:val="24"/>
        </w:rPr>
        <w:t>5.5 OE.1: efecto del MADRL sobre flexibilidad energetica</w:t>
      </w:r>
    </w:p>
    <w:p>
      <w:pPr>
        <w:spacing w:before="0" w:after="0" w:line="480" w:lineRule="auto"/>
        <w:ind w:firstLine="720"/>
        <w:jc w:val="both"/>
      </w:pPr>
      <w:r>
        <w:rPr>
          <w:rFonts w:ascii="Times New Roman" w:hAnsi="Times New Roman" w:cs="Times New Roman" w:eastAsia="Times New Roman"/>
          <w:color w:val="000000"/>
          <w:sz w:val="24"/>
        </w:rPr>
        <w:t>E1 usa pesos [flex=0,70; CO2=0,15; costo=0,15], por lo que la recompensa media del episodio representa el efecto agregado del algoritmo sobre la dimension de flexibilidad bajo una funcion de recompensa comparable.</w:t>
      </w:r>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Estadistica descriptiva por episodio para OE.1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-0.605157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-0.612650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0.014695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-0.621470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-0.613331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-0.619827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0.014124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-0.627759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-0.630260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-0.630308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0.021294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-0.706212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-0.633044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-0.620825</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0.047049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-0.740849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5.5a</w:t>
        <w:br/>
      </w:r>
      <w:r>
        <w:rPr>
          <w:rFonts w:ascii="Times New Roman" w:hAnsi="Times New Roman" w:cs="Times New Roman" w:eastAsia="Times New Roman"/>
          <w:b w:val="0"/>
          <w:i/>
          <w:color w:val="000000"/>
          <w:sz w:val="24"/>
        </w:rPr>
        <w:t>KPI anual final del tratamiento asociado 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1.0851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1.0220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9,250,726.21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5,950,967.93</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-0.613195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10,494,384.74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5,918,646.68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-0.618065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1.3903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10,694,870.99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6,332,691.36</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-0.627064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1.0081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11,060,066.49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8,249,865.87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5.5</w:t>
        <w:br/>
      </w:r>
      <w:r>
        <w:rPr>
          <w:rFonts w:ascii="Times New Roman" w:hAnsi="Times New Roman" w:cs="Times New Roman" w:eastAsia="Times New Roman"/>
          <w:b w:val="0"/>
          <w:i/>
          <w:color w:val="000000"/>
          <w:sz w:val="24"/>
        </w:rPr>
        <w:t>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flexibilidad energetica en E1 usando el indicador reward_mean_average.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5.5a</w:t>
        <w:br/>
      </w:r>
      <w:r>
        <w:rPr>
          <w:rFonts w:ascii="Times New Roman" w:hAnsi="Times New Roman" w:cs="Times New Roman" w:eastAsia="Times New Roman"/>
          <w:b w:val="0"/>
          <w:i/>
          <w:color w:val="000000"/>
          <w:sz w:val="24"/>
        </w:rPr>
        <w:t>Paneles MADRL del episodio final para E1: valores normalizados y totales reales anotados por algoritmo</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E1. El menor costo acumulado observado corresponde a MASAC con 536.14, y la menor emision acumulada corresponde a MASAC con 925.74.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5.5a: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5.5b</w:t>
        <w:br/>
      </w:r>
      <w:r>
        <w:rPr>
          <w:rFonts w:ascii="Times New Roman" w:hAnsi="Times New Roman" w:cs="Times New Roman" w:eastAsia="Times New Roman"/>
          <w:b w:val="0"/>
          <w:i/>
          <w:color w:val="000000"/>
          <w:sz w:val="24"/>
        </w:rPr>
        <w:t>Mann-Whitney U por pares con ajuste Holm para OE.1</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6.007e-06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1.201e-05</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6.360e-08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1.908e-07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5.5c</w:t>
        <w:br/>
      </w:r>
      <w:r>
        <w:rPr>
          <w:rFonts w:ascii="Times New Roman" w:hAnsi="Times New Roman" w:cs="Times New Roman" w:eastAsia="Times New Roman"/>
          <w:b w:val="0"/>
          <w:i/>
          <w:color w:val="000000"/>
          <w:sz w:val="24"/>
        </w:rPr>
        <w:t>Shapiro-Wilk recalculado por algoritmo para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0.894283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3.594e-04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0.753027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8.483e-08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0.762165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1.306e-07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0.687492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4.970e-09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OE.1: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5.6 OE.2: efecto del MADRL sobre emisiones de CO2</w:t>
      </w:r>
    </w:p>
    <w:p>
      <w:pPr>
        <w:spacing w:before="0" w:after="0" w:line="480" w:lineRule="auto"/>
        <w:ind w:firstLine="720"/>
        <w:jc w:val="both"/>
      </w:pPr>
      <w:r>
        <w:rPr>
          <w:rFonts w:ascii="Times New Roman" w:hAnsi="Times New Roman" w:cs="Times New Roman" w:eastAsia="Times New Roman"/>
          <w:color w:val="000000"/>
          <w:sz w:val="24"/>
        </w:rPr>
        <w:t>E2 usa pesos [flex=0,15; CO2=0,70; costo=0,15]; por ello la emision distrital anual agregada por episodio es el indicador directo para contrastar el efecto sobre D-VD.2.</w:t>
      </w:r>
    </w:p>
    <w:p>
      <w:pPr>
        <w:pStyle w:val="TablaIndice"/>
        <w:spacing w:before="0" w:after="0" w:line="480" w:lineRule="auto"/>
        <w:jc w:val="left"/>
      </w:pPr>
      <w:r>
        <w:rPr>
          <w:rFonts w:ascii="Times New Roman" w:hAnsi="Times New Roman" w:cs="Times New Roman" w:eastAsia="Times New Roman"/>
          <w:b/>
          <w:i w:val="0"/>
          <w:color w:val="000000"/>
          <w:sz w:val="24"/>
        </w:rPr>
        <w:t>Tabla 5.6</w:t>
        <w:br/>
      </w:r>
      <w:r>
        <w:rPr>
          <w:rFonts w:ascii="Times New Roman" w:hAnsi="Times New Roman" w:cs="Times New Roman" w:eastAsia="Times New Roman"/>
          <w:b w:val="0"/>
          <w:i/>
          <w:color w:val="000000"/>
          <w:sz w:val="24"/>
        </w:rPr>
        <w:t>Estadistica descriptiva por episodio para OE.2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883.00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804.82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287.03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468.01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1,524.40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99.38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873.25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1,139.57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1,078.37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121.10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1,638.74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1,132.19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1,137.40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236.78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1,864.84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5.6a</w:t>
        <w:br/>
      </w:r>
      <w:r>
        <w:rPr>
          <w:rFonts w:ascii="Times New Roman" w:hAnsi="Times New Roman" w:cs="Times New Roman" w:eastAsia="Times New Roman"/>
          <w:b w:val="0"/>
          <w:i/>
          <w:color w:val="000000"/>
          <w:sz w:val="24"/>
        </w:rPr>
        <w:t>KPI anual final del tratamiento asociado 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5,944,515.78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1.0186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6,667,886.46</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7,050,531.35</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1.4000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1.1828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5,759,923.25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5.6</w:t>
        <w:br/>
      </w:r>
      <w:r>
        <w:rPr>
          <w:rFonts w:ascii="Times New Roman" w:hAnsi="Times New Roman" w:cs="Times New Roman" w:eastAsia="Times New Roman"/>
          <w:b w:val="0"/>
          <w:i/>
          <w:color w:val="000000"/>
          <w:sz w:val="24"/>
        </w:rPr>
        <w:t>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emisiones de CO2 en E2 usando el indicador district_emission.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5.6a</w:t>
        <w:br/>
      </w:r>
      <w:r>
        <w:rPr>
          <w:rFonts w:ascii="Times New Roman" w:hAnsi="Times New Roman" w:cs="Times New Roman" w:eastAsia="Times New Roman"/>
          <w:b w:val="0"/>
          <w:i/>
          <w:color w:val="000000"/>
          <w:sz w:val="24"/>
        </w:rPr>
        <w:t>Paneles MADRL del episodio final para E2: valores normalizados y totales reales anotados por algoritmo</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E2. El menor costo acumulado observado corresponde a HAPPO con -0.00, y la menor emision acumulada corresponde a HAPPO con 588.43.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5.6a: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5.6b</w:t>
        <w:br/>
      </w:r>
      <w:r>
        <w:rPr>
          <w:rFonts w:ascii="Times New Roman" w:hAnsi="Times New Roman" w:cs="Times New Roman" w:eastAsia="Times New Roman"/>
          <w:b w:val="0"/>
          <w:i/>
          <w:color w:val="000000"/>
          <w:sz w:val="24"/>
        </w:rPr>
        <w:t>Mann-Whitney U por pares con ajuste Holm para OE.2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0.010259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0.030776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0.164141</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0.328283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5.6c</w:t>
        <w:br/>
      </w:r>
      <w:r>
        <w:rPr>
          <w:rFonts w:ascii="Times New Roman" w:hAnsi="Times New Roman" w:cs="Times New Roman" w:eastAsia="Times New Roman"/>
          <w:b w:val="0"/>
          <w:i/>
          <w:color w:val="000000"/>
          <w:sz w:val="24"/>
        </w:rPr>
        <w:t>Shapiro-Wilk recalculado por algoritmo para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0.933281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0.008155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0.705606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1.045e-08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0.764388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1.453e-07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0.611748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2.922e-10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OE.2: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5.7 OE.3: efecto del MADRL sobre costos energeticos</w:t>
      </w:r>
    </w:p>
    <w:p>
      <w:pPr>
        <w:spacing w:before="0" w:after="0" w:line="480" w:lineRule="auto"/>
        <w:ind w:firstLine="720"/>
        <w:jc w:val="both"/>
      </w:pPr>
      <w:r>
        <w:rPr>
          <w:rFonts w:ascii="Times New Roman" w:hAnsi="Times New Roman" w:cs="Times New Roman" w:eastAsia="Times New Roman"/>
          <w:color w:val="000000"/>
          <w:sz w:val="24"/>
        </w:rPr>
        <w:t>E3 usa pesos [flex=0,25; CO2=0,15; costo=0,60]; por ello el costo distrital anual agregado por episodio es el indicador directo para contrastar el efecto sobre D-VD.3.</w:t>
      </w:r>
    </w:p>
    <w:p>
      <w:pPr>
        <w:pStyle w:val="TablaIndice"/>
        <w:spacing w:before="0" w:after="0" w:line="480" w:lineRule="auto"/>
        <w:jc w:val="left"/>
      </w:pPr>
      <w:r>
        <w:rPr>
          <w:rFonts w:ascii="Times New Roman" w:hAnsi="Times New Roman" w:cs="Times New Roman" w:eastAsia="Times New Roman"/>
          <w:b/>
          <w:i w:val="0"/>
          <w:color w:val="000000"/>
          <w:sz w:val="24"/>
        </w:rPr>
        <w:t>Tabla 5.7</w:t>
        <w:br/>
      </w:r>
      <w:r>
        <w:rPr>
          <w:rFonts w:ascii="Times New Roman" w:hAnsi="Times New Roman" w:cs="Times New Roman" w:eastAsia="Times New Roman"/>
          <w:b w:val="0"/>
          <w:i/>
          <w:color w:val="000000"/>
          <w:sz w:val="24"/>
        </w:rPr>
        <w:t>Estadistica descriptiva por episodio para OE.3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352.57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232.49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381.71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1,415.94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759.29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690.98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303.88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13.44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1,143.61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795.39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211.96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1,138.82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812.16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206.38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1,192.32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5.7a</w:t>
        <w:br/>
      </w:r>
      <w:r>
        <w:rPr>
          <w:rFonts w:ascii="Times New Roman" w:hAnsi="Times New Roman" w:cs="Times New Roman" w:eastAsia="Times New Roman"/>
          <w:b w:val="0"/>
          <w:i/>
          <w:color w:val="000000"/>
          <w:sz w:val="24"/>
        </w:rPr>
        <w:t>KPI anual final del tratamiento asociado 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1.0190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10,564,094.13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1.0864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9,270,045.68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1.4213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1.1532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11,352,967.21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1.0071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11,044,830.51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5.7</w:t>
        <w:br/>
      </w:r>
      <w:r>
        <w:rPr>
          <w:rFonts w:ascii="Times New Roman" w:hAnsi="Times New Roman" w:cs="Times New Roman" w:eastAsia="Times New Roman"/>
          <w:b w:val="0"/>
          <w:i/>
          <w:color w:val="000000"/>
          <w:sz w:val="24"/>
        </w:rPr>
        <w:t>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costos energeticos en E3 usando el indicador district_cost.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5.7a</w:t>
        <w:br/>
      </w:r>
      <w:r>
        <w:rPr>
          <w:rFonts w:ascii="Times New Roman" w:hAnsi="Times New Roman" w:cs="Times New Roman" w:eastAsia="Times New Roman"/>
          <w:b w:val="0"/>
          <w:i/>
          <w:color w:val="000000"/>
          <w:sz w:val="24"/>
        </w:rPr>
        <w:t>Paneles MADRL del episodio final para E3: valores normalizados y totales reales anotados por algoritmo</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E3. El menor costo acumulado observado corresponde a HAPPO con 106.91, y la menor emision acumulada corresponde a HAPPO con 417.32.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5.7a: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5.7b</w:t>
        <w:br/>
      </w:r>
      <w:r>
        <w:rPr>
          <w:rFonts w:ascii="Times New Roman" w:hAnsi="Times New Roman" w:cs="Times New Roman" w:eastAsia="Times New Roman"/>
          <w:b w:val="0"/>
          <w:i/>
          <w:color w:val="000000"/>
          <w:sz w:val="24"/>
        </w:rPr>
        <w:t>Mann-Whitney U por pares con ajuste Holm para OE.3</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0.082459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0.247378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0.577677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0.352749</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5.7c</w:t>
        <w:br/>
      </w:r>
      <w:r>
        <w:rPr>
          <w:rFonts w:ascii="Times New Roman" w:hAnsi="Times New Roman" w:cs="Times New Roman" w:eastAsia="Times New Roman"/>
          <w:b w:val="0"/>
          <w:i/>
          <w:color w:val="000000"/>
          <w:sz w:val="24"/>
        </w:rPr>
        <w:t>Shapiro-Wilk recalculado por algoritmo para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0.857627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2.954e-05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0.649101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1.123e-09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0.689296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5.345e-09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0.792751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5.993e-07</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OE.3: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5.8 Resultados por edificio y equipamiento controlado</w:t>
      </w:r>
    </w:p>
    <w:p>
      <w:pPr>
        <w:spacing w:before="0" w:after="0" w:line="480" w:lineRule="auto"/>
        <w:ind w:firstLine="720"/>
        <w:jc w:val="both"/>
      </w:pPr>
      <w:r>
        <w:rPr>
          <w:rFonts w:ascii="Times New Roman" w:hAnsi="Times New Roman" w:cs="Times New Roman" w:eastAsia="Times New Roman"/>
          <w:color w:val="000000"/>
          <w:sz w:val="24"/>
        </w:rP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pPr>
        <w:pStyle w:val="FiguraIndice"/>
        <w:spacing w:before="0" w:after="0" w:line="480" w:lineRule="auto"/>
        <w:jc w:val="left"/>
      </w:pPr>
      <w:r>
        <w:rPr>
          <w:rFonts w:ascii="Times New Roman" w:hAnsi="Times New Roman" w:cs="Times New Roman" w:eastAsia="Times New Roman"/>
          <w:b/>
          <w:i w:val="0"/>
          <w:color w:val="000000"/>
          <w:sz w:val="24"/>
        </w:rPr>
        <w:t>Figura 5.8</w:t>
        <w:br/>
      </w:r>
      <w:r>
        <w:rPr>
          <w:rFonts w:ascii="Times New Roman" w:hAnsi="Times New Roman" w:cs="Times New Roman" w:eastAsia="Times New Roman"/>
          <w:b w:val="0"/>
          <w:i/>
          <w:color w:val="000000"/>
          <w:sz w:val="24"/>
        </w:rPr>
        <w:t>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dimensiones de accion controlable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dimension de accion controlable de 17 edificios. El mayor espacio de accion observado corresponde a Building_7 con 44 acciones y 327 observaciones. Esto muestra que los agentes no son simetricos: cada edificio aporta distinta capacidad de control sobre almacenamiento, EV u otros actuadores.</w:t>
      </w:r>
    </w:p>
    <w:p/>
    <w:p>
      <w:pPr>
        <w:pStyle w:val="FiguraIndice"/>
        <w:spacing w:before="0" w:after="0" w:line="480" w:lineRule="auto"/>
        <w:jc w:val="left"/>
      </w:pPr>
      <w:r>
        <w:rPr>
          <w:rFonts w:ascii="Times New Roman" w:hAnsi="Times New Roman" w:cs="Times New Roman" w:eastAsia="Times New Roman"/>
          <w:b/>
          <w:i w:val="0"/>
          <w:color w:val="000000"/>
          <w:sz w:val="24"/>
        </w:rPr>
        <w:t>Figura 5.8a</w:t>
        <w:br/>
      </w:r>
      <w:r>
        <w:rPr>
          <w:rFonts w:ascii="Times New Roman" w:hAnsi="Times New Roman" w:cs="Times New Roman" w:eastAsia="Times New Roman"/>
          <w:b w:val="0"/>
          <w:i/>
          <w:color w:val="000000"/>
          <w:sz w:val="24"/>
        </w:rPr>
        <w:t>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heterogeneidad del exito de salida de vehiculos electricos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el exito medio de salida EV por edificio y algoritmo; el mayor promedio por algoritmo es HAPPO con 0.5149. El mapa permite detectar edificios donde las restricciones de carga y disponibilidad EV generan desempenos heterogeneos dentro de la comunidad.</w:t>
      </w:r>
    </w:p>
    <w:p/>
    <w:p>
      <w:pPr>
        <w:pStyle w:val="FiguraIndice"/>
        <w:spacing w:before="0" w:after="0" w:line="480" w:lineRule="auto"/>
        <w:jc w:val="left"/>
      </w:pPr>
      <w:r>
        <w:rPr>
          <w:rFonts w:ascii="Times New Roman" w:hAnsi="Times New Roman" w:cs="Times New Roman" w:eastAsia="Times New Roman"/>
          <w:b/>
          <w:i w:val="0"/>
          <w:color w:val="000000"/>
          <w:sz w:val="24"/>
        </w:rPr>
        <w:t>Figura 5.8b</w:t>
        <w:br/>
      </w:r>
      <w:r>
        <w:rPr>
          <w:rFonts w:ascii="Times New Roman" w:hAnsi="Times New Roman" w:cs="Times New Roman" w:eastAsia="Times New Roman"/>
          <w:b w:val="0"/>
          <w:i/>
          <w:color w:val="000000"/>
          <w:sz w:val="24"/>
        </w:rPr>
        <w:t>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emisiones de CO2 controladas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emisiones controladas por edificio; el menor promedio por algoritmo corresponde a MASAC con 544,391.04 kgCO2. La heterogeneidad visual indica que el efecto carbono del MADRL depende de la demanda, equipamiento y rol operativo de cada edificio.</w:t>
      </w:r>
    </w:p>
    <w:p/>
    <w:p>
      <w:pPr>
        <w:pStyle w:val="FiguraIndice"/>
        <w:spacing w:before="0" w:after="0" w:line="480" w:lineRule="auto"/>
        <w:jc w:val="left"/>
      </w:pPr>
      <w:r>
        <w:rPr>
          <w:rFonts w:ascii="Times New Roman" w:hAnsi="Times New Roman" w:cs="Times New Roman" w:eastAsia="Times New Roman"/>
          <w:b/>
          <w:i w:val="0"/>
          <w:color w:val="000000"/>
          <w:sz w:val="24"/>
        </w:rPr>
        <w:t>Figura 5.8c</w:t>
        <w:br/>
      </w:r>
      <w:r>
        <w:rPr>
          <w:rFonts w:ascii="Times New Roman" w:hAnsi="Times New Roman" w:cs="Times New Roman" w:eastAsia="Times New Roman"/>
          <w:b w:val="0"/>
          <w:i/>
          <w:color w:val="000000"/>
          <w:sz w:val="24"/>
        </w:rPr>
        <w:t>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costo energetico controlado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costos controlados por edificio; el menor promedio por algoritmo corresponde a MASAC con 373,353.77. El mapa muestra que la reduccion de costo no se distribuye de manera uniforme entre agentes y debe interpretarse junto con la senal tarifaria y la flexibilidad disponible.</w:t>
      </w:r>
    </w:p>
    <w:p/>
    <w:p>
      <w:pPr>
        <w:pStyle w:val="FiguraIndice"/>
        <w:spacing w:before="0" w:after="0" w:line="480" w:lineRule="auto"/>
        <w:jc w:val="left"/>
      </w:pPr>
      <w:r>
        <w:rPr>
          <w:rFonts w:ascii="Times New Roman" w:hAnsi="Times New Roman" w:cs="Times New Roman" w:eastAsia="Times New Roman"/>
          <w:b/>
          <w:i w:val="0"/>
          <w:color w:val="000000"/>
          <w:sz w:val="24"/>
        </w:rPr>
        <w:t>Figura 5.8d</w:t>
        <w:br/>
      </w:r>
      <w:r>
        <w:rPr>
          <w:rFonts w:ascii="Times New Roman" w:hAnsi="Times New Roman" w:cs="Times New Roman" w:eastAsia="Times New Roman"/>
          <w:b w:val="0"/>
          <w:i/>
          <w:color w:val="000000"/>
          <w:sz w:val="24"/>
        </w:rPr>
        <w:t>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composicion de equipos controlables identificados en los esquemas de accion.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2628 variables de accion controlable clasificadas por equipo. La clase mas frecuente es EV controlado con 2220 apariciones. La lectura diferencia equipamiento controlado de cargas no controladas, que permanecen como demanda base u observaciones del entorno.</w:t>
      </w:r>
    </w:p>
    <w:p/>
    <w:p>
      <w:pPr>
        <w:pStyle w:val="FiguraIndice"/>
        <w:spacing w:before="0" w:after="0" w:line="480" w:lineRule="auto"/>
        <w:jc w:val="left"/>
      </w:pPr>
      <w:r>
        <w:rPr>
          <w:rFonts w:ascii="Times New Roman" w:hAnsi="Times New Roman" w:cs="Times New Roman" w:eastAsia="Times New Roman"/>
          <w:b/>
          <w:i w:val="0"/>
          <w:color w:val="000000"/>
          <w:sz w:val="24"/>
        </w:rPr>
        <w:t>Figura 5.8e</w:t>
        <w:br/>
        <w:t>Politicas y acciones medias (action_l2 desde trace.csv; EV/BESS desde building_behavior_summary)</w:t>
      </w:r>
      <w:r>
        <w:rPr>
          <w:rFonts w:ascii="Times New Roman" w:hAnsi="Times New Roman" w:cs="Times New Roman" w:eastAsia="Times New Roman"/>
          <w:b w:val="0"/>
          <w:i/>
          <w:color w:val="000000"/>
          <w:sz w:val="24"/>
        </w:rPr>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303520" cy="19678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Panel action_l2 desde trace.csv (full_data); paneles EV/BESS desde building_behavior_summary (ev_charge_total_kwh, battery_throughput_total_kwh). Fuente: elaboración propia a partir de la corrida canónica madrl_v3_20260627_164047.</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Fuentes mixtas auditadas: action_l2 desde full_data/trace.csv (incluye HAPPO ≈ 2,25/2,23/2,22 en E1/E2/E3); EV y BESS desde building_behavior_summary (ev_charge_total_kwh y battery_throughput_total_kwh), no desde columnas muertas ev_charge_kwh/electrical_storage_soc (=0 en trace). Medias orientativas action_l2: HAPPO=2,24, MAAC=0,17, MASAC=0,18, MATD3=2,44. EV total medio: HAPPO=11.748,2 kWh frente a MAAC/MASAC ~650–680 kWh y MATD3 ~6,6–9,6×10³ kWh. Valores panel: tables/fig58e_panel_values.csv.</w:t>
      </w:r>
    </w:p>
    <w:p/>
    <w:p>
      <w:pPr>
        <w:pStyle w:val="TablaIndice"/>
        <w:spacing w:before="0" w:after="0" w:line="480" w:lineRule="auto"/>
        <w:jc w:val="left"/>
      </w:pPr>
      <w:r>
        <w:rPr>
          <w:rFonts w:ascii="Times New Roman" w:hAnsi="Times New Roman" w:cs="Times New Roman" w:eastAsia="Times New Roman"/>
          <w:b/>
          <w:i w:val="0"/>
          <w:color w:val="000000"/>
          <w:sz w:val="24"/>
        </w:rPr>
        <w:t>Tabla 5.11</w:t>
        <w:br/>
      </w:r>
      <w:r>
        <w:rPr>
          <w:rFonts w:ascii="Times New Roman" w:hAnsi="Times New Roman" w:cs="Times New Roman" w:eastAsia="Times New Roman"/>
          <w:b w:val="0"/>
          <w:i/>
          <w:color w:val="000000"/>
          <w:sz w:val="24"/>
        </w:rPr>
        <w:t>Edificios con mayor cantidad de acciones controlables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rol red</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acciones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BESS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kg</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26,387.2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103,100.7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75,168.5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26,332.8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2,250.6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59,447.8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27,951.4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6,891.0</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73,611.6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27,851.8</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23,825.1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2,287.3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58,531.1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19,833.4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22,417.2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58,415.5</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23,399.5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20,586.2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94,355.2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55,761.9</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20,074.6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2,052.1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77,871.3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34,422.5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478,354.6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25,602.8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109,168.3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-2,972.5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126,094.3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26,756.9</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67,668.7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15,684.0</w:t>
            </w:r>
          </w:p>
        </w:tc>
      </w:tr>
      <w:tr>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523.6</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17,457.8</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91,954.9</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38,897.9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5.12</w:t>
        <w:br/>
      </w:r>
      <w:r>
        <w:rPr>
          <w:rFonts w:ascii="Times New Roman" w:hAnsi="Times New Roman" w:cs="Times New Roman" w:eastAsia="Times New Roman"/>
          <w:b w:val="0"/>
          <w:i/>
          <w:color w:val="000000"/>
          <w:sz w:val="24"/>
        </w:rPr>
        <w:t>Equipamiento controlado identificado en los esquemas de accion</w:t>
      </w:r>
    </w:p>
    <w:tbl>
      <w:tblPr>
        <w:tblW w:type="auto" w:w="0"/>
        <w:jc w:val="center"/>
        <w:tblLook w:firstColumn="1" w:firstRow="1" w:lastColumn="0" w:lastRow="0" w:noHBand="0" w:noVBand="1" w:val="04A0"/>
      </w:tblPr>
      <w:tblGrid>
        <w:gridCol w:w="4680"/>
        <w:gridCol w:w="4680"/>
      </w:tblGrid>
      <w:tr>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 de equipo controlado</w:t>
            </w:r>
          </w:p>
        </w:tc>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conteo en 12 tratamientos</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2220</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BESS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r>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carga flexible controlada</w:t>
            </w:r>
          </w:p>
        </w:tc>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spacing w:line="480" w:lineRule="auto" w:before="0" w:after="0"/>
        <w:jc w:val="left"/>
      </w:pPr>
      <w:r>
        <w:rPr>
          <w:rFonts w:ascii="Times New Roman" w:hAnsi="Times New Roman" w:cs="Times New Roman" w:eastAsia="Times New Roman"/>
          <w:color w:val="000000"/>
          <w:sz w:val="24"/>
        </w:rPr>
        <w:t>5.9 Sintesis de contrastacion de OE.1, OE.2 y OE.3</w:t>
      </w:r>
    </w:p>
    <w:p>
      <w:pPr>
        <w:pStyle w:val="TablaIndice"/>
        <w:spacing w:before="0" w:after="0" w:line="480" w:lineRule="auto"/>
        <w:jc w:val="left"/>
      </w:pPr>
      <w:r>
        <w:rPr>
          <w:rFonts w:ascii="Times New Roman" w:hAnsi="Times New Roman" w:cs="Times New Roman" w:eastAsia="Times New Roman"/>
          <w:b/>
          <w:i w:val="0"/>
          <w:color w:val="000000"/>
          <w:sz w:val="24"/>
        </w:rPr>
        <w:t>Tabla 5.13</w:t>
        <w:br/>
      </w:r>
      <w:r>
        <w:rPr>
          <w:rFonts w:ascii="Times New Roman" w:hAnsi="Times New Roman" w:cs="Times New Roman" w:eastAsia="Times New Roman"/>
          <w:b w:val="0"/>
          <w:i/>
          <w:color w:val="000000"/>
          <w:sz w:val="24"/>
        </w:rPr>
        <w:t>Respuesta directa a objetivos especificos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media episodica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muestra completa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anual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Kruskal-Wallis</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 p=1.31e-08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 p=0.0439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 p=0.251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5.9a</w:t>
        <w:br/>
      </w:r>
      <w:r>
        <w:rPr>
          <w:rFonts w:ascii="Times New Roman" w:hAnsi="Times New Roman" w:cs="Times New Roman" w:eastAsia="Times New Roman"/>
          <w:b w:val="0"/>
          <w:i/>
          <w:color w:val="000000"/>
          <w:sz w:val="24"/>
        </w:rPr>
        <w:t>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303520" cy="162893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episodica de los indicadores usados para contrastar OE.1, OE.2 y OE.3.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la dispersion de 597 filas episodicas materializadas. Las cajas permiten comparar mediana, variabilidad y valores extremos entre algoritmos para OE.1, OE.2 y OE.3; la cobertura minima observada por tratamiento es 49 y la maxima es 50 episodios. La diferencia de cobertura explica por que HAPPO se mantiene como evidencia descriptiva cuando no alcanza 50 observaciones completas en el CSV materializado.</w:t>
      </w:r>
    </w:p>
    <w:p/>
    <w:p>
      <w:pPr>
        <w:pStyle w:val="FiguraIndice"/>
        <w:spacing w:before="0" w:after="0" w:line="480" w:lineRule="auto"/>
        <w:jc w:val="left"/>
      </w:pPr>
      <w:r>
        <w:rPr>
          <w:rFonts w:ascii="Times New Roman" w:hAnsi="Times New Roman" w:cs="Times New Roman" w:eastAsia="Times New Roman"/>
          <w:b/>
          <w:i w:val="0"/>
          <w:color w:val="000000"/>
          <w:sz w:val="24"/>
        </w:rPr>
        <w:t>Figura 5.9b</w:t>
        <w:br/>
      </w:r>
      <w:r>
        <w:rPr>
          <w:rFonts w:ascii="Times New Roman" w:hAnsi="Times New Roman" w:cs="Times New Roman" w:eastAsia="Times New Roman"/>
          <w:b w:val="0"/>
          <w:i/>
          <w:color w:val="000000"/>
          <w:sz w:val="24"/>
        </w:rPr>
        <w:t>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magnitud del efecto inferencial por objetivo especifico mediante epsilon cuadrado.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epsilon2 de Kruskal-Wallis por objetivo: OE.1=0.2334; OE.2=0.0289; OE.3=0.0052. El mayor tamano de efecto corresponde a OE.1, lo que confirma que la fuerza del efecto MADRL no es homogenea entre flexibilidad, emisiones y costos. La lectura complementa los p-valores porque cuantifica magnitud y no solo significancia.</w:t>
      </w:r>
    </w:p>
    <w:p/>
    <w:p>
      <w:pPr>
        <w:pStyle w:val="FiguraIndice"/>
        <w:spacing w:before="0" w:after="0" w:line="480" w:lineRule="auto"/>
        <w:jc w:val="left"/>
      </w:pPr>
      <w:r>
        <w:rPr>
          <w:rFonts w:ascii="Times New Roman" w:hAnsi="Times New Roman" w:cs="Times New Roman" w:eastAsia="Times New Roman"/>
          <w:b/>
          <w:i w:val="0"/>
          <w:color w:val="000000"/>
          <w:sz w:val="24"/>
        </w:rPr>
        <w:t>Figura 5.9c</w:t>
        <w:br/>
      </w:r>
      <w:r>
        <w:rPr>
          <w:rFonts w:ascii="Times New Roman" w:hAnsi="Times New Roman" w:cs="Times New Roman" w:eastAsia="Times New Roman"/>
          <w:b w:val="0"/>
          <w:i/>
          <w:color w:val="000000"/>
          <w:sz w:val="24"/>
        </w:rPr>
        <w:t>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303520" cy="182375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diferencias por pares entre algoritmos despues del ajuste Holm.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transforma los p-valores ajustados Holm en intensidad visual para ubicar que pares de algoritmos explican las diferencias globales. Los pares significativos por objetivo son OE.1: 3, OE.2: 1, OE.3: 0. Esta representacion evita concluir dominancia general cuando las diferencias solo aparecen en objetivos o pares especificos.</w:t>
      </w:r>
    </w:p>
    <w:p/>
    <w:p>
      <w:pPr>
        <w:spacing w:before="0" w:after="0" w:line="480" w:lineRule="auto"/>
        <w:ind w:firstLine="720"/>
        <w:jc w:val="both"/>
      </w:pPr>
      <w:r>
        <w:rPr>
          <w:rFonts w:ascii="Times New Roman" w:hAnsi="Times New Roman" w:cs="Times New Roman" w:eastAsia="Times New Roman"/>
          <w:color w:val="000000"/>
          <w:sz w:val="24"/>
        </w:rPr>
        <w:t>La interpretacion de tesis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before="0" w:after="0" w:line="480" w:lineRule="auto"/>
        <w:ind w:firstLine="720"/>
        <w:jc w:val="both"/>
      </w:pPr>
      <w:r>
        <w:rPr>
          <w:rFonts w:ascii="Times New Roman" w:hAnsi="Times New Roman" w:cs="Times New Roman" w:eastAsia="Times New Roman"/>
          <w:color w:val="000000"/>
          <w:sz w:val="24"/>
        </w:rP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spacing w:line="480" w:lineRule="auto" w:before="0" w:after="0"/>
        <w:jc w:val="left"/>
      </w:pPr>
      <w:r>
        <w:rPr>
          <w:rFonts w:ascii="Times New Roman" w:hAnsi="Times New Roman" w:cs="Times New Roman" w:eastAsia="Times New Roman"/>
          <w:color w:val="000000"/>
          <w:sz w:val="24"/>
        </w:rPr>
        <w:t>5.10 Discusion triangulada de resultados, baseline y trabajos relacionados</w:t>
      </w:r>
    </w:p>
    <w:p>
      <w:pPr>
        <w:spacing w:before="0" w:after="0" w:line="480" w:lineRule="auto"/>
        <w:ind w:firstLine="720"/>
        <w:jc w:val="both"/>
      </w:pPr>
      <w:r>
        <w:rPr>
          <w:rFonts w:ascii="Times New Roman" w:hAnsi="Times New Roman" w:cs="Times New Roman" w:eastAsia="Times New Roman"/>
          <w:color w:val="000000"/>
          <w:sz w:val="24"/>
        </w:rP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5.14</w:t>
        <w:br/>
      </w:r>
      <w:r>
        <w:rPr>
          <w:rFonts w:ascii="Times New Roman" w:hAnsi="Times New Roman" w:cs="Times New Roman" w:eastAsia="Times New Roman"/>
          <w:b w:val="0"/>
          <w:i/>
          <w:color w:val="000000"/>
          <w:sz w:val="24"/>
        </w:rPr>
        <w:t>Discusion sintetica por objetivo, efecto y algoritmo dominante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Prueba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Tamano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alto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bajo</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efecto muy bajo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5.15</w:t>
        <w:br/>
      </w:r>
      <w:r>
        <w:rPr>
          <w:rFonts w:ascii="Times New Roman" w:hAnsi="Times New Roman" w:cs="Times New Roman" w:eastAsia="Times New Roman"/>
          <w:b w:val="0"/>
          <w:i/>
          <w:color w:val="000000"/>
          <w:sz w:val="24"/>
        </w:rPr>
        <w:t>Mejor metodo por eje segun ranking CityLearn v2 evaluate_v2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 normalizado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5.10</w:t>
        <w:br/>
      </w:r>
      <w:r>
        <w:rPr>
          <w:rFonts w:ascii="Times New Roman" w:hAnsi="Times New Roman" w:cs="Times New Roman" w:eastAsia="Times New Roman"/>
          <w:b w:val="0"/>
          <w:i/>
          <w:color w:val="000000"/>
          <w:sz w:val="24"/>
        </w:rPr>
        <w:t>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303520" cy="3409406"/>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relacion multiobjetivo entre costo energetico, emisiones de CO2 y autoconsumo fotovoltaico.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Conteo de archivos listados en checkpoint_manifest.json de la corrida canónica madrl_v3_20260627_164047 (espejo outputs/_drive_madrl/full_data). HAPPO-E1/E2/E3 = 0 (manifiesto ausente); MAAC = 52 por escenario; MASAC = 12; MATD3 = 34. Corrige el falso cero previo de MASAC/MATD3 por filtrar solo rutas episode_(\d+).</w:t>
      </w:r>
    </w:p>
    <w:p/>
    <w:p>
      <w:pPr>
        <w:spacing w:before="0" w:after="0" w:line="480" w:lineRule="auto"/>
        <w:ind w:firstLine="720"/>
        <w:jc w:val="both"/>
      </w:pPr>
      <w:r>
        <w:rPr>
          <w:rFonts w:ascii="Times New Roman" w:hAnsi="Times New Roman" w:cs="Times New Roman" w:eastAsia="Times New Roman"/>
          <w:color w:val="000000"/>
          <w:sz w:val="24"/>
        </w:rP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before="0" w:after="0" w:line="480" w:lineRule="auto"/>
        <w:ind w:firstLine="720"/>
        <w:jc w:val="both"/>
      </w:pPr>
      <w:r>
        <w:rPr>
          <w:rFonts w:ascii="Times New Roman" w:hAnsi="Times New Roman" w:cs="Times New Roman" w:eastAsia="Times New Roman"/>
          <w:color w:val="000000"/>
          <w:sz w:val="24"/>
        </w:rP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before="0" w:after="0" w:line="480" w:lineRule="auto"/>
        <w:ind w:firstLine="720"/>
        <w:jc w:val="both"/>
      </w:pPr>
      <w:r>
        <w:rPr>
          <w:rFonts w:ascii="Times New Roman" w:hAnsi="Times New Roman" w:cs="Times New Roman" w:eastAsia="Times New Roman"/>
          <w:color w:val="000000"/>
          <w:sz w:val="24"/>
        </w:rP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de tesis: el aporte no consiste en afirmar superioridad universal, sino en identificar donde el MADRL produce efecto, con que magnitud y bajo que escenario de recompensa.</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6. Conclusiones preliminares</w:t>
      </w:r>
    </w:p>
    <w:p>
      <w:pPr>
        <w:pStyle w:val="Heading2"/>
        <w:spacing w:line="480" w:lineRule="auto" w:before="0" w:after="0"/>
        <w:jc w:val="left"/>
      </w:pPr>
      <w:r>
        <w:rPr>
          <w:rFonts w:ascii="Times New Roman" w:hAnsi="Times New Roman" w:cs="Times New Roman" w:eastAsia="Times New Roman"/>
          <w:color w:val="000000"/>
          <w:sz w:val="24"/>
        </w:rPr>
        <w:t>6.1 Principales hallazgos</w:t>
      </w:r>
    </w:p>
    <w:p>
      <w:pPr>
        <w:spacing w:line="480" w:lineRule="auto" w:before="0" w:after="0"/>
        <w:ind w:firstLine="720"/>
        <w:jc w:val="both"/>
      </w:pPr>
      <w:r>
        <w:rPr>
          <w:rFonts w:ascii="Times New Roman" w:hAnsi="Times New Roman" w:cs="Times New Roman" w:eastAsia="Times New Roman"/>
          <w:b w:val="0"/>
          <w:i w:val="0"/>
          <w:color w:val="000000"/>
          <w:sz w:val="24"/>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spacing w:line="480" w:lineRule="auto" w:before="0" w:after="0"/>
        <w:ind w:firstLine="720"/>
        <w:jc w:val="both"/>
      </w:pPr>
      <w:r>
        <w:rPr>
          <w:rFonts w:ascii="Times New Roman" w:hAnsi="Times New Roman" w:cs="Times New Roman" w:eastAsia="Times New Roman"/>
          <w:b w:val="0"/>
          <w:i w:val="0"/>
          <w:color w:val="000000"/>
          <w:sz w:val="24"/>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spacing w:line="480" w:lineRule="auto" w:before="0" w:after="0"/>
        <w:ind w:firstLine="720"/>
        <w:jc w:val="both"/>
      </w:pPr>
      <w:r>
        <w:rPr>
          <w:rFonts w:ascii="Times New Roman" w:hAnsi="Times New Roman" w:cs="Times New Roman" w:eastAsia="Times New Roman"/>
          <w:b w:val="0"/>
          <w:i w:val="0"/>
          <w:color w:val="000000"/>
          <w:sz w:val="24"/>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spacing w:line="480" w:lineRule="auto" w:before="0" w:after="0"/>
        <w:ind w:firstLine="720"/>
        <w:jc w:val="both"/>
      </w:pPr>
      <w:r>
        <w:rPr>
          <w:rFonts w:ascii="Times New Roman" w:hAnsi="Times New Roman" w:cs="Times New Roman" w:eastAsia="Times New Roman"/>
          <w:b w:val="0"/>
          <w:i w:val="0"/>
          <w:color w:val="000000"/>
          <w:sz w:val="24"/>
        </w:rPr>
        <w:t>OE.2 (emisiones CO2, D-VD.2, escenario E2): el algoritmo de mayor efecto es MATD3 (delta CO2 = 23 070 kg; score OE.2 = 1,0000). La reduccion distrital es la menor entre los tres MADRL auditados (MASAC: 77 649 kg; MAAC: 70 654 kg).</w:t>
      </w:r>
    </w:p>
    <w:p>
      <w:pPr>
        <w:spacing w:line="480" w:lineRule="auto" w:before="0" w:after="0"/>
        <w:ind w:firstLine="720"/>
        <w:jc w:val="both"/>
      </w:pPr>
      <w:r>
        <w:rPr>
          <w:rFonts w:ascii="Times New Roman" w:hAnsi="Times New Roman" w:cs="Times New Roman" w:eastAsia="Times New Roman"/>
          <w:b w:val="0"/>
          <w:i w:val="0"/>
          <w:color w:val="000000"/>
          <w:sz w:val="24"/>
        </w:rPr>
        <w:t>OE.3 (costos energeticos, D-VD.3, escenario E3): el algoritmo de mayor efecto es MAAC (delta costo = 9 515 EUR; score OE.3 = 1,0000), frente a MATD3 (44 399 EUR) y MASAC (19 793 EUR). Esta conclusion es independiente del score global y confirma trade-offs entre objetivos.</w:t>
      </w:r>
    </w:p>
    <w:p>
      <w:pPr>
        <w:spacing w:line="480" w:lineRule="auto" w:before="0" w:after="0"/>
        <w:ind w:firstLine="720"/>
        <w:jc w:val="both"/>
      </w:pPr>
      <w:r>
        <w:rPr>
          <w:rFonts w:ascii="Times New Roman" w:hAnsi="Times New Roman" w:cs="Times New Roman" w:eastAsia="Times New Roman"/>
          <w:b w:val="0"/>
          <w:i w:val="0"/>
          <w:color w:val="000000"/>
          <w:sz w:val="24"/>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spacing w:line="480" w:lineRule="auto" w:before="0" w:after="0"/>
        <w:ind w:firstLine="720"/>
        <w:jc w:val="both"/>
      </w:pPr>
      <w:r>
        <w:rPr>
          <w:rFonts w:ascii="Times New Roman" w:hAnsi="Times New Roman" w:cs="Times New Roman" w:eastAsia="Times New Roman"/>
          <w:b w:val="0"/>
          <w:i w:val="0"/>
          <w:color w:val="000000"/>
          <w:sz w:val="24"/>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spacing w:line="480" w:lineRule="auto" w:before="0" w:after="0"/>
        <w:jc w:val="left"/>
      </w:pPr>
      <w:r>
        <w:rPr>
          <w:rFonts w:ascii="Times New Roman" w:hAnsi="Times New Roman" w:cs="Times New Roman" w:eastAsia="Times New Roman"/>
          <w:color w:val="000000"/>
          <w:sz w:val="24"/>
        </w:rPr>
        <w:t>6.2 Limitaciones encontradas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pendiente</w:t>
      </w:r>
    </w:p>
    <w:p>
      <w:pPr>
        <w:spacing w:after="120" w:line="276" w:lineRule="auto"/>
        <w:jc w:val="both"/>
      </w:pPr>
      <w:r>
        <w:rPr>
          <w:rFonts w:ascii="Times New Roman" w:hAnsi="Times New Roman" w:cs="Times New Roman"/>
          <w:b w:val="0"/>
          <w:i w:val="0"/>
          <w:sz w:val="22"/>
        </w:rPr>
        <w:t>El trabajo pendiente se declara con honestidad metodologica respecto de la corrida canonica madrl_v3_20260627_164047 (factorial 4×3: HAPPO, MAAC, MASAC y MATD3 × E1–E3). No se imputan episodios ni KPIs inexistentes; lo que sigue son huecos reales del pipeline y del manuscrito que deben cerrarse antes de la version de sustentacion.</w:t>
      </w:r>
    </w:p>
    <w:p>
      <w:pPr>
        <w:spacing w:after="120" w:line="276" w:lineRule="auto"/>
        <w:jc w:val="both"/>
      </w:pPr>
      <w:r>
        <w:rPr>
          <w:rFonts w:ascii="Times New Roman" w:hAnsi="Times New Roman" w:cs="Times New Roman"/>
          <w:b w:val="0"/>
          <w:i w:val="0"/>
          <w:sz w:val="22"/>
        </w:rPr>
        <w:t>Pendientes de evidencia empirica (bloqueantes Cap. 5 / Anexo A): (1) homogeneizar HAPPO a evaluate_v2/core_kpis y artefactos building_* comparables con MAAC/MASAC/MATD3 (hoy HAPPO aporta trazas y series distritales —49 episodios reales por escenario— pero queda incompleto en KPIs de edificio cuando faltan CSV locales); (2) cerrar checkpoint_manifest.json de HAPPO en la corrida canonica (conteo = 0 en Figura 5.1 / Anexo A.4 frente a MAAC 52, MASAC 12 y MATD3 34 archivos listados); (3) mantener la Figura 5.8e con fuentes mixtas auditadas (action_l2 desde full_data/trace.csv; EV/BESS desde building_behavior_summary), sin reutilizar columnas muertas ev_charge_kwh / electrical_storage_soc (=0 en trace.csv); (4) auditar celdas cero en Anexo A.4 y demas tablas/figuras para distinguir cero legitimo vs fallo de lectura.</w:t>
      </w:r>
    </w:p>
    <w:p>
      <w:pPr>
        <w:spacing w:after="120" w:line="276" w:lineRule="auto"/>
        <w:jc w:val="both"/>
      </w:pPr>
      <w:r>
        <w:rPr>
          <w:rFonts w:ascii="Times New Roman" w:hAnsi="Times New Roman" w:cs="Times New Roman"/>
          <w:b w:val="0"/>
          <w:i w:val="0"/>
          <w:sz w:val="22"/>
        </w:rPr>
        <w:t>Pendientes de analisis y robustez (no bloquean la lectura descriptiva 50 ep, pero si afirmaciones de generalizacion): corrida multi-semilla (≥3, ideal ≥5) con post-hoc alineado a la Tabla 3.4; frontera de Pareto por eje OE.1–OE.3 frente a baseline CityLearn/RBC; Optuna (TPE) por backend solo si se declara optimizacion hiperrametricas; contraste SB3 (PPO/SAC/A2C) bajo el mismo schema de Iquitos como extension opcional.</w:t>
      </w:r>
    </w:p>
    <w:p>
      <w:pPr>
        <w:spacing w:after="120" w:line="276" w:lineRule="auto"/>
        <w:jc w:val="both"/>
      </w:pPr>
      <w:r>
        <w:rPr>
          <w:rFonts w:ascii="Times New Roman" w:hAnsi="Times New Roman" w:cs="Times New Roman"/>
          <w:b w:val="0"/>
          <w:i w:val="0"/>
          <w:sz w:val="22"/>
        </w:rPr>
        <w:t>Pendientes editoriales e institucionales: pasada ortografica RAE (tildes, tipografia, concordancia) en Cap. 1–6; verificar citas marcadas [PV] y actualizar indices Word (F9); completar metadatos de asesor / [por definir] unicamente con dato real del programa (no inventar nombres); sincronizar ABRIR_ESTE y FINAL_COMPLETA sin regenerar masivamente el cuerpo; PDF final y paquete de reproducibilidad (scripts + CSV + manifiestos).</w:t>
      </w:r>
    </w:p>
    <w:p>
      <w:pPr>
        <w:spacing w:after="120" w:line="276" w:lineRule="auto"/>
        <w:jc w:val="both"/>
      </w:pPr>
      <w:r>
        <w:rPr>
          <w:rFonts w:ascii="Times New Roman" w:hAnsi="Times New Roman" w:cs="Times New Roman"/>
          <w:b w:val="0"/>
          <w:i/>
          <w:sz w:val="20"/>
        </w:rPr>
        <w:t>Estado de cierre documental (15 de julio de 2026). (3) Figura 5.8e cerrada con fuentes mixtas auditadas; (4) ceros de Anexo A.4 auditados (HAPPO = 0 legitimo por manifiesto ausente, sin inventar checkpoints). (1)–(2) quedan declarados sin inventar CSV/KPIs/manifiestos inexistentes: HAPPO no aporta building_behavior_summary/core_kpis ni archivos .pt reales en la corrida canonica. Multi-semilla, Optuna y SB3 quedan como trabajo futuro (H2/H5). F9/PDF/asesor corresponden al hito H7 institucional.</w:t>
      </w:r>
    </w:p>
    <w:p>
      <w:pPr>
        <w:pStyle w:val="Heading2"/>
      </w:pPr>
      <w:r>
        <w:t>6.4 Plan para culminar la tesis</w:t>
      </w:r>
    </w:p>
    <w:p>
      <w:r>
        <w:t>El plan de culminación fue ejecutado diferenciando los hitos indispensables para cerrar el manuscrito de las ampliaciones experimentales que corresponden a trabajo futuro. La implementación se realizó sobre la corrida canónica madrl_v3_20260627_164047, sin inventar episodios, semillas, resultados ni artefactos no disponibles. El estado consolidado al 15 de julio de 2026 se presenta en la Tabla 6.1.</w:t>
      </w:r>
    </w:p>
    <w:p>
      <w:r>
        <w:rPr>
          <w:b/>
          <w:color w:val="555555"/>
          <w:sz w:val="19"/>
        </w:rPr>
        <w:t>Tabla 6.1. Ejecución e implementación del plan para culminar la 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1814"/>
            <w:shd w:fill="1F4E79" w:val="clear"/>
          </w:tcPr>
          <w:p>
            <w:r>
              <w:rPr>
                <w:rFonts w:ascii="Times New Roman" w:hAnsi="Times New Roman"/>
                <w:b/>
                <w:color w:val="FFFFFF"/>
                <w:sz w:val="16"/>
              </w:rPr>
              <w:t>Hito</w:t>
            </w:r>
          </w:p>
        </w:tc>
        <w:tc>
          <w:tcPr>
            <w:tcW w:type="dxa" w:w="4252"/>
            <w:shd w:fill="1F4E79" w:val="clear"/>
          </w:tcPr>
          <w:p>
            <w:r>
              <w:rPr>
                <w:rFonts w:ascii="Times New Roman" w:hAnsi="Times New Roman"/>
                <w:b/>
                <w:color w:val="FFFFFF"/>
                <w:sz w:val="16"/>
              </w:rPr>
              <w:t>Implementación realizada</w:t>
            </w:r>
          </w:p>
        </w:tc>
        <w:tc>
          <w:tcPr>
            <w:tcW w:type="dxa" w:w="2835"/>
            <w:shd w:fill="1F4E79" w:val="clear"/>
          </w:tcPr>
          <w:p>
            <w:r>
              <w:rPr>
                <w:rFonts w:ascii="Times New Roman" w:hAnsi="Times New Roman"/>
                <w:b/>
                <w:color w:val="FFFFFF"/>
                <w:sz w:val="16"/>
              </w:rPr>
              <w:t>Estado y evidencia de cierre</w:t>
            </w:r>
          </w:p>
        </w:tc>
      </w:tr>
      <w:tr>
        <w:tc>
          <w:tcPr>
            <w:tcW w:type="dxa" w:w="1814"/>
          </w:tcPr>
          <w:p>
            <w:r>
              <w:rPr>
                <w:rFonts w:ascii="Times New Roman" w:hAnsi="Times New Roman"/>
                <w:b w:val="0"/>
                <w:sz w:val="16"/>
              </w:rPr>
              <w:t>H1. Cobertura HAPPO</w:t>
            </w:r>
          </w:p>
        </w:tc>
        <w:tc>
          <w:tcPr>
            <w:tcW w:type="dxa" w:w="4252"/>
          </w:tcPr>
          <w:p>
            <w:r>
              <w:rPr>
                <w:rFonts w:ascii="Times New Roman" w:hAnsi="Times New Roman"/>
                <w:b w:val="0"/>
                <w:sz w:val="16"/>
              </w:rPr>
              <w:t>Se adoptó como corpus definitivo la cobertura materializada de 49 episodios por escenario para HAPPO. No se imputó el episodio ausente y se sincronizó esta condición en metodología, resultados, discusión, conclusiones y limitaciones. MAAC, MASAC y MATD3 conservan 50 episodios por escenario (597 filas episódicas en total).</w:t>
            </w:r>
          </w:p>
        </w:tc>
        <w:tc>
          <w:tcPr>
            <w:tcW w:type="dxa" w:w="2835"/>
          </w:tcPr>
          <w:p>
            <w:r>
              <w:rPr>
                <w:rFonts w:ascii="Times New Roman" w:hAnsi="Times New Roman"/>
                <w:b w:val="0"/>
                <w:sz w:val="16"/>
              </w:rPr>
              <w:t>Ejecutado. Evidencia: gdrive_episode_kpis_used_for_statistics.csv (597 filas; HAPPO n=49; MAAC/MASAC/MATD3 n=50).</w:t>
            </w:r>
          </w:p>
        </w:tc>
      </w:tr>
      <w:tr>
        <w:tc>
          <w:tcPr>
            <w:tcW w:type="dxa" w:w="1814"/>
          </w:tcPr>
          <w:p>
            <w:r>
              <w:rPr>
                <w:rFonts w:ascii="Times New Roman" w:hAnsi="Times New Roman"/>
                <w:b w:val="0"/>
                <w:sz w:val="16"/>
              </w:rPr>
              <w:t>H2. Robustez multi-semilla</w:t>
            </w:r>
          </w:p>
        </w:tc>
        <w:tc>
          <w:tcPr>
            <w:tcW w:type="dxa" w:w="4252"/>
          </w:tcPr>
          <w:p>
            <w:r>
              <w:rPr>
                <w:rFonts w:ascii="Times New Roman" w:hAnsi="Times New Roman"/>
                <w:b w:val="0"/>
                <w:sz w:val="16"/>
              </w:rPr>
              <w:t>La inferencia se delimitó a una sola semilla de la corrida canónica. No se afirma generalización universal; la validación multi-semilla queda como trabajo futuro.</w:t>
            </w:r>
          </w:p>
        </w:tc>
        <w:tc>
          <w:tcPr>
            <w:tcW w:type="dxa" w:w="2835"/>
          </w:tcPr>
          <w:p>
            <w:r>
              <w:rPr>
                <w:rFonts w:ascii="Times New Roman" w:hAnsi="Times New Roman"/>
                <w:b w:val="0"/>
                <w:sz w:val="16"/>
              </w:rPr>
              <w:t>Implementado como delimitación metodológica. No ejecutado experimentalmente; no bloquea el cierre del manuscrito.</w:t>
            </w:r>
          </w:p>
        </w:tc>
      </w:tr>
      <w:tr>
        <w:tc>
          <w:tcPr>
            <w:tcW w:type="dxa" w:w="1814"/>
          </w:tcPr>
          <w:p>
            <w:r>
              <w:rPr>
                <w:rFonts w:ascii="Times New Roman" w:hAnsi="Times New Roman"/>
                <w:b w:val="0"/>
                <w:sz w:val="16"/>
              </w:rPr>
              <w:t>H3. Inferencia estadística</w:t>
            </w:r>
          </w:p>
        </w:tc>
        <w:tc>
          <w:tcPr>
            <w:tcW w:type="dxa" w:w="4252"/>
          </w:tcPr>
          <w:p>
            <w:r>
              <w:rPr>
                <w:rFonts w:ascii="Times New Roman" w:hAnsi="Times New Roman"/>
                <w:b w:val="0"/>
                <w:sz w:val="16"/>
              </w:rPr>
              <w:t>Se consolidaron Shapiro–Wilk, Kruskal–Wallis, Mann–Whitney con Holm y tamaños de efecto; Capítulos 5 y 6 sincronizados.</w:t>
            </w:r>
          </w:p>
        </w:tc>
        <w:tc>
          <w:tcPr>
            <w:tcW w:type="dxa" w:w="2835"/>
          </w:tcPr>
          <w:p>
            <w:r>
              <w:rPr>
                <w:rFonts w:ascii="Times New Roman" w:hAnsi="Times New Roman"/>
                <w:b w:val="0"/>
                <w:sz w:val="16"/>
              </w:rPr>
              <w:t>Ejecutado. OE.1: p = 1,305×10⁻⁸; OE.2: p = 0,043866; OE.3: p = 0,251421 (gdrive_objective_aligned_statistics.csv).</w:t>
            </w:r>
          </w:p>
        </w:tc>
      </w:tr>
      <w:tr>
        <w:tc>
          <w:tcPr>
            <w:tcW w:type="dxa" w:w="1814"/>
          </w:tcPr>
          <w:p>
            <w:r>
              <w:rPr>
                <w:rFonts w:ascii="Times New Roman" w:hAnsi="Times New Roman"/>
                <w:b w:val="0"/>
                <w:sz w:val="16"/>
              </w:rPr>
              <w:t>H4. Pareto y baseline</w:t>
            </w:r>
          </w:p>
        </w:tc>
        <w:tc>
          <w:tcPr>
            <w:tcW w:type="dxa" w:w="4252"/>
          </w:tcPr>
          <w:p>
            <w:r>
              <w:rPr>
                <w:rFonts w:ascii="Times New Roman" w:hAnsi="Times New Roman"/>
                <w:b w:val="0"/>
                <w:sz w:val="16"/>
              </w:rPr>
              <w:t>Se consolidó la lectura multiobjetivo sin ganador universal, con contraste CityLearn v2/RBC/baseline. La discusión diferencia medias episódicas, muestra inferencial completa y KPI anual final.</w:t>
            </w:r>
          </w:p>
        </w:tc>
        <w:tc>
          <w:tcPr>
            <w:tcW w:type="dxa" w:w="2835"/>
          </w:tcPr>
          <w:p>
            <w:r>
              <w:rPr>
                <w:rFonts w:ascii="Times New Roman" w:hAnsi="Times New Roman"/>
                <w:b w:val="0"/>
                <w:sz w:val="16"/>
              </w:rPr>
              <w:t>Ejecutado en Cap. 5. Sensibilidad de pesos como trabajo futuro.</w:t>
            </w:r>
          </w:p>
        </w:tc>
      </w:tr>
      <w:tr>
        <w:tc>
          <w:tcPr>
            <w:tcW w:type="dxa" w:w="1814"/>
          </w:tcPr>
          <w:p>
            <w:r>
              <w:rPr>
                <w:rFonts w:ascii="Times New Roman" w:hAnsi="Times New Roman"/>
                <w:b w:val="0"/>
                <w:sz w:val="16"/>
              </w:rPr>
              <w:t>H5. HPO y algoritmos adicionales</w:t>
            </w:r>
          </w:p>
        </w:tc>
        <w:tc>
          <w:tcPr>
            <w:tcW w:type="dxa" w:w="4252"/>
          </w:tcPr>
          <w:p>
            <w:r>
              <w:rPr>
                <w:rFonts w:ascii="Times New Roman" w:hAnsi="Times New Roman"/>
                <w:b w:val="0"/>
                <w:sz w:val="16"/>
              </w:rPr>
              <w:t>Optuna y contrastes PPO/SAC/A2C no forman parte de la evidencia canónica; se evita sesgo retrospectivo.</w:t>
            </w:r>
          </w:p>
        </w:tc>
        <w:tc>
          <w:tcPr>
            <w:tcW w:type="dxa" w:w="2835"/>
          </w:tcPr>
          <w:p>
            <w:r>
              <w:rPr>
                <w:rFonts w:ascii="Times New Roman" w:hAnsi="Times New Roman"/>
                <w:b w:val="0"/>
                <w:sz w:val="16"/>
              </w:rPr>
              <w:t>Delimitado → trabajo futuro. No requerido para los objetivos actuales.</w:t>
            </w:r>
          </w:p>
        </w:tc>
      </w:tr>
      <w:tr>
        <w:tc>
          <w:tcPr>
            <w:tcW w:type="dxa" w:w="1814"/>
          </w:tcPr>
          <w:p>
            <w:r>
              <w:rPr>
                <w:rFonts w:ascii="Times New Roman" w:hAnsi="Times New Roman"/>
                <w:b w:val="0"/>
                <w:sz w:val="16"/>
              </w:rPr>
              <w:t>H6. Cierre documental</w:t>
            </w:r>
          </w:p>
        </w:tc>
        <w:tc>
          <w:tcPr>
            <w:tcW w:type="dxa" w:w="4252"/>
          </w:tcPr>
          <w:p>
            <w:r>
              <w:rPr>
                <w:rFonts w:ascii="Times New Roman" w:hAnsi="Times New Roman"/>
                <w:b w:val="0"/>
                <w:sz w:val="16"/>
              </w:rPr>
              <w:t>Se reforzaron Cap. 2, 4, 5 y 6; discusión 5.10; referencias depuradas; tablas APA 7; campos e índices Word al abrir.</w:t>
            </w:r>
          </w:p>
        </w:tc>
        <w:tc>
          <w:tcPr>
            <w:tcW w:type="dxa" w:w="2835"/>
          </w:tcPr>
          <w:p>
            <w:r>
              <w:rPr>
                <w:rFonts w:ascii="Times New Roman" w:hAnsi="Times New Roman"/>
                <w:b w:val="0"/>
                <w:sz w:val="16"/>
              </w:rPr>
              <w:t>Ejecutado.</w:t>
            </w:r>
          </w:p>
        </w:tc>
      </w:tr>
      <w:tr>
        <w:tc>
          <w:tcPr>
            <w:tcW w:type="dxa" w:w="1814"/>
          </w:tcPr>
          <w:p>
            <w:r>
              <w:rPr>
                <w:rFonts w:ascii="Times New Roman" w:hAnsi="Times New Roman"/>
                <w:b w:val="0"/>
                <w:sz w:val="16"/>
              </w:rPr>
              <w:t>H7. Entrega y sustentación</w:t>
            </w:r>
          </w:p>
        </w:tc>
        <w:tc>
          <w:tcPr>
            <w:tcW w:type="dxa" w:w="4252"/>
          </w:tcPr>
          <w:p>
            <w:r>
              <w:rPr>
                <w:rFonts w:ascii="Times New Roman" w:hAnsi="Times New Roman"/>
                <w:b w:val="0"/>
                <w:sz w:val="16"/>
              </w:rPr>
              <w:t>Secuencia final: índices F9, revisión visual PDF, validación del asesor, registro institucional y preparación de defensa.</w:t>
            </w:r>
          </w:p>
        </w:tc>
        <w:tc>
          <w:tcPr>
            <w:tcW w:type="dxa" w:w="2835"/>
          </w:tcPr>
          <w:p>
            <w:r>
              <w:rPr>
                <w:rFonts w:ascii="Times New Roman" w:hAnsi="Times New Roman"/>
                <w:b w:val="0"/>
                <w:sz w:val="16"/>
              </w:rPr>
              <w:t>Pendiente de gestión institucional.</w:t>
            </w:r>
          </w:p>
        </w:tc>
      </w:tr>
    </w:tbl>
    <w:p>
      <w:r>
        <w:rPr>
          <w:i/>
          <w:sz w:val="18"/>
        </w:rPr>
        <w:t>Nota. Estado al 15 de julio de 2026. «Ejecutado» abarca cierre documental, analítico o de delimitación metodológica sobre madrl_v3_20260627_164047. Multi-semilla, Optuna y algoritmos adicionales quedan como trabajo futuro y no sustituyen la evidencia canónica.</w:t>
      </w:r>
    </w:p>
    <w:p>
      <w:r>
        <w:t>Con H1, H3, H4 y H6 ejecutados, y con H2 y H5 delimitados como trabajo futuro, el manuscrito queda culminado para presentación académica bajo las restricciones declaradas (semilla única; HAPPO con 49 episodios por escenario). Solo H7 permanece pendiente para el cierre formal institucional.</w:t>
      </w:r>
    </w:p>
    <w:p>
      <w:pPr>
        <w:pStyle w:val="Heading2"/>
      </w:pPr>
      <w:r>
        <w:t>6.5 Criterios de cierre de la tesis y control de calidad final</w:t>
      </w:r>
    </w:p>
    <w:p>
      <w:r>
        <w:t>Las conclusiones se consideran suficientemente sustentadas para responder las preguntas específicas desde la corrida Drive analizada. Tras el plan de la sección 6.4, el control de calidad final se centra en campos e índices Word, legibilidad PDF, correspondencia vertical entre PE–OE–hipótesis–resultados–conclusiones y aprobación del asesor. La extensión multi-semilla se mantiene como recomendación de trabajo futuro, no como resultado de esta tesis.</w:t>
      </w:r>
    </w:p>
    <w:p>
      <w:r>
        <w:rPr>
          <w:b/>
          <w:color w:val="555555"/>
          <w:sz w:val="19"/>
        </w:rPr>
        <w:t>Tabla 6.2. Criterios de cierre y control de calidad final.</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fill="1F4E79" w:val="clear"/>
          </w:tcPr>
          <w:p>
            <w:r>
              <w:rPr>
                <w:rFonts w:ascii="Times New Roman" w:hAnsi="Times New Roman"/>
                <w:b/>
                <w:color w:val="FFFFFF"/>
                <w:sz w:val="16"/>
              </w:rPr>
              <w:t>Actividad</w:t>
            </w:r>
          </w:p>
        </w:tc>
        <w:tc>
          <w:tcPr>
            <w:tcW w:type="dxa" w:w="3402"/>
            <w:shd w:fill="1F4E79" w:val="clear"/>
          </w:tcPr>
          <w:p>
            <w:r>
              <w:rPr>
                <w:rFonts w:ascii="Times New Roman" w:hAnsi="Times New Roman"/>
                <w:b/>
                <w:color w:val="FFFFFF"/>
                <w:sz w:val="16"/>
              </w:rPr>
              <w:t>Propósito</w:t>
            </w:r>
          </w:p>
        </w:tc>
        <w:tc>
          <w:tcPr>
            <w:tcW w:type="dxa" w:w="3118"/>
            <w:shd w:fill="1F4E79" w:val="clear"/>
          </w:tcPr>
          <w:p>
            <w:r>
              <w:rPr>
                <w:rFonts w:ascii="Times New Roman" w:hAnsi="Times New Roman"/>
                <w:b/>
                <w:color w:val="FFFFFF"/>
                <w:sz w:val="16"/>
              </w:rPr>
              <w:t>Criterio de cierre</w:t>
            </w:r>
          </w:p>
        </w:tc>
      </w:tr>
      <w:tr>
        <w:tc>
          <w:tcPr>
            <w:tcW w:type="dxa" w:w="2268"/>
          </w:tcPr>
          <w:p>
            <w:r>
              <w:rPr>
                <w:rFonts w:ascii="Times New Roman" w:hAnsi="Times New Roman"/>
                <w:b w:val="0"/>
                <w:sz w:val="16"/>
              </w:rPr>
              <w:t>Revisión APA integral</w:t>
            </w:r>
          </w:p>
        </w:tc>
        <w:tc>
          <w:tcPr>
            <w:tcW w:type="dxa" w:w="3402"/>
          </w:tcPr>
          <w:p>
            <w:r>
              <w:rPr>
                <w:rFonts w:ascii="Times New Roman" w:hAnsi="Times New Roman"/>
                <w:b w:val="0"/>
                <w:sz w:val="16"/>
              </w:rPr>
              <w:t>Alinear citas, tablas, figuras y referencias al formato APA 7.</w:t>
            </w:r>
          </w:p>
        </w:tc>
        <w:tc>
          <w:tcPr>
            <w:tcW w:type="dxa" w:w="3118"/>
          </w:tcPr>
          <w:p>
            <w:r>
              <w:rPr>
                <w:rFonts w:ascii="Times New Roman" w:hAnsi="Times New Roman"/>
                <w:b w:val="0"/>
                <w:sz w:val="16"/>
              </w:rPr>
              <w:t>Todas las citas tienen entrada bibliográfica y viceversa; captions coherentes.</w:t>
            </w:r>
          </w:p>
        </w:tc>
      </w:tr>
      <w:tr>
        <w:tc>
          <w:tcPr>
            <w:tcW w:type="dxa" w:w="2268"/>
          </w:tcPr>
          <w:p>
            <w:r>
              <w:rPr>
                <w:rFonts w:ascii="Times New Roman" w:hAnsi="Times New Roman"/>
                <w:b w:val="0"/>
                <w:sz w:val="16"/>
              </w:rPr>
              <w:t>Revisión multi-semilla opcional</w:t>
            </w:r>
          </w:p>
        </w:tc>
        <w:tc>
          <w:tcPr>
            <w:tcW w:type="dxa" w:w="3402"/>
          </w:tcPr>
          <w:p>
            <w:r>
              <w:rPr>
                <w:rFonts w:ascii="Times New Roman" w:hAnsi="Times New Roman"/>
                <w:b w:val="0"/>
                <w:sz w:val="16"/>
              </w:rPr>
              <w:t>Mejorar la validez externa de la comparación MADRL.</w:t>
            </w:r>
          </w:p>
        </w:tc>
        <w:tc>
          <w:tcPr>
            <w:tcW w:type="dxa" w:w="3118"/>
          </w:tcPr>
          <w:p>
            <w:r>
              <w:rPr>
                <w:rFonts w:ascii="Times New Roman" w:hAnsi="Times New Roman"/>
                <w:b w:val="0"/>
                <w:sz w:val="16"/>
              </w:rPr>
              <w:t>Réplicas documentadas o limitación de semilla única explicitada (opción adoptada).</w:t>
            </w:r>
          </w:p>
        </w:tc>
      </w:tr>
      <w:tr>
        <w:tc>
          <w:tcPr>
            <w:tcW w:type="dxa" w:w="2268"/>
          </w:tcPr>
          <w:p>
            <w:r>
              <w:rPr>
                <w:rFonts w:ascii="Times New Roman" w:hAnsi="Times New Roman"/>
                <w:b w:val="0"/>
                <w:sz w:val="16"/>
              </w:rPr>
              <w:t>Auditoría de figuras y tablas</w:t>
            </w:r>
          </w:p>
        </w:tc>
        <w:tc>
          <w:tcPr>
            <w:tcW w:type="dxa" w:w="3402"/>
          </w:tcPr>
          <w:p>
            <w:r>
              <w:rPr>
                <w:rFonts w:ascii="Times New Roman" w:hAnsi="Times New Roman"/>
                <w:b w:val="0"/>
                <w:sz w:val="16"/>
              </w:rPr>
              <w:t>Confirmar legibilidad y correspondencia con CSV/Drive canónicos.</w:t>
            </w:r>
          </w:p>
        </w:tc>
        <w:tc>
          <w:tcPr>
            <w:tcW w:type="dxa" w:w="3118"/>
          </w:tcPr>
          <w:p>
            <w:r>
              <w:rPr>
                <w:rFonts w:ascii="Times New Roman" w:hAnsi="Times New Roman"/>
                <w:b w:val="0"/>
                <w:sz w:val="16"/>
              </w:rPr>
              <w:t>Cada figura/tabla apunta a fuente verificable de madrl_v3_20260627_164047.</w:t>
            </w:r>
          </w:p>
        </w:tc>
      </w:tr>
      <w:tr>
        <w:tc>
          <w:tcPr>
            <w:tcW w:type="dxa" w:w="2268"/>
          </w:tcPr>
          <w:p>
            <w:r>
              <w:rPr>
                <w:rFonts w:ascii="Times New Roman" w:hAnsi="Times New Roman"/>
                <w:b w:val="0"/>
                <w:sz w:val="16"/>
              </w:rPr>
              <w:t>Revisión de coherencia vertical</w:t>
            </w:r>
          </w:p>
        </w:tc>
        <w:tc>
          <w:tcPr>
            <w:tcW w:type="dxa" w:w="3402"/>
          </w:tcPr>
          <w:p>
            <w:r>
              <w:rPr>
                <w:rFonts w:ascii="Times New Roman" w:hAnsi="Times New Roman"/>
                <w:b w:val="0"/>
                <w:sz w:val="16"/>
              </w:rPr>
              <w:t>Asegurar que PE, OE, hipótesis, resultados y conclusiones respondan lo mismo.</w:t>
            </w:r>
          </w:p>
        </w:tc>
        <w:tc>
          <w:tcPr>
            <w:tcW w:type="dxa" w:w="3118"/>
          </w:tcPr>
          <w:p>
            <w:r>
              <w:rPr>
                <w:rFonts w:ascii="Times New Roman" w:hAnsi="Times New Roman"/>
                <w:b w:val="0"/>
                <w:sz w:val="16"/>
              </w:rPr>
              <w:t>Matriz problema–objetivo–resultado–conclusión sin vacíos.</w:t>
            </w:r>
          </w:p>
        </w:tc>
      </w:tr>
    </w:tbl>
    <w:p>
      <w:r>
        <w:rPr>
          <w:i/>
          <w:sz w:val="18"/>
        </w:rPr>
        <w:t>Nota. Los criterios C de calidad documental no sustituyen la evidencia experimental ya auditada. El cierre formal institucional (registro y sustentación) corresponde al hito H7.</w:t>
      </w:r>
    </w:p>
    <w:p>
      <w:pPr>
        <w:pStyle w:val="Heading1"/>
        <w:pageBreakBefore/>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eastAsia="Times New Roman"/>
          <w:color w:val="000000"/>
          <w:sz w:val="24"/>
        </w:rPr>
        <w:t>Ministerio del Ambiente del Perú. (2019). INFOCARBONO — RAGEI 2019 Energía. MINAM.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eastAsia="Times New Roman"/>
          <w:color w:val="000000"/>
          <w:sz w:val="24"/>
        </w:rPr>
        <w:t>Organismo Supervisor de la Inversión en Energía y Minería. (2024). Resolución de Consejo Directivo N.° 0024-2024-OS/CD — Tarifas de Distribución Eléctrica MT-3/MT-4, Electro Oriente S.A. OSINERGMIN.</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
    <w:p/>
    <w:p/>
    <w:p/>
    <w:p/>
    <w:p/>
    <w:p/>
    <w:p/>
    <w:p/>
    <w:p/>
    <w:p/>
    <w:p/>
    <w:p/>
    <w:p/>
    <w:p/>
    <w:p/>
    <w:p/>
    <w:p/>
    <w:p/>
    <w:p/>
    <w:p/>
    <w:p/>
    <w:p/>
    <w:p/>
    <w:p/>
    <w:p/>
    <w:p/>
    <w:p>
      <w:pPr>
        <w:pStyle w:val="Heading2"/>
        <w:spacing w:line="480" w:lineRule="auto" w:before="0" w:after="0"/>
        <w:jc w:val="left"/>
      </w:pPr>
      <w:r>
        <w:rPr>
          <w:rFonts w:ascii="Times New Roman" w:hAnsi="Times New Roman" w:cs="Times New Roman" w:eastAsia="Times New Roman"/>
          <w:b/>
          <w:color w:val="000000"/>
          <w:sz w:val="24"/>
        </w:rPr>
        <w:t>Referencias complementarias verificadas e incorporadas en la revision</w:t>
      </w:r>
    </w:p>
    <w:p>
      <w:pPr>
        <w:spacing w:line="480" w:lineRule="auto" w:before="0" w:after="0"/>
        <w:ind w:left="720" w:hanging="720"/>
        <w:jc w:val="left"/>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720" w:hanging="720"/>
        <w:jc w:val="left"/>
      </w:pPr>
      <w:r>
        <w:rPr>
          <w:rFonts w:ascii="Times New Roman" w:hAnsi="Times New Roman" w:cs="Times New Roman" w:eastAsia="Times New Roman"/>
          <w:color w:val="000000"/>
          <w:sz w:val="24"/>
        </w:rPr>
        <w:t>Chevarria Moscoso, M. (2024). Analisis de la generacion hidroelectrica en la central hidroelectrica de Machupicchu aplicando metodos estocasticos y modelo de optimizacion [Tesis, Universidad Nacional de Ingenieria]. Repositorio Institucional UNI. http://hdl.handle.net/20.500.14076/28894</w:t>
      </w:r>
    </w:p>
    <w:p>
      <w:pPr>
        <w:spacing w:line="480" w:lineRule="auto" w:before="0" w:after="0"/>
        <w:ind w:left="720" w:hanging="720"/>
        <w:jc w:val="left"/>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720" w:hanging="720"/>
        <w:jc w:val="left"/>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720" w:hanging="720"/>
        <w:jc w:val="left"/>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720" w:hanging="720"/>
        <w:jc w:val="left"/>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720" w:hanging="720"/>
        <w:jc w:val="left"/>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720" w:hanging="720"/>
        <w:jc w:val="left"/>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720" w:hanging="720"/>
        <w:jc w:val="left"/>
      </w:pPr>
      <w:r>
        <w:rPr>
          <w:rFonts w:ascii="Times New Roman" w:hAnsi="Times New Roman" w:cs="Times New Roman" w:eastAsia="Times New Roman"/>
          <w:color w:val="000000"/>
          <w:sz w:val="24"/>
        </w:rPr>
        <w:t>Penalva Sanchez, J. J. (2024). Optimizacion de un sistema fotovoltaico hibrido y la prediccion de la demanda energetica y variables climaticas utilizando la inteligencia artificial [Tesis, Universidad Nacional de Ingenieria]. Repositorio Institucional UNI. http://hdl.handle.net/20.500.14076/27731</w:t>
      </w:r>
    </w:p>
    <w:p>
      <w:pPr>
        <w:spacing w:line="480" w:lineRule="auto" w:before="0" w:after="0"/>
        <w:ind w:left="720" w:hanging="720"/>
        <w:jc w:val="left"/>
      </w:pPr>
      <w:r>
        <w:rPr>
          <w:rFonts w:ascii="Times New Roman" w:hAnsi="Times New Roman" w:cs="Times New Roman" w:eastAsia="Times New Roman"/>
          <w:color w:val="000000"/>
          <w:sz w:val="24"/>
        </w:rPr>
        <w:t>Rosero Bernal, D. G. (2022). Modelo de un sistema de administracion de energia autonomo operado desde la nube para optimizar la gestion de un grupo de microrredes [Tesis, Universidad Distrital Francisco Jose de Caldas]. Dialnet. https://dialnet.unirioja.es/servlet/tesis?codigo=347742</w:t>
      </w:r>
    </w:p>
    <w:p>
      <w:pPr>
        <w:spacing w:line="480" w:lineRule="auto" w:before="0" w:after="0"/>
        <w:ind w:left="720" w:hanging="720"/>
        <w:jc w:val="left"/>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720" w:hanging="720"/>
        <w:jc w:val="left"/>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A. Resultados reales integrados desde Google Drive</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 xml:space="preserve">Esta seccion fue incorporada desde los artefactos descargados de la carpeta Drive indicada por el usuario: </w:t>
      </w:r>
      <w:r>
        <w:rPr>
          <w:rFonts w:ascii="Times New Roman" w:hAnsi="Times New Roman" w:cs="Times New Roman" w:eastAsia="Times New Roman"/>
          <w:i/>
          <w:color w:val="000000"/>
          <w:sz w:val="24"/>
        </w:rPr>
        <w:t xml:space="preserve">outputs/madrl_v3_20260627_164047. </w:t>
      </w:r>
      <w:r>
        <w:rPr>
          <w:rFonts w:ascii="Times New Roman" w:hAnsi="Times New Roman" w:cs="Times New Roman" w:eastAsia="Times New Roman"/>
          <w:color w:val="000000"/>
          <w:sz w:val="24"/>
        </w:rPr>
        <w:t>Las graficas y tablas provienen de timeseries.csv, trace.csv, building_kpis.csv, building_behavior_summary.csv y checkpoint_manifest.json. No se imputaron ni sintetizaron valores faltantes.</w:t>
      </w:r>
    </w:p>
    <w:p>
      <w:pPr>
        <w:spacing w:line="480" w:lineRule="auto" w:before="0" w:after="0"/>
        <w:ind w:firstLine="720"/>
        <w:jc w:val="both"/>
      </w:pPr>
      <w:r>
        <w:rPr>
          <w:rFonts w:ascii="Times New Roman" w:hAnsi="Times New Roman" w:cs="Times New Roman" w:eastAsia="Times New Roman"/>
          <w:b/>
          <w:color w:val="000000"/>
          <w:sz w:val="24"/>
        </w:rPr>
        <w:t xml:space="preserve">Cobertura. </w:t>
      </w:r>
      <w:r>
        <w:rPr>
          <w:rFonts w:ascii="Times New Roman" w:hAnsi="Times New Roman" w:cs="Times New Roman" w:eastAsia="Times New Roman"/>
          <w:color w:val="000000"/>
          <w:sz w:val="24"/>
        </w:rP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spacing w:line="480" w:lineRule="auto" w:before="0" w:after="0"/>
        <w:jc w:val="left"/>
      </w:pPr>
      <w:r>
        <w:rPr>
          <w:rFonts w:ascii="Times New Roman" w:hAnsi="Times New Roman" w:cs="Times New Roman" w:eastAsia="Times New Roman"/>
          <w:color w:val="000000"/>
          <w:sz w:val="24"/>
        </w:rPr>
        <w:t>A.1 Resultados distritales por algoritmo y escenario</w:t>
      </w:r>
    </w:p>
    <w:p>
      <w:pPr>
        <w:pStyle w:val="TablaIndice"/>
        <w:spacing w:before="0" w:after="0" w:line="480" w:lineRule="auto"/>
        <w:ind/>
        <w:jc w:val="left"/>
      </w:pPr>
      <w:r>
        <w:rPr>
          <w:rFonts w:ascii="Times New Roman" w:hAnsi="Times New Roman" w:cs="Times New Roman" w:eastAsia="Times New Roman"/>
          <w:b/>
          <w:i w:val="0"/>
          <w:color w:val="000000"/>
          <w:sz w:val="24"/>
        </w:rPr>
        <w:t>Tabla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episodes</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district_net_kwh_mean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district_cost_mean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district_emission_mean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reward_mean</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797.4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463.7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1046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-0.6303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-0.4842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343.3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839.7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-0.6052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707.5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-0.5237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-0.5387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-0.6133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812.2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-0.5409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631.5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-0.5336</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1256</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759.3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1131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-0.5504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distrital. </w:t>
      </w:r>
      <w:r>
        <w:rPr>
          <w:rFonts w:ascii="Times New Roman" w:hAnsi="Times New Roman" w:cs="Times New Roman" w:eastAsia="Times New Roman"/>
          <w:color w:val="000000"/>
          <w:sz w:val="24"/>
        </w:rP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pStyle w:val="FiguraIndice"/>
        <w:spacing w:before="0" w:after="0" w:line="480" w:lineRule="auto"/>
        <w:ind/>
        <w:jc w:val="left"/>
      </w:pPr>
      <w:r>
        <w:rPr>
          <w:rFonts w:ascii="Times New Roman" w:hAnsi="Times New Roman" w:cs="Times New Roman" w:eastAsia="Times New Roman"/>
          <w:b/>
          <w:i w:val="0"/>
          <w:color w:val="000000"/>
          <w:sz w:val="24"/>
        </w:rPr>
        <w:t>Figura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del reward distrital medio por episodio conservado.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reward_mean_average para 597 filas episodicas materializadas. El mayor promedio episodio-tratamiento corresponde a HAPPO-E2 con -0.484196. La lectura sirve como auditoria grafica del comportamiento de recompensa que alimenta las curvas de convergencia del Capitulo 5.</w:t>
      </w:r>
    </w:p>
    <w:p>
      <w:pPr>
        <w:pStyle w:val="FiguraIndice"/>
        <w:spacing w:before="0" w:after="0" w:line="480" w:lineRule="auto"/>
        <w:ind/>
        <w:jc w:val="left"/>
      </w:pPr>
      <w:r>
        <w:rPr>
          <w:rFonts w:ascii="Times New Roman" w:hAnsi="Times New Roman" w:cs="Times New Roman" w:eastAsia="Times New Roman"/>
          <w:b/>
          <w:i w:val="0"/>
          <w:color w:val="000000"/>
          <w:sz w:val="24"/>
        </w:rPr>
        <w:t>Figura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energia neta distrital por episodio y tratamiento.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energia neta distrital por episodio en 597 filas. El menor promedio observado corresponde a HAPPO-E2 con -15.09. Este resultado se interpreta como evidencia descriptiva de consumo neto, no como criterio unico de flexibilidad.</w:t>
      </w:r>
    </w:p>
    <w:p>
      <w:pPr>
        <w:pStyle w:val="FiguraIndice"/>
        <w:spacing w:before="0" w:after="0" w:line="480" w:lineRule="auto"/>
        <w:ind/>
        <w:jc w:val="left"/>
      </w:pPr>
      <w:r>
        <w:rPr>
          <w:rFonts w:ascii="Times New Roman" w:hAnsi="Times New Roman" w:cs="Times New Roman" w:eastAsia="Times New Roman"/>
          <w:b/>
          <w:i w:val="0"/>
          <w:color w:val="000000"/>
          <w:sz w:val="24"/>
        </w:rPr>
        <w:t>Figura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costo distrital medio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costo distrital medio usando 597 filas episodicas. El menor promedio corresponde a HAPPO-E2 con 195.45. La lectura complementa OE.3 porque muestra el comportamiento por escenario antes de la sintesis inferencial.</w:t>
      </w:r>
    </w:p>
    <w:p>
      <w:pPr>
        <w:pStyle w:val="FiguraIndice"/>
        <w:spacing w:before="0" w:after="0" w:line="480" w:lineRule="auto"/>
        <w:ind/>
        <w:jc w:val="left"/>
      </w:pPr>
      <w:r>
        <w:rPr>
          <w:rFonts w:ascii="Times New Roman" w:hAnsi="Times New Roman" w:cs="Times New Roman" w:eastAsia="Times New Roman"/>
          <w:b/>
          <w:i w:val="0"/>
          <w:color w:val="000000"/>
          <w:sz w:val="24"/>
        </w:rPr>
        <w:t>Figura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emisiones distritales medias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emisiones distritales medias en 597 filas episodicas. El menor promedio corresponde a HAPPO-E3 con 839.72. La lectura complementa OE.2 y permite revisar si el escenario orientado a carbono se refleja tambien en la media episodica.</w:t>
      </w:r>
    </w:p>
    <w:p>
      <w:pPr>
        <w:pStyle w:val="Heading2"/>
        <w:spacing w:line="480" w:lineRule="auto" w:before="0" w:after="0"/>
        <w:jc w:val="left"/>
      </w:pPr>
      <w:r>
        <w:rPr>
          <w:rFonts w:ascii="Times New Roman" w:hAnsi="Times New Roman" w:cs="Times New Roman" w:eastAsia="Times New Roman"/>
          <w:color w:val="000000"/>
          <w:sz w:val="24"/>
        </w:rPr>
        <w:t>A.2 Resultados por edificio</w:t>
      </w:r>
    </w:p>
    <w:p>
      <w:pPr>
        <w:pStyle w:val="TablaIndice"/>
        <w:spacing w:before="0" w:after="0" w:line="480" w:lineRule="auto"/>
        <w:ind/>
        <w:jc w:val="left"/>
      </w:pPr>
      <w:r>
        <w:rPr>
          <w:rFonts w:ascii="Times New Roman" w:hAnsi="Times New Roman" w:cs="Times New Roman" w:eastAsia="Times New Roman"/>
          <w:b/>
          <w:i w:val="0"/>
          <w:color w:val="000000"/>
          <w:sz w:val="24"/>
        </w:rPr>
        <w:t>Tabla A.2. Mejores 20 filas por reducción de costo eléctrico en edificios completos (corrida canónica madrl_v3_20260627_164047; delta = control − baseline).</w:t>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agent</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electricity_cost_delta_eur</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carbon_emissions_delta_kgco2</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grid_import_delta_kwh</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ev_charge_total_kwh</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-3532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-2071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-2680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-2672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-2323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-2781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7086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8960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493.9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-2279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-1848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-1951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-2490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3839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-1825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-801.1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-996.6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-1368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7845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9909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454.1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-958.9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-1113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-1383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4230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-1793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-899.2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3807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4927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1619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-888.9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2103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2855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570.4</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-853.7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2636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3412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1460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-845.4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1785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2300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614.3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-717.3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7957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1.01e+04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530.1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-701.9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1510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438.6</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-683.8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2212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450.8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1249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1621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207.1</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-609.4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1510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1952</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522.2</w:t>
            </w:r>
          </w:p>
        </w:tc>
      </w:tr>
    </w:tbl>
    <w:p>
      <w:pPr>
        <w:spacing w:before="0" w:after="0" w:line="240" w:lineRule="auto"/>
        <w:ind/>
        <w:jc w:val="both"/>
      </w:pPr>
      <w:r>
        <w:rPr>
          <w:rFonts w:ascii="Times New Roman" w:hAnsi="Times New Roman" w:cs="Times New Roman" w:eastAsia="Times New Roman"/>
          <w:b w:val="0"/>
          <w:i w:val="0"/>
          <w:color w:val="000000"/>
          <w:sz w:val="20"/>
        </w:rPr>
        <w:t>Nota. Ranking por electricity_cost_delta_eur más negativo (mayor reducción) en building_behavior_summary.csv de edificios completos (MAAC, MASAC y MATD3 × E1–E3). HAPPO se excluye porque no aporta building_behavior_summary en la corrida canónica. Fuente: outputs/_drive_madrl/full_data/{ALGO}/{E}/data/building_behavior_summary.csv (espejo de madrl_v3_20260627_164047).</w:t>
      </w:r>
    </w:p>
    <w:p>
      <w:pPr>
        <w:spacing w:line="480" w:lineRule="auto" w:before="0" w:after="0"/>
        <w:ind w:firstLine="720"/>
        <w:jc w:val="both"/>
      </w:pPr>
      <w:r>
        <w:rPr>
          <w:rFonts w:ascii="Times New Roman" w:hAnsi="Times New Roman" w:cs="Times New Roman" w:eastAsia="Times New Roman"/>
          <w:b/>
          <w:color w:val="000000"/>
          <w:sz w:val="24"/>
        </w:rPr>
        <w:t>Interpretación por edificio. El cambio de costo eléctrico más negativo se observa en MATD3-E1 Building_14, con electricity_cost_delta_eur=-3532.42. Esta lectura se basa en building_behavior_summary.csv de edificios completos (MAAC/MASAC/MATD3, 50 episodios), no en estimaciones externas.</w:t>
      </w:r>
      <w:r>
        <w:rPr>
          <w:rFonts w:ascii="Times New Roman" w:hAnsi="Times New Roman" w:cs="Times New Roman" w:eastAsia="Times New Roman"/>
          <w:color w:val="000000"/>
          <w:sz w:val="24"/>
        </w:rPr>
      </w:r>
    </w:p>
    <w:p>
      <w:pPr>
        <w:pStyle w:val="FiguraIndice"/>
        <w:spacing w:before="0" w:after="0" w:line="480" w:lineRule="auto"/>
        <w:ind/>
        <w:jc w:val="left"/>
      </w:pPr>
      <w:r>
        <w:rPr>
          <w:rFonts w:ascii="Times New Roman" w:hAnsi="Times New Roman" w:cs="Times New Roman" w:eastAsia="Times New Roman"/>
          <w:b/>
          <w:i w:val="0"/>
          <w:color w:val="000000"/>
          <w:sz w:val="24"/>
        </w:rPr>
        <w:t>Figura A.5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costo electrico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costo electrico por edificio. La mayor reduccion observada corresponde a HAPPO-E3 en Building_11 con -193,217.96. El signo y magnitud del delta permiten distinguir reducciones reales de costo frente a variaciones marginales por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emisiones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emisiones por edificio. La mayor reduccion observada corresponde a MATD3-E2 en Building_12 con -2,163.49 kgCO2. La lectura muestra que el efecto ambiental no es uniforme entre edificios y depende de la demanda y equipamiento disponible.</w:t>
      </w:r>
    </w:p>
    <w:p>
      <w:pPr>
        <w:pStyle w:val="Heading2"/>
        <w:spacing w:line="480" w:lineRule="auto" w:before="0" w:after="0"/>
        <w:jc w:val="left"/>
      </w:pPr>
      <w:r>
        <w:rPr>
          <w:rFonts w:ascii="Times New Roman" w:hAnsi="Times New Roman" w:cs="Times New Roman" w:eastAsia="Times New Roman"/>
          <w:color w:val="000000"/>
          <w:sz w:val="24"/>
        </w:rPr>
        <w:t>A.3 Equipamiento controlado y no controlado</w:t>
      </w:r>
    </w:p>
    <w:p>
      <w:pPr>
        <w:spacing w:line="480" w:lineRule="auto" w:before="0" w:after="0"/>
        <w:ind w:firstLine="720"/>
        <w:jc w:val="both"/>
      </w:pPr>
      <w:r>
        <w:rPr>
          <w:rFonts w:ascii="Times New Roman" w:hAnsi="Times New Roman" w:cs="Times New Roman" w:eastAsia="Times New Roman"/>
          <w:b/>
          <w:color w:val="000000"/>
          <w:sz w:val="24"/>
        </w:rPr>
        <w:t xml:space="preserve">Criterio de clasificacion. </w:t>
      </w:r>
      <w:r>
        <w:rPr>
          <w:rFonts w:ascii="Times New Roman" w:hAnsi="Times New Roman" w:cs="Times New Roman" w:eastAsia="Times New Roman"/>
          <w:color w:val="000000"/>
          <w:sz w:val="24"/>
        </w:rP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pStyle w:val="TablaIndice"/>
        <w:spacing w:before="0" w:after="0" w:line="480" w:lineRule="auto"/>
        <w:ind/>
        <w:jc w:val="left"/>
      </w:pPr>
      <w:r>
        <w:rPr>
          <w:rFonts w:ascii="Times New Roman" w:hAnsi="Times New Roman" w:cs="Times New Roman" w:eastAsia="Times New Roman"/>
          <w:b/>
          <w:i w:val="0"/>
          <w:color w:val="000000"/>
          <w:sz w:val="24"/>
        </w:rPr>
        <w:t>Tabla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building</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action_count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controlled_bess_actions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controlled_ev_charger_actions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controlled_load_mwh_dataset_audit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uncontrolled_base_load_mwh_dataset_audit</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154.8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1.722e+04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218.2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3620</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2808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6951</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211.8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165.4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235.8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1899</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204.5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4047</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2836</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542.7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3.408e+04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645.7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668.5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546.3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327.4</w:t>
            </w:r>
          </w:p>
        </w:tc>
      </w:tr>
      <w:tr>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Building_9</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82.86</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pStyle w:val="FiguraIndice"/>
        <w:spacing w:before="0" w:after="0" w:line="480" w:lineRule="auto"/>
        <w:ind/>
        <w:jc w:val="left"/>
      </w:pPr>
      <w:r>
        <w:rPr>
          <w:rFonts w:ascii="Times New Roman" w:hAnsi="Times New Roman" w:cs="Times New Roman" w:eastAsia="Times New Roman"/>
          <w:b/>
          <w:i w:val="0"/>
          <w:color w:val="000000"/>
          <w:sz w:val="24"/>
        </w:rPr>
        <w:t>Figura A.7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variables de accion controladas por edificio.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variables de accion controladas en 204 filas edificio-tratamiento, con suma de dimensiones de accion igual a 2628. Este anexo documenta que el control MADRL se ejerce sobre actuadores declarados en el esquema y no sobre toda la demanda del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carga controlada de escenario frente a carga base no controlada.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contrasta carga controlada y carga base no controlada para 17 edificios y 12 tratamientos. La interpretacion separa las variables que el agente puede accionar de aquellas que solo observa como demanda exogena, criterio indispensable para no sobrestimar la capacidad de control del MADRL.</w:t>
      </w:r>
    </w:p>
    <w:p>
      <w:pPr>
        <w:pStyle w:val="Heading2"/>
        <w:spacing w:line="480" w:lineRule="auto" w:before="0" w:after="0"/>
        <w:jc w:val="left"/>
      </w:pPr>
      <w:r>
        <w:rPr>
          <w:rFonts w:ascii="Times New Roman" w:hAnsi="Times New Roman" w:cs="Times New Roman" w:eastAsia="Times New Roman"/>
          <w:color w:val="000000"/>
          <w:sz w:val="24"/>
        </w:rPr>
        <w:t>A.4 Checkpoints y reproducibilidad de modelos</w:t>
      </w:r>
    </w:p>
    <w:p>
      <w:pPr>
        <w:pStyle w:val="TablaIndice"/>
        <w:spacing w:before="0" w:after="0" w:line="480" w:lineRule="auto"/>
        <w:ind/>
        <w:jc w:val="left"/>
      </w:pPr>
      <w:r>
        <w:rPr>
          <w:rFonts w:ascii="Times New Roman" w:hAnsi="Times New Roman" w:cs="Times New Roman" w:eastAsia="Times New Roman"/>
          <w:b/>
          <w:i w:val="0"/>
          <w:color w:val="000000"/>
          <w:sz w:val="24"/>
        </w:rPr>
        <w:t>Tabla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backend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checkpoint_files_listed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matd3_policies_with_checkpoints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maac_checkpoint_episodes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masac_checkpoint_groups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checkpoint_file_types</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bl>
    <w:p>
      <w:pPr>
        <w:spacing w:before="0" w:after="0" w:line="240" w:lineRule="auto"/>
        <w:ind/>
        <w:jc w:val="both"/>
      </w:pPr>
      <w:r>
        <w:rPr>
          <w:rFonts w:ascii="Times New Roman" w:hAnsi="Times New Roman" w:cs="Times New Roman"/>
          <w:b w:val="0"/>
          <w:i/>
          <w:sz w:val="18"/>
        </w:rPr>
        <w:t>Nota. Auditoría de ceros (2026-07-15): HAPPO no figura con checkpoint_files_listed&gt;0 porque no existe checkpoint_manifest.json ni archivos .pt en madrl_v3_20260627_164047 (cero/ausencia legítimos). Los ceros en columnas tipadas (matd3_policies_*, maac_checkpoint_*, masac_checkpoint_*) son esperables fuera del backend de cada fila. Conteos listados: MAAC=52, MASAC=12, MATD3=34 por escenario. No se imputan checkpoints inexistentes.</w:t>
      </w:r>
    </w:p>
    <w:p>
      <w:pPr>
        <w:spacing w:line="480" w:lineRule="auto" w:before="0" w:after="0"/>
        <w:ind w:firstLine="720"/>
        <w:jc w:val="both"/>
      </w:pPr>
      <w:r>
        <w:rPr>
          <w:rFonts w:ascii="Times New Roman" w:hAnsi="Times New Roman" w:cs="Times New Roman" w:eastAsia="Times New Roman"/>
          <w:b/>
          <w:color w:val="000000"/>
          <w:sz w:val="24"/>
        </w:rPr>
        <w:t xml:space="preserve">Lectura. </w:t>
      </w:r>
      <w:r>
        <w:rPr>
          <w:rFonts w:ascii="Times New Roman" w:hAnsi="Times New Roman" w:cs="Times New Roman" w:eastAsia="Times New Roman"/>
          <w:color w:val="000000"/>
          <w:sz w:val="24"/>
        </w:rPr>
        <w:t>MATD3 registra 17 politicas con checkpoints por escenario; MAAC registra checkpoints por episodios; MASAC registra grupos de parametros pkl. Estos conteos provienen del checkpoint_manifest.json de cada corrida completa.</w:t>
      </w:r>
    </w:p>
    <w:p>
      <w:pPr>
        <w:pStyle w:val="FiguraIndice"/>
        <w:spacing w:before="0" w:after="0" w:line="480" w:lineRule="auto"/>
        <w:ind/>
        <w:jc w:val="left"/>
      </w:pPr>
      <w:r>
        <w:rPr>
          <w:rFonts w:ascii="Times New Roman" w:hAnsi="Times New Roman" w:cs="Times New Roman" w:eastAsia="Times New Roman"/>
          <w:b/>
          <w:i w:val="0"/>
          <w:color w:val="000000"/>
          <w:sz w:val="24"/>
        </w:rPr>
        <w:t>Figura A.9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tamaño total listado en los manifiestos de checkpoint por algoritmo y escenario. Fuente: elaboración propia a partir de outputs/_drive_madrl/full_data/{ALGO}/{E}/data/checkpoint_manifest.json de la corrida canónica madrl_v3_20260627_164047.</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La figura resume el tamaño total listado en checkpoint_manifest.json para los 12 tratamientos MADRL del proyecto (HAPPO, MAAC, MASAC, MATD3 × E1–E3). Se listan 294 archivos con un total de 116,72 GB (119.519,93 MB). HAPPO aparece en 0 GB porque no hay checkpoint_manifest.json en la corrida canónica. MAAC concentra el mayor volumen (~38,76 GB por escenario); MATD3 ≈ 142,8 MB y MASAC ≈ 2,44 MB por escenario (por eso la figura usa escala logarítmica). El archivo individual más grande listado corresponde a MAAC-E1 (763,36 MB). No se inventan bytes: solo se agregan los campos bytes del manifiesto.</w:t>
      </w:r>
    </w:p>
    <w:p>
      <w:pPr>
        <w:pStyle w:val="Heading2"/>
        <w:spacing w:line="480" w:lineRule="auto" w:before="0" w:after="0"/>
        <w:jc w:val="left"/>
      </w:pPr>
      <w:r>
        <w:rPr>
          <w:rFonts w:ascii="Times New Roman" w:hAnsi="Times New Roman" w:cs="Times New Roman" w:eastAsia="Times New Roman"/>
          <w:color w:val="000000"/>
          <w:sz w:val="24"/>
        </w:rPr>
        <w:t>A.5 Archivos reproducibles</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outputs\_drive_madrl\full_data\analysis_real_drive\tables\district_episode_kpis.csv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outputs\_drive_madrl\full_data\analysis_real_drive\tables\district_summary_by_algorithm_scenario.csv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outputs\_drive_madrl\full_data\analysis_real_drive\tables\building_behavior_summary_all.csv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outputs\_drive_madrl\full_data\analysis_real_drive\tables\building_kpis_all.csv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outputs\_drive_madrl\full_data\analysis_real_drive\tables\trace_agent_summary_by_building.csv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outputs\_drive_madrl\full_data\analysis_real_drive\tables\controlled_uncontrolled_equipment_by_building.csv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outputs\_drive_madrl\full_data\analysis_real_drive\tables\checkpoint_summary.csv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outputs\_drive_madrl\full_data\analysis_real_drive\figures\*.png</w:t>
      </w:r>
    </w:p>
    <w:p>
      <w:pPr>
        <w:spacing w:line="480" w:lineRule="auto" w:before="0" w:after="0"/>
        <w:ind w:firstLine="720"/>
        <w:jc w:val="both"/>
      </w:pPr>
      <w:r>
        <w:rPr>
          <w:rFonts w:ascii="Times New Roman" w:hAnsi="Times New Roman" w:cs="Times New Roman" w:eastAsia="Times New Roman"/>
          <w:color w:val="000000"/>
          <w:sz w:val="24"/>
        </w:rP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file</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exists</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bytes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r>
        <w:br w:type="page"/>
      </w:r>
    </w:p>
    <w:p>
      <w:pPr>
        <w:pStyle w:val="Heading1"/>
        <w:spacing w:line="480" w:lineRule="auto" w:before="0" w:after="0"/>
        <w:jc w:val="center"/>
      </w:pPr>
      <w:r>
        <w:rPr>
          <w:rFonts w:ascii="Times New Roman" w:hAnsi="Times New Roman" w:cs="Times New Roman" w:eastAsia="Times New Roman"/>
          <w:color w:val="000000"/>
          <w:sz w:val="24"/>
        </w:rPr>
        <w:t>Anexo B. Diagramas de flujo y arquitectura del proyecto</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spacing w:line="480" w:lineRule="auto" w:before="0" w:after="0"/>
        <w:jc w:val="left"/>
      </w:pPr>
      <w:r>
        <w:rPr>
          <w:rFonts w:ascii="Times New Roman" w:hAnsi="Times New Roman" w:cs="Times New Roman" w:eastAsia="Times New Roman"/>
          <w:color w:val="000000"/>
          <w:sz w:val="24"/>
        </w:rPr>
        <w:t>Diagrama 1 — Vision General del Proyecto (inicio a fin)</w:t>
      </w:r>
    </w:p>
    <w:p>
      <w:pPr>
        <w:pStyle w:val="FiguraIndice"/>
        <w:spacing w:before="0" w:after="0" w:line="480" w:lineRule="auto"/>
        <w:ind/>
        <w:jc w:val="left"/>
      </w:pPr>
      <w:r>
        <w:rPr>
          <w:rFonts w:ascii="Times New Roman" w:hAnsi="Times New Roman" w:cs="Times New Roman" w:eastAsia="Times New Roman"/>
          <w:b/>
          <w:i w:val="0"/>
          <w:color w:val="000000"/>
          <w:sz w:val="24"/>
        </w:rPr>
        <w:t>Figura B.1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integra el flujo completo del proyecto: construccion del dataset, entorno CityLearn, entrenamiento MADRL, evaluacion, visualizacion y redacción de la tesis. La evidencia real usada en el documento comprende 12 tratamientos, 597 filas episodicas, 204 filas edificio-tratamiento y 351 checkpoints.</w:t>
      </w:r>
    </w:p>
    <w:p>
      <w:pPr>
        <w:pStyle w:val="Heading2"/>
        <w:spacing w:line="480" w:lineRule="auto" w:before="0" w:after="0"/>
        <w:jc w:val="left"/>
      </w:pPr>
      <w:r>
        <w:rPr>
          <w:rFonts w:ascii="Times New Roman" w:hAnsi="Times New Roman" w:cs="Times New Roman" w:eastAsia="Times New Roman"/>
          <w:color w:val="000000"/>
          <w:sz w:val="24"/>
        </w:rPr>
        <w:t>Diagrama 2 — Pipeline del Dataset Iquitos 2023-2025</w:t>
      </w:r>
    </w:p>
    <w:p>
      <w:pPr>
        <w:pStyle w:val="FiguraIndice"/>
        <w:spacing w:before="0" w:after="0" w:line="480" w:lineRule="auto"/>
        <w:ind/>
        <w:jc w:val="left"/>
      </w:pPr>
      <w:r>
        <w:rPr>
          <w:rFonts w:ascii="Times New Roman" w:hAnsi="Times New Roman" w:cs="Times New Roman" w:eastAsia="Times New Roman"/>
          <w:b/>
          <w:i w:val="0"/>
          <w:color w:val="000000"/>
          <w:sz w:val="24"/>
        </w:rPr>
        <w:t>Figura B.2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el pipeline del dataset Iquitos 2023-2025 y su transformacion hacia el formato CityLearn. La interpretacion se basa en 17 edificios/agentes y en la separacion entre datos climaticos, demanda, precios, carbono y esquemas de observacion-accion.</w:t>
      </w:r>
    </w:p>
    <w:p>
      <w:pPr>
        <w:pStyle w:val="Heading2"/>
        <w:spacing w:line="480" w:lineRule="auto" w:before="0" w:after="0"/>
        <w:jc w:val="left"/>
      </w:pPr>
      <w:r>
        <w:rPr>
          <w:rFonts w:ascii="Times New Roman" w:hAnsi="Times New Roman" w:cs="Times New Roman" w:eastAsia="Times New Roman"/>
          <w:color w:val="000000"/>
          <w:sz w:val="24"/>
        </w:rPr>
        <w:t>Diagrama 3 — Arquitectura Dec-POMDP y CTDE de los 17 Agentes</w:t>
      </w:r>
    </w:p>
    <w:p>
      <w:pPr>
        <w:pStyle w:val="FiguraIndice"/>
        <w:spacing w:before="0" w:after="0" w:line="480" w:lineRule="auto"/>
        <w:ind/>
        <w:jc w:val="left"/>
      </w:pPr>
      <w:r>
        <w:rPr>
          <w:rFonts w:ascii="Times New Roman" w:hAnsi="Times New Roman" w:cs="Times New Roman" w:eastAsia="Times New Roman"/>
          <w:b/>
          <w:i w:val="0"/>
          <w:color w:val="000000"/>
          <w:sz w:val="24"/>
        </w:rPr>
        <w:t>Figura B.3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formaliza el problema como Dec-POMDP con ejecucion descentralizada y entrenamiento centralizado. En la corrida auditada, la comunidad opera con 17 agentes, observaciones heterogeneas y acciones controlables declaradas por edificio.</w:t>
      </w:r>
    </w:p>
    <w:p>
      <w:pPr>
        <w:pStyle w:val="Heading2"/>
        <w:spacing w:line="480" w:lineRule="auto" w:before="0" w:after="0"/>
        <w:jc w:val="left"/>
      </w:pPr>
      <w:r>
        <w:rPr>
          <w:rFonts w:ascii="Times New Roman" w:hAnsi="Times New Roman" w:cs="Times New Roman" w:eastAsia="Times New Roman"/>
          <w:color w:val="000000"/>
          <w:sz w:val="24"/>
        </w:rPr>
        <w:t>Diagrama 4 — Los 4 Algoritmos MADRL: Taxonomia y Diferencias</w:t>
      </w:r>
    </w:p>
    <w:p>
      <w:pPr>
        <w:pStyle w:val="FiguraIndice"/>
        <w:spacing w:before="0" w:after="0" w:line="480" w:lineRule="auto"/>
        <w:ind/>
        <w:jc w:val="left"/>
      </w:pPr>
      <w:r>
        <w:rPr>
          <w:rFonts w:ascii="Times New Roman" w:hAnsi="Times New Roman" w:cs="Times New Roman" w:eastAsia="Times New Roman"/>
          <w:b/>
          <w:i w:val="0"/>
          <w:color w:val="000000"/>
          <w:sz w:val="24"/>
        </w:rPr>
        <w:t>Figura B.4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compara HAPPO, MAAC, MASAC y MATD3. La tesis evalua estos 4 algoritmos en 3 escenarios, lo que produce 12 tratamientos algoritmo-escenario usados para responder OE.1, OE.2 y OE.3.</w:t>
      </w:r>
    </w:p>
    <w:p>
      <w:pPr>
        <w:pStyle w:val="Heading2"/>
        <w:spacing w:line="480" w:lineRule="auto" w:before="0" w:after="0"/>
        <w:jc w:val="left"/>
      </w:pPr>
      <w:r>
        <w:rPr>
          <w:rFonts w:ascii="Times New Roman" w:hAnsi="Times New Roman" w:cs="Times New Roman" w:eastAsia="Times New Roman"/>
          <w:color w:val="000000"/>
          <w:sz w:val="24"/>
        </w:rPr>
        <w:t>Diagrama 5 — Flujo de Entrenamiento: 12 Corridas (two_phase_happo_masac_v3)</w:t>
      </w:r>
    </w:p>
    <w:p>
      <w:pPr>
        <w:pStyle w:val="FiguraIndice"/>
        <w:spacing w:before="0" w:after="0" w:line="480" w:lineRule="auto"/>
        <w:ind/>
        <w:jc w:val="left"/>
      </w:pPr>
      <w:r>
        <w:rPr>
          <w:rFonts w:ascii="Times New Roman" w:hAnsi="Times New Roman" w:cs="Times New Roman" w:eastAsia="Times New Roman"/>
          <w:b/>
          <w:i w:val="0"/>
          <w:color w:val="000000"/>
          <w:sz w:val="24"/>
        </w:rPr>
        <w:t>Figura B.5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resume el flujo de entrenamiento de las 12 corridas. La evidencia final conserva 597 filas episodicas materializadas, 105051 filas de series finales, 15504 registros de trace.csv y 351 checkpoints.</w:t>
      </w:r>
    </w:p>
    <w:p>
      <w:pPr>
        <w:pStyle w:val="Heading2"/>
        <w:spacing w:line="480" w:lineRule="auto" w:before="0" w:after="0"/>
        <w:jc w:val="left"/>
      </w:pPr>
      <w:r>
        <w:rPr>
          <w:rFonts w:ascii="Times New Roman" w:hAnsi="Times New Roman" w:cs="Times New Roman" w:eastAsia="Times New Roman"/>
          <w:color w:val="000000"/>
          <w:sz w:val="24"/>
        </w:rPr>
        <w:t>Diagrama 6 — Recompensa Multiobjetivo por Escenario</w:t>
      </w:r>
    </w:p>
    <w:p>
      <w:pPr>
        <w:pStyle w:val="FiguraIndice"/>
        <w:spacing w:before="0" w:after="0" w:line="480" w:lineRule="auto"/>
        <w:ind/>
        <w:jc w:val="left"/>
      </w:pPr>
      <w:r>
        <w:rPr>
          <w:rFonts w:ascii="Times New Roman" w:hAnsi="Times New Roman" w:cs="Times New Roman" w:eastAsia="Times New Roman"/>
          <w:b/>
          <w:i w:val="0"/>
          <w:color w:val="000000"/>
          <w:sz w:val="24"/>
        </w:rPr>
        <w:t>Figura B.6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la recompensa multiobjetivo por escenario: E1 prioriza flexibilidad, E2 prioriza CO2 y E3 prioriza costos. Esta estructura vincula directamente las preguntas PE.1, PE.2 y PE.3 con los objetivos OE.1, OE.2 y OE.3.</w:t>
      </w:r>
    </w:p>
    <w:p>
      <w:pPr>
        <w:pStyle w:val="Heading2"/>
        <w:spacing w:line="480" w:lineRule="auto" w:before="0" w:after="0"/>
        <w:jc w:val="left"/>
      </w:pPr>
      <w:r>
        <w:rPr>
          <w:rFonts w:ascii="Times New Roman" w:hAnsi="Times New Roman" w:cs="Times New Roman" w:eastAsia="Times New Roman"/>
          <w:color w:val="000000"/>
          <w:sz w:val="24"/>
        </w:rPr>
        <w:t>Diagrama 7 — Pipeline de Evaluacion y Seleccion del Mejor MADRL</w:t>
      </w:r>
    </w:p>
    <w:p>
      <w:pPr>
        <w:pStyle w:val="FiguraIndice"/>
        <w:spacing w:before="0" w:after="0" w:line="480" w:lineRule="auto"/>
        <w:ind/>
        <w:jc w:val="left"/>
      </w:pPr>
      <w:r>
        <w:rPr>
          <w:rFonts w:ascii="Times New Roman" w:hAnsi="Times New Roman" w:cs="Times New Roman" w:eastAsia="Times New Roman"/>
          <w:b/>
          <w:i w:val="0"/>
          <w:color w:val="000000"/>
          <w:sz w:val="24"/>
        </w:rPr>
        <w:t>Figura B.7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representa el pipeline de evaluacion y seleccion del mejor MADRL. La seleccion no depende de una sola curva: integra descriptivos, Kruskal-Wallis, Mann-Whitney-Holm, epsilon2, KPIs CityLearn v2, series finales y resultados por edificio.</w:t>
      </w:r>
    </w:p>
    <w:p>
      <w:pPr>
        <w:pStyle w:val="Heading2"/>
        <w:spacing w:line="480" w:lineRule="auto" w:before="0" w:after="0"/>
        <w:jc w:val="left"/>
      </w:pPr>
      <w:r>
        <w:rPr>
          <w:rFonts w:ascii="Times New Roman" w:hAnsi="Times New Roman" w:cs="Times New Roman" w:eastAsia="Times New Roman"/>
          <w:color w:val="000000"/>
          <w:sz w:val="24"/>
        </w:rPr>
        <w:t>Diagrama 8 — Infraestructura de Despliegue: Local, Colab A100 y AWS EC2</w:t>
      </w:r>
    </w:p>
    <w:p>
      <w:pPr>
        <w:pStyle w:val="FiguraIndice"/>
        <w:spacing w:before="0" w:after="0" w:line="480" w:lineRule="auto"/>
        <w:ind/>
        <w:jc w:val="left"/>
      </w:pPr>
      <w:r>
        <w:rPr>
          <w:rFonts w:ascii="Times New Roman" w:hAnsi="Times New Roman" w:cs="Times New Roman" w:eastAsia="Times New Roman"/>
          <w:b/>
          <w:i w:val="0"/>
          <w:color w:val="000000"/>
          <w:sz w:val="24"/>
        </w:rPr>
        <w:t>Figura B.8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ubica la infraestructura de ejecucion local, Colab A100 y AWS EC2 como soporte computacional del entrenamiento. Su funcion es explicar trazabilidad operacional y no introducir resultados externos a la carpeta Drive auditada.</w:t>
      </w:r>
    </w:p>
    <w:p>
      <w:pPr>
        <w:pStyle w:val="Heading2"/>
        <w:spacing w:line="480" w:lineRule="auto" w:before="0" w:after="0"/>
        <w:jc w:val="left"/>
      </w:pPr>
      <w:r>
        <w:rPr>
          <w:rFonts w:ascii="Times New Roman" w:hAnsi="Times New Roman" w:cs="Times New Roman" w:eastAsia="Times New Roman"/>
          <w:color w:val="000000"/>
          <w:sz w:val="24"/>
        </w:rPr>
        <w:t>Diagrama 9 — Estructura de Capas del Software</w:t>
      </w:r>
    </w:p>
    <w:p>
      <w:pPr>
        <w:pStyle w:val="FiguraIndice"/>
        <w:spacing w:before="0" w:after="0" w:line="480" w:lineRule="auto"/>
        <w:ind/>
        <w:jc w:val="left"/>
      </w:pPr>
      <w:r>
        <w:rPr>
          <w:rFonts w:ascii="Times New Roman" w:hAnsi="Times New Roman" w:cs="Times New Roman" w:eastAsia="Times New Roman"/>
          <w:b/>
          <w:i w:val="0"/>
          <w:color w:val="000000"/>
          <w:sz w:val="24"/>
        </w:rPr>
        <w:t>Figura B.9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sintetiza 7 capas de software: datos, entorno, agentes MADRL, entrenamiento, evaluacion, figuras y documento Word. La salida de tesis se reconstruye automaticamente desde scripts locales y artefactos reales, incluyendo 12 tratamientos, 597 filas episodicas y 351 checkpoints, reduciendo riesgo de transcripcion manual.</w:t>
      </w:r>
    </w:p>
    <w:p/>
    <w:p>
      <w:pPr>
        <w:pStyle w:val="Heading2"/>
        <w:spacing w:line="480" w:lineRule="auto" w:before="0" w:after="0"/>
        <w:jc w:val="left"/>
      </w:pPr>
      <w:r>
        <w:rPr>
          <w:rFonts w:ascii="Times New Roman" w:hAnsi="Times New Roman" w:cs="Times New Roman" w:eastAsia="Times New Roman"/>
          <w:b/>
          <w:color w:val="000000"/>
          <w:sz w:val="24"/>
        </w:rPr>
        <w:t>Referencias complementarias incorporadas en la revision</w:t>
      </w:r>
    </w:p>
    <w:p>
      <w:pPr>
        <w:spacing w:line="480" w:lineRule="auto" w:before="0" w:after="0"/>
        <w:ind w:left="432" w:firstLine="720"/>
        <w:jc w:val="both"/>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432" w:firstLine="720"/>
        <w:jc w:val="both"/>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432" w:firstLine="720"/>
        <w:jc w:val="both"/>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432" w:firstLine="720"/>
        <w:jc w:val="both"/>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432" w:firstLine="720"/>
        <w:jc w:val="both"/>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432" w:firstLine="720"/>
        <w:jc w:val="both"/>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432" w:firstLine="720"/>
        <w:jc w:val="both"/>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432" w:firstLine="720"/>
        <w:jc w:val="both"/>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432" w:firstLine="720"/>
        <w:jc w:val="both"/>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432" w:firstLine="720"/>
        <w:jc w:val="both"/>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432" w:firstLine="720"/>
        <w:jc w:val="both"/>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432" w:firstLine="720"/>
        <w:jc w:val="both"/>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432" w:firstLine="720"/>
        <w:jc w:val="both"/>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C. Auditoria de unificacion de documentos Word</w:t>
      </w:r>
    </w:p>
    <w:p>
      <w:pPr>
        <w:spacing w:before="0" w:after="0" w:line="480" w:lineRule="auto"/>
        <w:ind w:firstLine="720"/>
        <w:jc w:val="both"/>
      </w:pPr>
      <w:r>
        <w:rPr>
          <w:rFonts w:ascii="Times New Roman" w:hAnsi="Times New Roman" w:cs="Times New Roman" w:eastAsia="Times New Roman"/>
          <w:color w:val="000000"/>
          <w:sz w:val="24"/>
        </w:rPr>
        <w:t>Este anexo documenta la revision de todos los archivos Word localizados en la carpeta docs. La version final canonica integra la estructura de la tesis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
    <w:p>
      <w:pPr>
        <w:pStyle w:val="TablaIndice"/>
        <w:spacing w:before="0" w:after="0" w:line="480" w:lineRule="auto"/>
        <w:jc w:val="left"/>
      </w:pPr>
      <w:r>
        <w:rPr>
          <w:rFonts w:ascii="Times New Roman" w:hAnsi="Times New Roman" w:cs="Times New Roman" w:eastAsia="Times New Roman"/>
          <w:b/>
          <w:i w:val="0"/>
          <w:color w:val="000000"/>
          <w:sz w:val="24"/>
        </w:rPr>
        <w:t>Tabla C.1</w:t>
        <w:br/>
      </w:r>
      <w:r>
        <w:rPr>
          <w:rFonts w:ascii="Times New Roman" w:hAnsi="Times New Roman" w:cs="Times New Roman" w:eastAsia="Times New Roman"/>
          <w:b w:val="0"/>
          <w:i/>
          <w:color w:val="000000"/>
          <w:sz w:val="24"/>
        </w:rPr>
        <w:t>Auditoria de integracion y unificacion de documentos Word en docs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Documento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Bytes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Palabras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Tablas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Figuras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de integracion</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ABRIR_ESTE_WORD_FINAL_ANTECEDENTES_1_2_1_UNIFICADO.docx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ABRIR_ESTE_WORD_FINAL_CAPITULO_1_PLAN_TESIS_ACTUALIZADO.docx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ABRIR_ESTE_WORD_FINAL_FIGURA_5_5A_ACTUALIZADA.docx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ABRIR_ESTE_WORD_FINAL_FORMATO_APA_7.docx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ABRIR_ESTE_WORD_FINAL_INDICES_AUTOMATICOS.docx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ABRIR_ESTE_WORD_FINAL_JUSTIFICACION_1_2_2_1_LETRAS.docx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ABRIR_ESTE_WORD_FINAL_NOTAS_TABLAS_JUSTIFICADAS.docx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ABRIR_ESTE_WORD_FINAL_PALABRAS_CLAVE_LIBRERIAS_DATASET.docx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ABRIR_ESTE_WORD_FINAL_PROPUESTA_DETALLADA_ACTUALIZADA.docx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ABRIR_ESTE_WORD_FINAL_RESUMEN_CORREGIDO_SIN_DUPLICADOS.docx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ABRIR_ESTE_WORD_FINAL_RESUMEN_PALABRAS_CLAVE_ACTUALIZADO.doc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ABRIR_ESTE_WORD_FINAL_SALTOS_EXPLICITOS_VERIFICADOS.docx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ABRIR_ESTE_WORD_FINAL_SALTOS_PAGINA_CAPITULOS.docx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ABRIR_ESTE_WORD_FINAL_SALTOS_VISIBLES_EXPLICITOS.docx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ABRIR_ESTE_WORD_FINAL_SHAPIRO_ACTUALIZADO.docx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ABRIR_ESTE_WORD_FINAL_SIN_ANTECEDENTES_CAPITULO_1.docx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ABRIR_ESTE_WORD_FINAL_TABLAS_CON_NOTAS_APA.docx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ABRIR_ESTE_WORD_FINAL_TABLAS_FORMATO_APA.docx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ABRIR_ESTE_WORD_FINAL_TABLAS_NOTAS_APA_SIN_TEXTO_LETRA.docx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ABRIR_ESTE_WORD_FINAL_TEXTO_JUSTIFICADO.docx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ABRIR_ESTE_WORD_FINAL_TODAS_FIGURAS_APA_INTERPRETADAS.docx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Borrador_Tesis_MADRL_CityLearn_Iquitos.docx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Tesis_Doctoral_MADRL_CityLearn_Iquitos_FINAL_COMPLETA.docx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Tesis_Doctoral_MADRL_CityLearn_Iquitos_skill.docx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Tesis_Doctoral_MADRL_CityLearn_Iquitos_VERSION_ACTUALIZADA_M</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Tesis_Doctoral_MADRL_CityLearn_Iquitos_VERSION_FINAL_GDRIVE_</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Tesis_Doctoral_MADRL_CityLearn_Iquitos_VERSION_FINAL_UNIFICA</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auditoria documental de unificacion de archivos Word. Fuente: Elaboracion propia a partir de la revision automatizada de los archivos .docx existentes en la carpeta docs.</w:t>
      </w:r>
    </w:p>
    <w:p/>
    <w:p>
      <w:pPr>
        <w:spacing w:before="0" w:after="0" w:line="480" w:lineRule="auto"/>
        <w:ind w:firstLine="720"/>
        <w:jc w:val="both"/>
      </w:pPr>
      <w:r>
        <w:rPr>
          <w:rFonts w:ascii="Times New Roman" w:hAnsi="Times New Roman" w:cs="Times New Roman" w:eastAsia="Times New Roman"/>
          <w:color w:val="000000"/>
          <w:sz w:val="24"/>
        </w:rPr>
        <w:t>Resumen de cierre por capitulos. Capitulo 1: se valido problema, objetivos, hipotesis, justificacion, alcances y limitaciones. Capitulo 2: se integro estado del arte, bases teoricas, antecedentes internacionales/nacionales y formalizacion Dec-POMDP con triangulacion CityLearn, MADRL y evaluacion estadistica. Capitulo 3: se actualizo el enfoque como investigacion aplicada, cuantitativa y experimental-computacional factorial 4x3. Capitulo 4: se consolido arquitectura, modelo de IA, algoritmos, recompensa, implementacion y respuesta operacional a PE.1-PE.3. Capitulo 5: se priorizo la evidencia real de Drive, con metricas, figuras, tablas, comparacion por objetivo, edificios, equipamiento, checkpoints, trazas y pruebas inferenciales. Capitulo 6: se mantuvieron hallazgos, limitaciones, trabajo pendiente y plan de culminacion.</w:t>
      </w:r>
    </w:p>
    <w:p>
      <w:pPr>
        <w:spacing w:before="0" w:after="0" w:line="480" w:lineRule="auto"/>
        <w:ind w:firstLine="720"/>
        <w:jc w:val="both"/>
      </w:pPr>
      <w:r>
        <w:rPr>
          <w:rFonts w:ascii="Times New Roman" w:hAnsi="Times New Roman" w:cs="Times New Roman" w:eastAsia="Times New Roman"/>
          <w:color w:val="000000"/>
          <w:sz w:val="24"/>
        </w:rPr>
        <w:t>Criterio de no alucinacion documental: no se importaron cifras ni afirmaciones de versiones antiguas cuando contradicen los CSV, timeseries, traces, checkpoints o KPIs de la corrida Drive de 50 episodios. Todo resultado numerico vigente se conserva desde los artefactos auditables del proyecto local y del Drive indicado por el autor.</w:t>
      </w:r>
    </w:p>
    <w:sectPr w:rsidR="00FC693F" w:rsidRPr="0006063C" w:rsidSect="00034616">
      <w:headerReference w:type="default" r:id="rId66"/>
      <w:footerReference w:type="default" r:id="rId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header" Target="header1.xml"/><Relationship Id="rId6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