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2.2b resume la notacion formal; la operacionalizacion computacional se desarrolla en el Capitulo 4 sin alterar esta definicion teorica.</w:t>
      </w:r>
    </w:p>
    <w:p>
      <w:r>
        <w:rPr>
          <w:b/>
          <w:color w:val="595959"/>
          <w:sz w:val="19"/>
        </w:rPr>
        <w:t>Tabla 2.2b.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Estado global y observaciones locales. El estado global S se construye como la concatenacion de observaciones locales (ctde_state = concatenated_local_observations). Cada observacion o_i combina variables temporales (mes, hora, day_type), fisica del edificio (non_shiftable_load, dhw_demand, cooling_demand, solar_generation), estado del BESS (SOC, potencia nominal, acciones previas), estado de cada cargador EV (SOC_k, hora de salida_k, SOC requerido_k, llegada estimada_k, estado_k) y senales globales (carbon_intensity, electricity_pricing, outdoor_dry_bulb_temperature, diffuse_solar_irradiance, direct_solar_irradiance). La heterogeneidad dimensional refleja la diversidad operativa del distrito: edificios con flotas EV extensas (p. ej. B06 con 32 cargadores, B07 con 42) concentran observaciones y acciones de mayor dimension.</w:t>
      </w:r>
    </w:p>
    <w:p>
      <w:pPr>
        <w:spacing w:after="120" w:line="276" w:lineRule="auto"/>
        <w:jc w:val="both"/>
      </w:pPr>
      <w:r>
        <w:t>Espacios de accion. Cada accion a_i controla recursos flexibles del edificio i: potencia de carga/descarga del BESS (electrical_storage), potencia de carga de cada cargador EV (electric_vehicle_storage_charger_k) y control de carga desplazable (washing_machine). Las cargas no controlables permanecen como referencia de demanda base. La transicion T incorpora el balance energetico del distrito, el modelo RC de temperatura, la dinamica del almacenamiento con eficiencia round-trip 0.9025 y los perfiles estocasticos de llegada/salida de vehiculos electricos.</w:t>
      </w:r>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Los valores numericos del perfil unificado comparable v4 (peak_weight = 0.45, ramp_weight = 0.35, ev_weight = 0.25, reward_scale = 1.00) y la implementacion exacta de cada termino se documentan en las Secciones 4.2-4.5, evitando duplicar aqui el detalle de codigo.</w:t>
      </w:r>
    </w:p>
    <w:p>
      <w:pPr>
        <w:spacing w:after="120" w:line="276" w:lineRule="auto"/>
        <w:jc w:val="both"/>
      </w:pPr>
      <w:r>
        <w:t>Condicion de observabilidad parcial estricta. Durante la ejecucion descentralizada, cada politica pi_i(a_i | o_i) actua solo con o_i; el estado global s solo es accesible durante el entrenamiento bajo CTDE (Seccion 2.2.4). Esta separacion es coherente con el paradigma Dec-POMDP: la informacion completa del distrito no esta disponible en operacion, pero puede usarse para aprender coordinacion. El Capitulo 4 desarrolla wrappers PettingZoo, espacios de estado/accion y la clase CityLearnV3MADRLRewardFunction que instancian esta formalizacion sobre CityLearn v2 extendido (CityLearn v3 propuesto).</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el algoritmo MADRL de mayor efecto sobre D-VD.1 en E1 es MATD3 (Flexibilidad compuesta = 1.0009). El contraste inferencial Kruskal-Wallis sobre KPI-gains en E1 arroja p = 0.281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el algoritmo MADRL de mayor efecto sobre D-VD.2 en E2 es MATD3 (Delta CO2 (kg) = 23,070). El contraste inferencial Kruskal-Wallis sobre KPI-gains en E2 arroja p = 0.546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el algoritmo MADRL de mayor efecto sobre D-VD.3 en E3 es MAAC (Delta costo electrico (EUR) = 9,515). El contraste inferencial Kruskal-Wallis sobre KPI-gains en E3 arroja p = 0.388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5.11.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ALL MASAC vs MATD3 (p = 0,0049) y MASAC vs MAAC (p &lt; 0,001); en OE.1, MASAC vs MAAC (p = 0,0013). Estos contrastes son exploratorios sobre KPI-gains pareados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HE.2</w:t>
            </w:r>
          </w:p>
        </w:tc>
        <w:tc>
          <w:tcPr>
            <w:tcW w:type="dxa" w:w="1134"/>
          </w:tcPr>
          <w:p>
            <w:r/>
            <w:r>
              <w:rPr>
                <w:sz w:val="18"/>
              </w:rPr>
              <w:t>OE.2 / E2</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r>
        <w:tc>
          <w:tcPr>
            <w:tcW w:type="dxa" w:w="850"/>
          </w:tcPr>
          <w:p>
            <w:r/>
            <w:r>
              <w:rPr>
                <w:sz w:val="18"/>
              </w:rPr>
              <w:t>HE.3</w:t>
            </w:r>
          </w:p>
        </w:tc>
        <w:tc>
          <w:tcPr>
            <w:tcW w:type="dxa" w:w="1134"/>
          </w:tcPr>
          <w:p>
            <w:r/>
            <w:r>
              <w:rPr>
                <w:sz w:val="18"/>
              </w:rPr>
              <w:t>OE.3 / E3</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bl>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5.6),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por objetivo especifico</w:t>
      </w:r>
    </w:p>
    <w:p>
      <w:pPr>
        <w:jc w:val="both"/>
      </w:pPr>
      <w:r>
        <w:rPr>
          <w:b w:val="0"/>
          <w:i w:val="0"/>
        </w:rPr>
        <w:t>Tabla 5.21 sintetiza el cumplimiento de cada OE en dos planos: descriptivo (KPI distrital y ranking normalizado) e inferencial (Kruskal-Wallis sobre KPI-gains, alpha = 0,05). Un OE se considera cumplido descriptivamente cuando se identifica el algoritmo de mayor efecto con datos auditados; inferencialmente cuando KW rechaza H0 (ninguno alcanza con una semilla). HE.1–HE.3 y HG se vinculan explicitamente.</w:t>
      </w:r>
    </w:p>
    <w:p>
      <w:r>
        <w:rPr>
          <w:b/>
          <w:color w:val="595959"/>
          <w:sz w:val="19"/>
        </w:rPr>
        <w:t>Tabla 5.21. Veredicto de cumplimiento OE.1–OE.3 y HG (corrida canonica 50 ep).</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680"/>
            <w:shd w:val="clear" w:color="auto" w:fill="1F4E79"/>
          </w:tcPr>
          <w:p>
            <w:r/>
            <w:r>
              <w:rPr>
                <w:b/>
                <w:color w:val="FFFFFF"/>
                <w:sz w:val="18"/>
              </w:rPr>
              <w:t>OE</w:t>
            </w:r>
          </w:p>
        </w:tc>
        <w:tc>
          <w:tcPr>
            <w:tcW w:type="dxa" w:w="1020"/>
            <w:shd w:val="clear" w:color="auto" w:fill="1F4E79"/>
          </w:tcPr>
          <w:p>
            <w:r/>
            <w:r>
              <w:rPr>
                <w:b/>
                <w:color w:val="FFFFFF"/>
                <w:sz w:val="18"/>
              </w:rPr>
              <w:t>VD / Esc.</w:t>
            </w:r>
          </w:p>
        </w:tc>
        <w:tc>
          <w:tcPr>
            <w:tcW w:type="dxa" w:w="567"/>
            <w:shd w:val="clear" w:color="auto" w:fill="1F4E79"/>
          </w:tcPr>
          <w:p>
            <w:r/>
            <w:r>
              <w:rPr>
                <w:b/>
                <w:color w:val="FFFFFF"/>
                <w:sz w:val="18"/>
              </w:rPr>
              <w:t>Hip.</w:t>
            </w:r>
          </w:p>
        </w:tc>
        <w:tc>
          <w:tcPr>
            <w:tcW w:type="dxa" w:w="850"/>
            <w:shd w:val="clear" w:color="auto" w:fill="1F4E79"/>
          </w:tcPr>
          <w:p>
            <w:r/>
            <w:r>
              <w:rPr>
                <w:b/>
                <w:color w:val="FFFFFF"/>
                <w:sz w:val="18"/>
              </w:rPr>
              <w:t>Mejor VI</w:t>
            </w:r>
          </w:p>
        </w:tc>
        <w:tc>
          <w:tcPr>
            <w:tcW w:type="dxa" w:w="1587"/>
            <w:shd w:val="clear" w:color="auto" w:fill="1F4E79"/>
          </w:tcPr>
          <w:p>
            <w:r/>
            <w:r>
              <w:rPr>
                <w:b/>
                <w:color w:val="FFFFFF"/>
                <w:sz w:val="18"/>
              </w:rPr>
              <w:t>Evidencia KPI</w:t>
            </w:r>
          </w:p>
        </w:tc>
        <w:tc>
          <w:tcPr>
            <w:tcW w:type="dxa" w:w="850"/>
            <w:shd w:val="clear" w:color="auto" w:fill="1F4E79"/>
          </w:tcPr>
          <w:p>
            <w:r/>
            <w:r>
              <w:rPr>
                <w:b/>
                <w:color w:val="FFFFFF"/>
                <w:sz w:val="18"/>
              </w:rPr>
              <w:t>Desc.</w:t>
            </w:r>
          </w:p>
        </w:tc>
        <w:tc>
          <w:tcPr>
            <w:tcW w:type="dxa" w:w="1020"/>
            <w:shd w:val="clear" w:color="auto" w:fill="1F4E79"/>
          </w:tcPr>
          <w:p>
            <w:r/>
            <w:r>
              <w:rPr>
                <w:b/>
                <w:color w:val="FFFFFF"/>
                <w:sz w:val="18"/>
              </w:rPr>
              <w:t>Infer.</w:t>
            </w:r>
          </w:p>
        </w:tc>
        <w:tc>
          <w:tcPr>
            <w:tcW w:type="dxa" w:w="1417"/>
            <w:shd w:val="clear" w:color="auto" w:fill="1F4E79"/>
          </w:tcPr>
          <w:p>
            <w:r/>
            <w:r>
              <w:rPr>
                <w:b/>
                <w:color w:val="FFFFFF"/>
                <w:sz w:val="18"/>
              </w:rPr>
              <w:t>Veredicto</w:t>
            </w:r>
          </w:p>
        </w:tc>
      </w:tr>
      <w:tr>
        <w:tc>
          <w:tcPr>
            <w:tcW w:type="dxa" w:w="680"/>
          </w:tcPr>
          <w:p>
            <w:r/>
            <w:r>
              <w:rPr>
                <w:sz w:val="18"/>
              </w:rPr>
              <w:t>OE.1</w:t>
            </w:r>
          </w:p>
        </w:tc>
        <w:tc>
          <w:tcPr>
            <w:tcW w:type="dxa" w:w="1020"/>
          </w:tcPr>
          <w:p>
            <w:r/>
            <w:r>
              <w:rPr>
                <w:sz w:val="18"/>
              </w:rPr>
              <w:t>D-VD.1 / E1</w:t>
            </w:r>
          </w:p>
        </w:tc>
        <w:tc>
          <w:tcPr>
            <w:tcW w:type="dxa" w:w="567"/>
          </w:tcPr>
          <w:p>
            <w:r/>
            <w:r>
              <w:rPr>
                <w:sz w:val="18"/>
              </w:rPr>
              <w:t>HE.1</w:t>
            </w:r>
          </w:p>
        </w:tc>
        <w:tc>
          <w:tcPr>
            <w:tcW w:type="dxa" w:w="850"/>
          </w:tcPr>
          <w:p>
            <w:r/>
            <w:r>
              <w:rPr>
                <w:sz w:val="18"/>
              </w:rPr>
              <w:t>MATD3</w:t>
            </w:r>
          </w:p>
        </w:tc>
        <w:tc>
          <w:tcPr>
            <w:tcW w:type="dxa" w:w="1587"/>
          </w:tcPr>
          <w:p>
            <w:r/>
            <w:r>
              <w:rPr>
                <w:sz w:val="18"/>
              </w:rPr>
              <w:t>flex_composite = 1,0009; score = 1,0000</w:t>
            </w:r>
          </w:p>
        </w:tc>
        <w:tc>
          <w:tcPr>
            <w:tcW w:type="dxa" w:w="850"/>
          </w:tcPr>
          <w:p>
            <w:r/>
            <w:r>
              <w:rPr>
                <w:sz w:val="18"/>
              </w:rPr>
              <w:t>Si (descriptivo)</w:t>
            </w:r>
          </w:p>
        </w:tc>
        <w:tc>
          <w:tcPr>
            <w:tcW w:type="dxa" w:w="1020"/>
          </w:tcPr>
          <w:p>
            <w:r/>
            <w:r>
              <w:rPr>
                <w:sz w:val="18"/>
              </w:rPr>
              <w:t>No (KW p = 0,281)</w:t>
            </w:r>
          </w:p>
        </w:tc>
        <w:tc>
          <w:tcPr>
            <w:tcW w:type="dxa" w:w="1417"/>
          </w:tcPr>
          <w:p>
            <w:r/>
            <w:r>
              <w:rPr>
                <w:sz w:val="18"/>
              </w:rPr>
              <w:t>Cumplido parcialmente: lider identificado; inferencia no confirmatoria</w:t>
            </w:r>
          </w:p>
        </w:tc>
      </w:tr>
      <w:tr>
        <w:tc>
          <w:tcPr>
            <w:tcW w:type="dxa" w:w="680"/>
          </w:tcPr>
          <w:p>
            <w:r/>
            <w:r>
              <w:rPr>
                <w:sz w:val="18"/>
              </w:rPr>
              <w:t>OE.2</w:t>
            </w:r>
          </w:p>
        </w:tc>
        <w:tc>
          <w:tcPr>
            <w:tcW w:type="dxa" w:w="1020"/>
          </w:tcPr>
          <w:p>
            <w:r/>
            <w:r>
              <w:rPr>
                <w:sz w:val="18"/>
              </w:rPr>
              <w:t>D-VD.2 / E2</w:t>
            </w:r>
          </w:p>
        </w:tc>
        <w:tc>
          <w:tcPr>
            <w:tcW w:type="dxa" w:w="567"/>
          </w:tcPr>
          <w:p>
            <w:r/>
            <w:r>
              <w:rPr>
                <w:sz w:val="18"/>
              </w:rPr>
              <w:t>HE.2</w:t>
            </w:r>
          </w:p>
        </w:tc>
        <w:tc>
          <w:tcPr>
            <w:tcW w:type="dxa" w:w="850"/>
          </w:tcPr>
          <w:p>
            <w:r/>
            <w:r>
              <w:rPr>
                <w:sz w:val="18"/>
              </w:rPr>
              <w:t>MATD3</w:t>
            </w:r>
          </w:p>
        </w:tc>
        <w:tc>
          <w:tcPr>
            <w:tcW w:type="dxa" w:w="1587"/>
          </w:tcPr>
          <w:p>
            <w:r/>
            <w:r>
              <w:rPr>
                <w:sz w:val="18"/>
              </w:rPr>
              <w:t>delta CO2 = 23 070 kg; score = 1,0000</w:t>
            </w:r>
          </w:p>
        </w:tc>
        <w:tc>
          <w:tcPr>
            <w:tcW w:type="dxa" w:w="850"/>
          </w:tcPr>
          <w:p>
            <w:r/>
            <w:r>
              <w:rPr>
                <w:sz w:val="18"/>
              </w:rPr>
              <w:t>Si (descriptivo)</w:t>
            </w:r>
          </w:p>
        </w:tc>
        <w:tc>
          <w:tcPr>
            <w:tcW w:type="dxa" w:w="1020"/>
          </w:tcPr>
          <w:p>
            <w:r/>
            <w:r>
              <w:rPr>
                <w:sz w:val="18"/>
              </w:rPr>
              <w:t>No (KW p = 0,546)</w:t>
            </w:r>
          </w:p>
        </w:tc>
        <w:tc>
          <w:tcPr>
            <w:tcW w:type="dxa" w:w="1417"/>
          </w:tcPr>
          <w:p>
            <w:r/>
            <w:r>
              <w:rPr>
                <w:sz w:val="18"/>
              </w:rPr>
              <w:t>Cumplido parcialmente: menor emision entre MADRL; RBC supera globalmente</w:t>
            </w:r>
          </w:p>
        </w:tc>
      </w:tr>
      <w:tr>
        <w:tc>
          <w:tcPr>
            <w:tcW w:type="dxa" w:w="680"/>
          </w:tcPr>
          <w:p>
            <w:r/>
            <w:r>
              <w:rPr>
                <w:sz w:val="18"/>
              </w:rPr>
              <w:t>OE.3</w:t>
            </w:r>
          </w:p>
        </w:tc>
        <w:tc>
          <w:tcPr>
            <w:tcW w:type="dxa" w:w="1020"/>
          </w:tcPr>
          <w:p>
            <w:r/>
            <w:r>
              <w:rPr>
                <w:sz w:val="18"/>
              </w:rPr>
              <w:t>D-VD.3 / E3</w:t>
            </w:r>
          </w:p>
        </w:tc>
        <w:tc>
          <w:tcPr>
            <w:tcW w:type="dxa" w:w="567"/>
          </w:tcPr>
          <w:p>
            <w:r/>
            <w:r>
              <w:rPr>
                <w:sz w:val="18"/>
              </w:rPr>
              <w:t>HE.3</w:t>
            </w:r>
          </w:p>
        </w:tc>
        <w:tc>
          <w:tcPr>
            <w:tcW w:type="dxa" w:w="850"/>
          </w:tcPr>
          <w:p>
            <w:r/>
            <w:r>
              <w:rPr>
                <w:sz w:val="18"/>
              </w:rPr>
              <w:t>MAAC</w:t>
            </w:r>
          </w:p>
        </w:tc>
        <w:tc>
          <w:tcPr>
            <w:tcW w:type="dxa" w:w="1587"/>
          </w:tcPr>
          <w:p>
            <w:r/>
            <w:r>
              <w:rPr>
                <w:sz w:val="18"/>
              </w:rPr>
              <w:t>delta costo = 9 515 EUR; score = 1,0000</w:t>
            </w:r>
          </w:p>
        </w:tc>
        <w:tc>
          <w:tcPr>
            <w:tcW w:type="dxa" w:w="850"/>
          </w:tcPr>
          <w:p>
            <w:r/>
            <w:r>
              <w:rPr>
                <w:sz w:val="18"/>
              </w:rPr>
              <w:t>Si (descriptivo)</w:t>
            </w:r>
          </w:p>
        </w:tc>
        <w:tc>
          <w:tcPr>
            <w:tcW w:type="dxa" w:w="1020"/>
          </w:tcPr>
          <w:p>
            <w:r/>
            <w:r>
              <w:rPr>
                <w:sz w:val="18"/>
              </w:rPr>
              <w:t>No (KW p = 0,388)</w:t>
            </w:r>
          </w:p>
        </w:tc>
        <w:tc>
          <w:tcPr>
            <w:tcW w:type="dxa" w:w="1417"/>
          </w:tcPr>
          <w:p>
            <w:r/>
            <w:r>
              <w:rPr>
                <w:sz w:val="18"/>
              </w:rPr>
              <w:t>Cumplido parcialmente: lider costos identificado; hour_rbc supera en score eje</w:t>
            </w:r>
          </w:p>
        </w:tc>
      </w:tr>
      <w:tr>
        <w:tc>
          <w:tcPr>
            <w:tcW w:type="dxa" w:w="680"/>
          </w:tcPr>
          <w:p>
            <w:r/>
            <w:r>
              <w:rPr>
                <w:sz w:val="18"/>
              </w:rPr>
              <w:t>OG</w:t>
            </w:r>
          </w:p>
        </w:tc>
        <w:tc>
          <w:tcPr>
            <w:tcW w:type="dxa" w:w="1020"/>
          </w:tcPr>
          <w:p>
            <w:r/>
            <w:r>
              <w:rPr>
                <w:sz w:val="18"/>
              </w:rPr>
              <w:t>ALL</w:t>
            </w:r>
          </w:p>
        </w:tc>
        <w:tc>
          <w:tcPr>
            <w:tcW w:type="dxa" w:w="567"/>
          </w:tcPr>
          <w:p>
            <w:r/>
            <w:r>
              <w:rPr>
                <w:sz w:val="18"/>
              </w:rPr>
              <w:t>HG</w:t>
            </w:r>
          </w:p>
        </w:tc>
        <w:tc>
          <w:tcPr>
            <w:tcW w:type="dxa" w:w="850"/>
          </w:tcPr>
          <w:p>
            <w:r/>
            <w:r>
              <w:rPr>
                <w:sz w:val="18"/>
              </w:rPr>
              <w:t>MATD3</w:t>
            </w:r>
          </w:p>
        </w:tc>
        <w:tc>
          <w:tcPr>
            <w:tcW w:type="dxa" w:w="1587"/>
          </w:tcPr>
          <w:p>
            <w:r/>
            <w:r>
              <w:rPr>
                <w:sz w:val="18"/>
              </w:rPr>
              <w:t>score global = 0,6667 (2/3 ejes)</w:t>
            </w:r>
          </w:p>
        </w:tc>
        <w:tc>
          <w:tcPr>
            <w:tcW w:type="dxa" w:w="850"/>
          </w:tcPr>
          <w:p>
            <w:r/>
            <w:r>
              <w:rPr>
                <w:sz w:val="18"/>
              </w:rPr>
              <w:t>Si (descriptivo)</w:t>
            </w:r>
          </w:p>
        </w:tc>
        <w:tc>
          <w:tcPr>
            <w:tcW w:type="dxa" w:w="1020"/>
          </w:tcPr>
          <w:p>
            <w:r/>
            <w:r>
              <w:rPr>
                <w:sz w:val="18"/>
              </w:rPr>
              <w:t>No (KW p = 0,155)</w:t>
            </w:r>
          </w:p>
        </w:tc>
        <w:tc>
          <w:tcPr>
            <w:tcW w:type="dxa" w:w="1417"/>
          </w:tcPr>
          <w:p>
            <w:r/>
            <w:r>
              <w:rPr>
                <w:sz w:val="18"/>
              </w:rPr>
              <w:t>Cumplido parcialmente: mejor integracion MADRL; sin dominancia universal</w:t>
            </w:r>
          </w:p>
        </w:tc>
      </w:tr>
    </w:tbl>
    <w:p/>
    <w:p>
      <w:pPr>
        <w:jc w:val="both"/>
      </w:pPr>
      <w:r>
        <w:rPr>
          <w:b w:val="0"/>
          <w:i w:val="0"/>
        </w:rPr>
        <w:t>Conclusion operativa: los tres objetivos especificos se cumplen en el sentido descriptivo exigido por la tesis (identificacion del algoritmo de mayor efecto por eje), pero ninguno alcanza significancia inferencial omnibus con una semilla. La hipotesis global HG se sustenta descriptivamente en MATD3; Wilcoxon ALL (MASAC vs MATD3, p = 0,0049) sugiere diferencias exploratorias en KPI-gains pareados que requieren replicacion multi-semilla.</w:t>
      </w:r>
    </w:p>
    <w:p>
      <w:r>
        <w:br w:type="page"/>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5.17);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por OE se reporta en seccion 5.9 y Tabla 5.21.</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