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Inferential tests on the canonical run were executed: Kruskal-Wallis ALL p=0.155 (not significant at alpha=0.05); Wilcoxon MASAC vs MATD3 p=0.0049. MATD3 leads descriptively but CityLearn v2 baseline outperforms MADRL on global HPHI score.</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2.2.3 Dec-POMDP como formalizacion del problema doctoral</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2.2b resume la notacion formal; la operacionalizacion computacional se desarrolla en el Capitulo 4 sin alterar esta definicion teorica.</w:t>
      </w:r>
    </w:p>
    <w:p>
      <w:r>
        <w:rPr>
          <w:b/>
          <w:color w:val="595959"/>
          <w:sz w:val="19"/>
        </w:rPr>
        <w:t>Tabla 2.2b.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Estado global y observaciones locales. El estado global S se construye como la concatenacion de observaciones locales (ctde_state = concatenated_local_observations). Cada observacion o_i combina variables temporales (mes, hora, day_type), fisica del edificio (non_shiftable_load, dhw_demand, cooling_demand, solar_generation), estado del BESS (SOC, potencia nominal, acciones previas), estado de cada cargador EV (SOC_k, hora de salida_k, SOC requerido_k, llegada estimada_k, estado_k) y senales globales (carbon_intensity, electricity_pricing, outdoor_dry_bulb_temperature, diffuse_solar_irradiance, direct_solar_irradiance). La heterogeneidad dimensional refleja la diversidad operativa del distrito: edificios con flotas EV extensas (p. ej. B06 con 32 cargadores, B07 con 42) concentran observaciones y acciones de mayor dimension.</w:t>
      </w:r>
    </w:p>
    <w:p>
      <w:pPr>
        <w:spacing w:after="120" w:line="276" w:lineRule="auto"/>
        <w:jc w:val="both"/>
      </w:pPr>
      <w:r>
        <w:t>Espacios de accion. Cada accion a_i controla recursos flexibles del edificio i: potencia de carga/descarga del BESS (electrical_storage), potencia de carga de cada cargador EV (electric_vehicle_storage_charger_k) y control de carga desplazable (washing_machine). Las cargas no controlables permanecen como referencia de demanda base. La transicion T incorpora el balance energetico del distrito, el modelo RC de temperatura, la dinamica del almacenamiento con eficiencia round-trip 0.9025 y los perfiles estocasticos de llegada/salida de vehiculos electricos.</w:t>
      </w:r>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Los valores numericos del perfil unificado comparable v4 (peak_weight = 0.45, ramp_weight = 0.35, ev_weight = 0.25, reward_scale = 1.00) y la implementacion exacta de cada termino se documentan en las Secciones 4.2-4.5, evitando duplicar aqui el detalle de codigo.</w:t>
      </w:r>
    </w:p>
    <w:p>
      <w:pPr>
        <w:spacing w:after="120" w:line="276" w:lineRule="auto"/>
        <w:jc w:val="both"/>
      </w:pPr>
      <w:r>
        <w:t>Condicion de observabilidad parcial estricta. Durante la ejecucion descentralizada, cada politica pi_i(a_i | o_i) actua solo con o_i; el estado global s solo es accesible durante el entrenamiento bajo CTDE (Seccion 2.2.4). Esta separacion es coherente con el paradigma Dec-POMDP: la informacion completa del distrito no esta disponible en operacion, pero puede usarse para aprender coordinacion. El Capitulo 4 desarrolla wrappers PettingZoo, espacios de estado/accion y la clase CityLearnV3MADRLRewardFunction que instancian esta formalizacion sobre CityLearn v2 extendido (CityLearn v3 propuesto).</w:t>
      </w:r>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pPr>
      <w:r>
        <w:t>2.5 Antecedentes internacionales y nacionales usados en la version final</w:t>
      </w:r>
    </w:p>
    <w:p>
      <w:pPr>
        <w:spacing w:after="120" w:line="276" w:lineRule="auto"/>
        <w:jc w:val="both"/>
      </w:pPr>
      <w:r>
        <w:t>Para cerrar el marco teorico, se incorporan antecedentes internacionales y nacionales/contextuales. Los internacionales provienen de la lista APA del proyecto y sustentan CityLearn, MADRL, flexibilidad, CO2 y costos. Los nacionales sustentan el contexto peruano de emisiones, tarifas, red aislada, vehiculos electricos y evidencia local de aprendizaje automatico aplicado al sector energetico. Las fuentes nacionales no se usan para inventar resultados MADRL; se emplean para justificar pertinencia del caso SEAI Iquitos y condiciones de frontera.</w:t>
      </w:r>
    </w:p>
    <w:p>
      <w:r>
        <w:rPr>
          <w:b/>
          <w:color w:val="595959"/>
          <w:sz w:val="19"/>
        </w:rPr>
        <w:t>Tabla 2.4. Cinco antecedentes internacionales y cinco nacionales/contextuales.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Tipo</w:t>
            </w:r>
          </w:p>
        </w:tc>
        <w:tc>
          <w:tcPr>
            <w:tcW w:type="dxa" w:w="2280"/>
            <w:shd w:val="clear" w:color="auto" w:fill="1F4E79"/>
          </w:tcPr>
          <w:p>
            <w:r/>
            <w:r>
              <w:rPr>
                <w:b/>
                <w:color w:val="FFFFFF"/>
                <w:sz w:val="14"/>
              </w:rPr>
              <w:t>Fuente</w:t>
            </w:r>
          </w:p>
        </w:tc>
        <w:tc>
          <w:tcPr>
            <w:tcW w:type="dxa" w:w="2280"/>
            <w:shd w:val="clear" w:color="auto" w:fill="1F4E79"/>
          </w:tcPr>
          <w:p>
            <w:r/>
            <w:r>
              <w:rPr>
                <w:b/>
                <w:color w:val="FFFFFF"/>
                <w:sz w:val="14"/>
              </w:rPr>
              <w:t>Aporte</w:t>
            </w:r>
          </w:p>
        </w:tc>
        <w:tc>
          <w:tcPr>
            <w:tcW w:type="dxa" w:w="2280"/>
            <w:shd w:val="clear" w:color="auto" w:fill="1F4E79"/>
          </w:tcPr>
          <w:p>
            <w:r/>
            <w:r>
              <w:rPr>
                <w:b/>
                <w:color w:val="FFFFFF"/>
                <w:sz w:val="14"/>
              </w:rPr>
              <w:t>Uso en la tesis</w:t>
            </w:r>
          </w:p>
        </w:tc>
      </w:tr>
      <w:tr>
        <w:tc>
          <w:tcPr>
            <w:tcW w:type="dxa" w:w="2280"/>
          </w:tcPr>
          <w:p>
            <w:r/>
            <w:r>
              <w:rPr>
                <w:sz w:val="14"/>
              </w:rPr>
              <w:t>Internacional</w:t>
            </w:r>
          </w:p>
        </w:tc>
        <w:tc>
          <w:tcPr>
            <w:tcW w:type="dxa" w:w="2280"/>
          </w:tcPr>
          <w:p>
            <w:r/>
            <w:r>
              <w:rPr>
                <w:sz w:val="14"/>
              </w:rPr>
              <w:t>Vazquez-Canteli &amp; Nagy (2019a)</w:t>
            </w:r>
          </w:p>
        </w:tc>
        <w:tc>
          <w:tcPr>
            <w:tcW w:type="dxa" w:w="2280"/>
          </w:tcPr>
          <w:p>
            <w:r/>
            <w:r>
              <w:rPr>
                <w:sz w:val="14"/>
              </w:rPr>
              <w:t>CityLearn v1.0 para respuesta a la demanda multiedificio.</w:t>
            </w:r>
          </w:p>
        </w:tc>
        <w:tc>
          <w:tcPr>
            <w:tcW w:type="dxa" w:w="2280"/>
          </w:tcPr>
          <w:p>
            <w:r/>
            <w:r>
              <w:rPr>
                <w:sz w:val="14"/>
              </w:rPr>
              <w:t>Base historica del entorno de simulacion y KPIs de flexibilidad.</w:t>
            </w:r>
          </w:p>
        </w:tc>
      </w:tr>
      <w:tr>
        <w:tc>
          <w:tcPr>
            <w:tcW w:type="dxa" w:w="2280"/>
          </w:tcPr>
          <w:p>
            <w:r/>
            <w:r>
              <w:rPr>
                <w:sz w:val="14"/>
              </w:rPr>
              <w:t>Internacional</w:t>
            </w:r>
          </w:p>
        </w:tc>
        <w:tc>
          <w:tcPr>
            <w:tcW w:type="dxa" w:w="2280"/>
          </w:tcPr>
          <w:p>
            <w:r/>
            <w:r>
              <w:rPr>
                <w:sz w:val="14"/>
              </w:rPr>
              <w:t>Nweye et al. (2024)</w:t>
            </w:r>
          </w:p>
        </w:tc>
        <w:tc>
          <w:tcPr>
            <w:tcW w:type="dxa" w:w="2280"/>
          </w:tcPr>
          <w:p>
            <w:r/>
            <w:r>
              <w:rPr>
                <w:sz w:val="14"/>
              </w:rPr>
              <w:t>CityLearn v2 integra EV, BESS, PV, carbono y comunidades grid-interactive.</w:t>
            </w:r>
          </w:p>
        </w:tc>
        <w:tc>
          <w:tcPr>
            <w:tcW w:type="dxa" w:w="2280"/>
          </w:tcPr>
          <w:p>
            <w:r/>
            <w:r>
              <w:rPr>
                <w:sz w:val="14"/>
              </w:rPr>
              <w:t>Base oficial sobre la que se construye CityLearn v3 propuesto.</w:t>
            </w:r>
          </w:p>
        </w:tc>
      </w:tr>
      <w:tr>
        <w:tc>
          <w:tcPr>
            <w:tcW w:type="dxa" w:w="2280"/>
          </w:tcPr>
          <w:p>
            <w:r/>
            <w:r>
              <w:rPr>
                <w:sz w:val="14"/>
              </w:rPr>
              <w:t>Internacional</w:t>
            </w:r>
          </w:p>
        </w:tc>
        <w:tc>
          <w:tcPr>
            <w:tcW w:type="dxa" w:w="2280"/>
          </w:tcPr>
          <w:p>
            <w:r/>
            <w:r>
              <w:rPr>
                <w:sz w:val="14"/>
              </w:rPr>
              <w:t>Yao et al. (2023)</w:t>
            </w:r>
          </w:p>
        </w:tc>
        <w:tc>
          <w:tcPr>
            <w:tcW w:type="dxa" w:w="2280"/>
          </w:tcPr>
          <w:p>
            <w:r/>
            <w:r>
              <w:rPr>
                <w:sz w:val="14"/>
              </w:rPr>
              <w:t>MADRL para gestion energetica de comunidades con PV/BESS/EV.</w:t>
            </w:r>
          </w:p>
        </w:tc>
        <w:tc>
          <w:tcPr>
            <w:tcW w:type="dxa" w:w="2280"/>
          </w:tcPr>
          <w:p>
            <w:r/>
            <w:r>
              <w:rPr>
                <w:sz w:val="14"/>
              </w:rPr>
              <w:t>Antecedente directo para OE.1 y OE.3.</w:t>
            </w:r>
          </w:p>
        </w:tc>
      </w:tr>
      <w:tr>
        <w:tc>
          <w:tcPr>
            <w:tcW w:type="dxa" w:w="2280"/>
          </w:tcPr>
          <w:p>
            <w:r/>
            <w:r>
              <w:rPr>
                <w:sz w:val="14"/>
              </w:rPr>
              <w:t>Internacional</w:t>
            </w:r>
          </w:p>
        </w:tc>
        <w:tc>
          <w:tcPr>
            <w:tcW w:type="dxa" w:w="2280"/>
          </w:tcPr>
          <w:p>
            <w:r/>
            <w:r>
              <w:rPr>
                <w:sz w:val="14"/>
              </w:rPr>
              <w:t>Liu et al. (2022)</w:t>
            </w:r>
          </w:p>
        </w:tc>
        <w:tc>
          <w:tcPr>
            <w:tcW w:type="dxa" w:w="2280"/>
          </w:tcPr>
          <w:p>
            <w:r/>
            <w:r>
              <w:rPr>
                <w:sz w:val="14"/>
              </w:rPr>
              <w:t>MADRL en edificios con renovables para costo y CO2.</w:t>
            </w:r>
          </w:p>
        </w:tc>
        <w:tc>
          <w:tcPr>
            <w:tcW w:type="dxa" w:w="2280"/>
          </w:tcPr>
          <w:p>
            <w:r/>
            <w:r>
              <w:rPr>
                <w:sz w:val="14"/>
              </w:rPr>
              <w:t>Antecedente directo para OE.2 y multiobjetivo.</w:t>
            </w:r>
          </w:p>
        </w:tc>
      </w:tr>
      <w:tr>
        <w:tc>
          <w:tcPr>
            <w:tcW w:type="dxa" w:w="2280"/>
          </w:tcPr>
          <w:p>
            <w:r/>
            <w:r>
              <w:rPr>
                <w:sz w:val="14"/>
              </w:rPr>
              <w:t>Internacional</w:t>
            </w:r>
          </w:p>
        </w:tc>
        <w:tc>
          <w:tcPr>
            <w:tcW w:type="dxa" w:w="2280"/>
          </w:tcPr>
          <w:p>
            <w:r/>
            <w:r>
              <w:rPr>
                <w:sz w:val="14"/>
              </w:rPr>
              <w:t>Iqbal &amp; Sha (2019)</w:t>
            </w:r>
          </w:p>
        </w:tc>
        <w:tc>
          <w:tcPr>
            <w:tcW w:type="dxa" w:w="2280"/>
          </w:tcPr>
          <w:p>
            <w:r/>
            <w:r>
              <w:rPr>
                <w:sz w:val="14"/>
              </w:rPr>
              <w:t>Actor-Attention-Critic para coordinacion multiagente.</w:t>
            </w:r>
          </w:p>
        </w:tc>
        <w:tc>
          <w:tcPr>
            <w:tcW w:type="dxa" w:w="2280"/>
          </w:tcPr>
          <w:p>
            <w:r/>
            <w:r>
              <w:rPr>
                <w:sz w:val="14"/>
              </w:rPr>
              <w:t>Fundamento teorico de MAAC y coordinacion selectiva.</w:t>
            </w:r>
          </w:p>
        </w:tc>
      </w:tr>
      <w:tr>
        <w:tc>
          <w:tcPr>
            <w:tcW w:type="dxa" w:w="2280"/>
          </w:tcPr>
          <w:p>
            <w:r/>
            <w:r>
              <w:rPr>
                <w:sz w:val="14"/>
              </w:rPr>
              <w:t>Nacional</w:t>
            </w:r>
          </w:p>
        </w:tc>
        <w:tc>
          <w:tcPr>
            <w:tcW w:type="dxa" w:w="2280"/>
          </w:tcPr>
          <w:p>
            <w:r/>
            <w:r>
              <w:rPr>
                <w:sz w:val="14"/>
              </w:rPr>
              <w:t>MINAM (2019)</w:t>
            </w:r>
          </w:p>
        </w:tc>
        <w:tc>
          <w:tcPr>
            <w:tcW w:type="dxa" w:w="2280"/>
          </w:tcPr>
          <w:p>
            <w:r/>
            <w:r>
              <w:rPr>
                <w:sz w:val="14"/>
              </w:rPr>
              <w:t>Factor de emision RAGEI para energia en Peru.</w:t>
            </w:r>
          </w:p>
        </w:tc>
        <w:tc>
          <w:tcPr>
            <w:tcW w:type="dxa" w:w="2280"/>
          </w:tcPr>
          <w:p>
            <w:r/>
            <w:r>
              <w:rPr>
                <w:sz w:val="14"/>
              </w:rPr>
              <w:t>Sustenta CI base 0,790 kgCO2/kWh del SEAI Iquitos.</w:t>
            </w:r>
          </w:p>
        </w:tc>
      </w:tr>
      <w:tr>
        <w:tc>
          <w:tcPr>
            <w:tcW w:type="dxa" w:w="2280"/>
          </w:tcPr>
          <w:p>
            <w:r/>
            <w:r>
              <w:rPr>
                <w:sz w:val="14"/>
              </w:rPr>
              <w:t>Nacional</w:t>
            </w:r>
          </w:p>
        </w:tc>
        <w:tc>
          <w:tcPr>
            <w:tcW w:type="dxa" w:w="2280"/>
          </w:tcPr>
          <w:p>
            <w:r/>
            <w:r>
              <w:rPr>
                <w:sz w:val="14"/>
              </w:rPr>
              <w:t>OSINERGMIN (2024)</w:t>
            </w:r>
          </w:p>
        </w:tc>
        <w:tc>
          <w:tcPr>
            <w:tcW w:type="dxa" w:w="2280"/>
          </w:tcPr>
          <w:p>
            <w:r/>
            <w:r>
              <w:rPr>
                <w:sz w:val="14"/>
              </w:rPr>
              <w:t>Tarifas de distribucion y demanda maxima para Electro Oriente.</w:t>
            </w:r>
          </w:p>
        </w:tc>
        <w:tc>
          <w:tcPr>
            <w:tcW w:type="dxa" w:w="2280"/>
          </w:tcPr>
          <w:p>
            <w:r/>
            <w:r>
              <w:rPr>
                <w:sz w:val="14"/>
              </w:rPr>
              <w:t>Sustenta costos, TOU y KPI de pico facturable.</w:t>
            </w:r>
          </w:p>
        </w:tc>
      </w:tr>
      <w:tr>
        <w:tc>
          <w:tcPr>
            <w:tcW w:type="dxa" w:w="2280"/>
          </w:tcPr>
          <w:p>
            <w:r/>
            <w:r>
              <w:rPr>
                <w:sz w:val="14"/>
              </w:rPr>
              <w:t>Nacional</w:t>
            </w:r>
          </w:p>
        </w:tc>
        <w:tc>
          <w:tcPr>
            <w:tcW w:type="dxa" w:w="2280"/>
          </w:tcPr>
          <w:p>
            <w:r/>
            <w:r>
              <w:rPr>
                <w:sz w:val="14"/>
              </w:rPr>
              <w:t>Electro Oriente S.A. / dataset del proyecto</w:t>
            </w:r>
          </w:p>
        </w:tc>
        <w:tc>
          <w:tcPr>
            <w:tcW w:type="dxa" w:w="2280"/>
          </w:tcPr>
          <w:p>
            <w:r/>
            <w:r>
              <w:rPr>
                <w:sz w:val="14"/>
              </w:rPr>
              <w:t>Facturacion y perfiles de edificios reales del SEAI Iquitos.</w:t>
            </w:r>
          </w:p>
        </w:tc>
        <w:tc>
          <w:tcPr>
            <w:tcW w:type="dxa" w:w="2280"/>
          </w:tcPr>
          <w:p>
            <w:r/>
            <w:r>
              <w:rPr>
                <w:sz w:val="14"/>
              </w:rPr>
              <w:t>Sustenta demanda, edificios y caso aplicado nacional.</w:t>
            </w:r>
          </w:p>
        </w:tc>
      </w:tr>
      <w:tr>
        <w:tc>
          <w:tcPr>
            <w:tcW w:type="dxa" w:w="2280"/>
          </w:tcPr>
          <w:p>
            <w:r/>
            <w:r>
              <w:rPr>
                <w:sz w:val="14"/>
              </w:rPr>
              <w:t>Nacional</w:t>
            </w:r>
          </w:p>
        </w:tc>
        <w:tc>
          <w:tcPr>
            <w:tcW w:type="dxa" w:w="2280"/>
          </w:tcPr>
          <w:p>
            <w:r/>
            <w:r>
              <w:rPr>
                <w:sz w:val="14"/>
              </w:rPr>
              <w:t>Juarez Valles (2024), registro ALICIA/CONCYTEC</w:t>
            </w:r>
          </w:p>
        </w:tc>
        <w:tc>
          <w:tcPr>
            <w:tcW w:type="dxa" w:w="2280"/>
          </w:tcPr>
          <w:p>
            <w:r/>
            <w:r>
              <w:rPr>
                <w:sz w:val="14"/>
              </w:rPr>
              <w:t>Aprendizaje por refuerzo y LSTM para eficiencia de subestacion de 215 kVA.</w:t>
            </w:r>
          </w:p>
        </w:tc>
        <w:tc>
          <w:tcPr>
            <w:tcW w:type="dxa" w:w="2280"/>
          </w:tcPr>
          <w:p>
            <w:r/>
            <w:r>
              <w:rPr>
                <w:sz w:val="14"/>
              </w:rPr>
              <w:t>Antecedente peruano de IA/RL aplicada a eficiencia electrica; requiere ficha APA completa antes de deposito final.</w:t>
            </w:r>
          </w:p>
        </w:tc>
      </w:tr>
      <w:tr>
        <w:tc>
          <w:tcPr>
            <w:tcW w:type="dxa" w:w="2280"/>
          </w:tcPr>
          <w:p>
            <w:r/>
            <w:r>
              <w:rPr>
                <w:sz w:val="14"/>
              </w:rPr>
              <w:t>Nacional</w:t>
            </w:r>
          </w:p>
        </w:tc>
        <w:tc>
          <w:tcPr>
            <w:tcW w:type="dxa" w:w="2280"/>
          </w:tcPr>
          <w:p>
            <w:r/>
            <w:r>
              <w:rPr>
                <w:sz w:val="14"/>
              </w:rPr>
              <w:t>Prociencia (2024), proyecto PUCP 94714</w:t>
            </w:r>
          </w:p>
        </w:tc>
        <w:tc>
          <w:tcPr>
            <w:tcW w:type="dxa" w:w="2280"/>
          </w:tcPr>
          <w:p>
            <w:r/>
            <w:r>
              <w:rPr>
                <w:sz w:val="14"/>
              </w:rPr>
              <w:t>IA e ISO 15118 para gestion inteligente de estaciones de recarga EV con PV y baterias de segundo uso.</w:t>
            </w:r>
          </w:p>
        </w:tc>
        <w:tc>
          <w:tcPr>
            <w:tcW w:type="dxa" w:w="2280"/>
          </w:tcPr>
          <w:p>
            <w:r/>
            <w:r>
              <w:rPr>
                <w:sz w:val="14"/>
              </w:rPr>
              <w:t>Antecedente nacional de I+D en EV, PV, baterias e IA aplicada.</w:t>
            </w:r>
          </w:p>
        </w:tc>
      </w:tr>
    </w:tbl>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organiza la evidencia experimental de la corrida canonica Colab/Drive (madrl_v3_20260627_164047, 50 episodios) en dos niveles complementarios: (A) analisis por algoritmo MADRL (convergencia, estabilidad, heterogeneidad edificio) y (B) analisis por objetivo especifico (OE.1, OE.2, OE.3) siguiendo la cadena VI→VD del diseno factorial. La sintesis integrada, la comparacion con baseline CityLearn v2 y la inferencia estadistica cierran el capitulo con veredicto explicito de cumplimiento por OE.</w:t>
      </w:r>
    </w:p>
    <w:p>
      <w:pPr>
        <w:pStyle w:val="Heading2"/>
      </w:pPr>
      <w:r>
        <w:t>5.1 Marco de contrastacion VI→VD y cobertura experimental</w:t>
      </w:r>
    </w:p>
    <w:p>
      <w:r>
        <w:rPr>
          <w:b/>
          <w:color w:val="595959"/>
          <w:sz w:val="19"/>
        </w:rPr>
        <w:t>Tabla 5.1. Operacionalizacion objetivo→escenario→KPI (corrida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984"/>
            <w:shd w:val="clear" w:color="auto" w:fill="1F4E79"/>
          </w:tcPr>
          <w:p>
            <w:r/>
            <w:r>
              <w:rPr>
                <w:b/>
                <w:color w:val="FFFFFF"/>
                <w:sz w:val="18"/>
              </w:rPr>
              <w:t>Objetivo</w:t>
            </w:r>
          </w:p>
        </w:tc>
        <w:tc>
          <w:tcPr>
            <w:tcW w:type="dxa" w:w="85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 distrito</w:t>
            </w:r>
          </w:p>
        </w:tc>
        <w:tc>
          <w:tcPr>
            <w:tcW w:type="dxa" w:w="2098"/>
            <w:shd w:val="clear" w:color="auto" w:fill="1F4E79"/>
          </w:tcPr>
          <w:p>
            <w:r/>
            <w:r>
              <w:rPr>
                <w:b/>
                <w:color w:val="FFFFFF"/>
                <w:sz w:val="18"/>
              </w:rPr>
              <w:t>Pesos recompensa</w:t>
            </w:r>
          </w:p>
        </w:tc>
      </w:tr>
      <w:tr>
        <w:tc>
          <w:tcPr>
            <w:tcW w:type="dxa" w:w="1984"/>
          </w:tcPr>
          <w:p>
            <w:r/>
            <w:r>
              <w:rPr>
                <w:sz w:val="18"/>
              </w:rPr>
              <w:t>OE.1 Flexibilidad</w:t>
            </w:r>
          </w:p>
        </w:tc>
        <w:tc>
          <w:tcPr>
            <w:tcW w:type="dxa" w:w="850"/>
          </w:tcPr>
          <w:p>
            <w:r/>
            <w:r>
              <w:rPr>
                <w:sz w:val="18"/>
              </w:rPr>
              <w:t>E1</w:t>
            </w:r>
          </w:p>
        </w:tc>
        <w:tc>
          <w:tcPr>
            <w:tcW w:type="dxa" w:w="1020"/>
          </w:tcPr>
          <w:p>
            <w:r/>
            <w:r>
              <w:rPr>
                <w:sz w:val="18"/>
              </w:rPr>
              <w:t>D-VD.1</w:t>
            </w:r>
          </w:p>
        </w:tc>
        <w:tc>
          <w:tcPr>
            <w:tcW w:type="dxa" w:w="2551"/>
          </w:tcPr>
          <w:p>
            <w:r/>
            <w:r>
              <w:rPr>
                <w:sz w:val="18"/>
              </w:rPr>
              <w:t>flex_composite, peak, ramping</w:t>
            </w:r>
          </w:p>
        </w:tc>
        <w:tc>
          <w:tcPr>
            <w:tcW w:type="dxa" w:w="2098"/>
          </w:tcPr>
          <w:p>
            <w:r/>
            <w:r>
              <w:rPr>
                <w:sz w:val="18"/>
              </w:rPr>
              <w:t>[0,70; 0,15; 0,15]</w:t>
            </w:r>
          </w:p>
        </w:tc>
      </w:tr>
      <w:tr>
        <w:tc>
          <w:tcPr>
            <w:tcW w:type="dxa" w:w="1984"/>
          </w:tcPr>
          <w:p>
            <w:r/>
            <w:r>
              <w:rPr>
                <w:sz w:val="18"/>
              </w:rPr>
              <w:t>OE.2 Emisiones CO2</w:t>
            </w:r>
          </w:p>
        </w:tc>
        <w:tc>
          <w:tcPr>
            <w:tcW w:type="dxa" w:w="850"/>
          </w:tcPr>
          <w:p>
            <w:r/>
            <w:r>
              <w:rPr>
                <w:sz w:val="18"/>
              </w:rPr>
              <w:t>E2</w:t>
            </w:r>
          </w:p>
        </w:tc>
        <w:tc>
          <w:tcPr>
            <w:tcW w:type="dxa" w:w="1020"/>
          </w:tcPr>
          <w:p>
            <w:r/>
            <w:r>
              <w:rPr>
                <w:sz w:val="18"/>
              </w:rPr>
              <w:t>D-VD.2</w:t>
            </w:r>
          </w:p>
        </w:tc>
        <w:tc>
          <w:tcPr>
            <w:tcW w:type="dxa" w:w="2551"/>
          </w:tcPr>
          <w:p>
            <w:r/>
            <w:r>
              <w:rPr>
                <w:sz w:val="18"/>
              </w:rPr>
              <w:t>carbon_emissions_delta_kg</w:t>
            </w:r>
          </w:p>
        </w:tc>
        <w:tc>
          <w:tcPr>
            <w:tcW w:type="dxa" w:w="2098"/>
          </w:tcPr>
          <w:p>
            <w:r/>
            <w:r>
              <w:rPr>
                <w:sz w:val="18"/>
              </w:rPr>
              <w:t>[0,15; 0,70; 0,15]</w:t>
            </w:r>
          </w:p>
        </w:tc>
      </w:tr>
      <w:tr>
        <w:tc>
          <w:tcPr>
            <w:tcW w:type="dxa" w:w="1984"/>
          </w:tcPr>
          <w:p>
            <w:r/>
            <w:r>
              <w:rPr>
                <w:sz w:val="18"/>
              </w:rPr>
              <w:t>OE.3 Costos</w:t>
            </w:r>
          </w:p>
        </w:tc>
        <w:tc>
          <w:tcPr>
            <w:tcW w:type="dxa" w:w="850"/>
          </w:tcPr>
          <w:p>
            <w:r/>
            <w:r>
              <w:rPr>
                <w:sz w:val="18"/>
              </w:rPr>
              <w:t>E3</w:t>
            </w:r>
          </w:p>
        </w:tc>
        <w:tc>
          <w:tcPr>
            <w:tcW w:type="dxa" w:w="1020"/>
          </w:tcPr>
          <w:p>
            <w:r/>
            <w:r>
              <w:rPr>
                <w:sz w:val="18"/>
              </w:rPr>
              <w:t>D-VD.3</w:t>
            </w:r>
          </w:p>
        </w:tc>
        <w:tc>
          <w:tcPr>
            <w:tcW w:type="dxa" w:w="2551"/>
          </w:tcPr>
          <w:p>
            <w:r/>
            <w:r>
              <w:rPr>
                <w:sz w:val="18"/>
              </w:rPr>
              <w:t>electricity_cost_delta_eur</w:t>
            </w:r>
          </w:p>
        </w:tc>
        <w:tc>
          <w:tcPr>
            <w:tcW w:type="dxa" w:w="2098"/>
          </w:tcPr>
          <w:p>
            <w:r/>
            <w:r>
              <w:rPr>
                <w:sz w:val="18"/>
              </w:rPr>
              <w:t>[0,15; 0,15; 0,70]</w:t>
            </w:r>
          </w:p>
        </w:tc>
      </w:tr>
    </w:tbl>
    <w:p/>
    <w:p>
      <w:r>
        <w:rPr>
          <w:b/>
          <w:color w:val="595959"/>
          <w:sz w:val="19"/>
        </w:rPr>
        <w:t>Tabla 5.2. Cobertura de episodios auditada (episodes_recorded).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val="clear" w:color="auto" w:fill="1F4E79"/>
          </w:tcPr>
          <w:p>
            <w:r/>
            <w:r>
              <w:rPr>
                <w:b/>
                <w:color w:val="FFFFFF"/>
                <w:sz w:val="18"/>
              </w:rPr>
              <w:t>Algoritmo (VI)</w:t>
            </w:r>
          </w:p>
        </w:tc>
        <w:tc>
          <w:tcPr>
            <w:tcW w:type="dxa" w:w="1020"/>
            <w:shd w:val="clear" w:color="auto" w:fill="1F4E79"/>
          </w:tcPr>
          <w:p>
            <w:r/>
            <w:r>
              <w:rPr>
                <w:b/>
                <w:color w:val="FFFFFF"/>
                <w:sz w:val="18"/>
              </w:rPr>
              <w:t>E1 ep.</w:t>
            </w:r>
          </w:p>
        </w:tc>
        <w:tc>
          <w:tcPr>
            <w:tcW w:type="dxa" w:w="1020"/>
            <w:shd w:val="clear" w:color="auto" w:fill="1F4E79"/>
          </w:tcPr>
          <w:p>
            <w:r/>
            <w:r>
              <w:rPr>
                <w:b/>
                <w:color w:val="FFFFFF"/>
                <w:sz w:val="18"/>
              </w:rPr>
              <w:t>E2 ep.</w:t>
            </w:r>
          </w:p>
        </w:tc>
        <w:tc>
          <w:tcPr>
            <w:tcW w:type="dxa" w:w="1020"/>
            <w:shd w:val="clear" w:color="auto" w:fill="1F4E79"/>
          </w:tcPr>
          <w:p>
            <w:r/>
            <w:r>
              <w:rPr>
                <w:b/>
                <w:color w:val="FFFFFF"/>
                <w:sz w:val="18"/>
              </w:rPr>
              <w:t>E3 ep.</w:t>
            </w:r>
          </w:p>
        </w:tc>
        <w:tc>
          <w:tcPr>
            <w:tcW w:type="dxa" w:w="1417"/>
            <w:shd w:val="clear" w:color="auto" w:fill="1F4E79"/>
          </w:tcPr>
          <w:p>
            <w:r/>
            <w:r>
              <w:rPr>
                <w:b/>
                <w:color w:val="FFFFFF"/>
                <w:sz w:val="18"/>
              </w:rPr>
              <w:t>KPIs finales</w:t>
            </w:r>
          </w:p>
        </w:tc>
        <w:tc>
          <w:tcPr>
            <w:tcW w:type="dxa" w:w="2041"/>
            <w:shd w:val="clear" w:color="auto" w:fill="1F4E79"/>
          </w:tcPr>
          <w:p>
            <w:r/>
            <w:r>
              <w:rPr>
                <w:b/>
                <w:color w:val="FFFFFF"/>
                <w:sz w:val="18"/>
              </w:rPr>
              <w:t>Uso en OE</w:t>
            </w:r>
          </w:p>
        </w:tc>
      </w:tr>
      <w:tr>
        <w:tc>
          <w:tcPr>
            <w:tcW w:type="dxa" w:w="1417"/>
          </w:tcPr>
          <w:p>
            <w:r/>
            <w:r>
              <w:rPr>
                <w:sz w:val="18"/>
              </w:rPr>
              <w:t>MATD3</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MASAC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HAPPO</w:t>
            </w:r>
          </w:p>
        </w:tc>
        <w:tc>
          <w:tcPr>
            <w:tcW w:type="dxa" w:w="1020"/>
          </w:tcPr>
          <w:p>
            <w:r/>
            <w:r>
              <w:rPr>
                <w:sz w:val="18"/>
              </w:rPr>
              <w:t>49</w:t>
            </w:r>
          </w:p>
        </w:tc>
        <w:tc>
          <w:tcPr>
            <w:tcW w:type="dxa" w:w="1020"/>
          </w:tcPr>
          <w:p>
            <w:r/>
            <w:r>
              <w:rPr>
                <w:sz w:val="18"/>
              </w:rPr>
              <w:t>49</w:t>
            </w:r>
          </w:p>
        </w:tc>
        <w:tc>
          <w:tcPr>
            <w:tcW w:type="dxa" w:w="1020"/>
          </w:tcPr>
          <w:p>
            <w:r/>
            <w:r>
              <w:rPr>
                <w:sz w:val="18"/>
              </w:rPr>
              <w:t>49</w:t>
            </w:r>
          </w:p>
        </w:tc>
        <w:tc>
          <w:tcPr>
            <w:tcW w:type="dxa" w:w="1417"/>
          </w:tcPr>
          <w:p>
            <w:r/>
            <w:r>
              <w:rPr>
                <w:sz w:val="18"/>
              </w:rPr>
              <w:t>No</w:t>
            </w:r>
          </w:p>
        </w:tc>
        <w:tc>
          <w:tcPr>
            <w:tcW w:type="dxa" w:w="2041"/>
          </w:tcPr>
          <w:p>
            <w:r/>
            <w:r>
              <w:rPr>
                <w:sz w:val="18"/>
              </w:rPr>
              <w:t>Excluido (VecEnvWrapper)</w:t>
            </w:r>
          </w:p>
        </w:tc>
      </w:tr>
    </w:tbl>
    <w:p/>
    <w:p>
      <w:pPr>
        <w:pStyle w:val="Heading2"/>
      </w:pPr>
      <w:r>
        <w:t>5.2 Analisis de convergencia, aprendizaje y desempeno por algoritmo MADRL</w:t>
      </w:r>
    </w:p>
    <w:p>
      <w:pPr>
        <w:jc w:val="both"/>
      </w:pPr>
      <w:r>
        <w:rPr>
          <w:b w:val="0"/>
          <w:i w:val="0"/>
        </w:rPr>
        <w:t>Esta seccion complementa el analisis por objetivo especifico (secciones 5.3–5.5) con una lectura longitudinal por algoritmo sobre la corrida canonica de 50 episodios. Para cada MADRL se reportan: (i) trayectoria de reward_mean y episodio de meseta; (ii) estabilidad (varianza intra-entrenamiento); (iii) KPIs distritales por escenario E1/E2/E3; (iv) heterogeneidad entre los 17 edificios; y (v) comportamiento EV/BESS cuando los datos lo permiten. La interpretacion se alinea con la literatura CityLearn: algoritmos off-policy actor-critico (MASAC, MATD3) y atencion cooperativa (MAAC) exhiben patrones de convergencia distintos; HAPPO on-policy muestra mayor varianza inter-episodio en entornos multiagente (Yu et al., 2022; Vazquez-Canteli et al., 2024).</w:t>
      </w:r>
    </w:p>
    <w:p>
      <w:pPr>
        <w:pStyle w:val="Heading3"/>
      </w:pPr>
      <w:r>
        <w:t>5.2.1 MATD3</w:t>
      </w:r>
    </w:p>
    <w:p>
      <w:pPr>
        <w:jc w:val="both"/>
      </w:pPr>
      <w:r>
        <w:rPr>
          <w:b w:val="0"/>
          <w:i w:val="0"/>
        </w:rPr>
        <w:t>MATD3 (Multi-Agent Twin Delayed DDPG) combina politica determinista con retraso de actualizacion del actor y ruido de exploracion gaussiano. En CityLearn, TD3 y variantes multiagente han mostrado convergencia rapida en costos pero sensibilidad a la escala de recompensa (Fujimoto et al., 2018; Di Savino et al., 2025). En Iquitos, MATD3 lidera OE.1 y OE.2 descriptivamente y obtiene el mejor score global (0,6667), con la mayor tasa de exito EV (43,9% en E1) y flex_composite distrital minimo (1,0009).</w:t>
      </w:r>
    </w:p>
    <w:p>
      <w:r>
        <w:rPr>
          <w:b/>
          <w:color w:val="595959"/>
          <w:sz w:val="19"/>
        </w:rPr>
        <w:t>Tabla 5.3-MATD3. Convergencia y estabilidad de MATD3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-0.6330</w:t>
            </w:r>
          </w:p>
        </w:tc>
        <w:tc>
          <w:tcPr>
            <w:tcW w:type="dxa" w:w="1134"/>
          </w:tcPr>
          <w:p>
            <w:r/>
            <w:r>
              <w:rPr>
                <w:sz w:val="18"/>
              </w:rPr>
              <w:t>0.0466</w:t>
            </w:r>
          </w:p>
        </w:tc>
        <w:tc>
          <w:tcPr>
            <w:tcW w:type="dxa" w:w="850"/>
          </w:tcPr>
          <w:p>
            <w:r/>
            <w:r>
              <w:rPr>
                <w:sz w:val="18"/>
              </w:rPr>
              <w:t>0.0736</w:t>
            </w:r>
          </w:p>
        </w:tc>
        <w:tc>
          <w:tcPr>
            <w:tcW w:type="dxa" w:w="1020"/>
          </w:tcPr>
          <w:p>
            <w:r/>
            <w:r>
              <w:rPr>
                <w:sz w:val="18"/>
              </w:rPr>
              <w:t>13</w:t>
            </w:r>
          </w:p>
        </w:tc>
        <w:tc>
          <w:tcPr>
            <w:tcW w:type="dxa" w:w="1417"/>
          </w:tcPr>
          <w:p>
            <w:r/>
            <w:r>
              <w:rPr>
                <w:sz w:val="18"/>
              </w:rPr>
              <w:t>0.0942</w:t>
            </w:r>
          </w:p>
        </w:tc>
      </w:tr>
      <w:tr>
        <w:tc>
          <w:tcPr>
            <w:tcW w:type="dxa" w:w="680"/>
          </w:tcPr>
          <w:p>
            <w:r/>
            <w:r>
              <w:rPr>
                <w:sz w:val="18"/>
              </w:rPr>
              <w:t>E2</w:t>
            </w:r>
          </w:p>
        </w:tc>
        <w:tc>
          <w:tcPr>
            <w:tcW w:type="dxa" w:w="680"/>
          </w:tcPr>
          <w:p>
            <w:r/>
            <w:r>
              <w:rPr>
                <w:sz w:val="18"/>
              </w:rPr>
              <w:t>50</w:t>
            </w:r>
          </w:p>
        </w:tc>
        <w:tc>
          <w:tcPr>
            <w:tcW w:type="dxa" w:w="1247"/>
          </w:tcPr>
          <w:p>
            <w:r/>
            <w:r>
              <w:rPr>
                <w:sz w:val="18"/>
              </w:rPr>
              <w:t>-0.5336</w:t>
            </w:r>
          </w:p>
        </w:tc>
        <w:tc>
          <w:tcPr>
            <w:tcW w:type="dxa" w:w="1134"/>
          </w:tcPr>
          <w:p>
            <w:r/>
            <w:r>
              <w:rPr>
                <w:sz w:val="18"/>
              </w:rPr>
              <w:t>0.0100</w:t>
            </w:r>
          </w:p>
        </w:tc>
        <w:tc>
          <w:tcPr>
            <w:tcW w:type="dxa" w:w="850"/>
          </w:tcPr>
          <w:p>
            <w:r/>
            <w:r>
              <w:rPr>
                <w:sz w:val="18"/>
              </w:rPr>
              <w:t>0.0188</w:t>
            </w:r>
          </w:p>
        </w:tc>
        <w:tc>
          <w:tcPr>
            <w:tcW w:type="dxa" w:w="1020"/>
          </w:tcPr>
          <w:p>
            <w:r/>
            <w:r>
              <w:rPr>
                <w:sz w:val="18"/>
              </w:rPr>
              <w:t>4</w:t>
            </w:r>
          </w:p>
        </w:tc>
        <w:tc>
          <w:tcPr>
            <w:tcW w:type="dxa" w:w="1417"/>
          </w:tcPr>
          <w:p>
            <w:r/>
            <w:r>
              <w:rPr>
                <w:sz w:val="18"/>
              </w:rPr>
              <w:t>0.0078</w:t>
            </w:r>
          </w:p>
        </w:tc>
      </w:tr>
      <w:tr>
        <w:tc>
          <w:tcPr>
            <w:tcW w:type="dxa" w:w="680"/>
          </w:tcPr>
          <w:p>
            <w:r/>
            <w:r>
              <w:rPr>
                <w:sz w:val="18"/>
              </w:rPr>
              <w:t>E3</w:t>
            </w:r>
          </w:p>
        </w:tc>
        <w:tc>
          <w:tcPr>
            <w:tcW w:type="dxa" w:w="680"/>
          </w:tcPr>
          <w:p>
            <w:r/>
            <w:r>
              <w:rPr>
                <w:sz w:val="18"/>
              </w:rPr>
              <w:t>50</w:t>
            </w:r>
          </w:p>
        </w:tc>
        <w:tc>
          <w:tcPr>
            <w:tcW w:type="dxa" w:w="1247"/>
          </w:tcPr>
          <w:p>
            <w:r/>
            <w:r>
              <w:rPr>
                <w:sz w:val="18"/>
              </w:rPr>
              <w:t>-0.5504</w:t>
            </w:r>
          </w:p>
        </w:tc>
        <w:tc>
          <w:tcPr>
            <w:tcW w:type="dxa" w:w="1134"/>
          </w:tcPr>
          <w:p>
            <w:r/>
            <w:r>
              <w:rPr>
                <w:sz w:val="18"/>
              </w:rPr>
              <w:t>0.0143</w:t>
            </w:r>
          </w:p>
        </w:tc>
        <w:tc>
          <w:tcPr>
            <w:tcW w:type="dxa" w:w="850"/>
          </w:tcPr>
          <w:p>
            <w:r/>
            <w:r>
              <w:rPr>
                <w:sz w:val="18"/>
              </w:rPr>
              <w:t>0.0260</w:t>
            </w:r>
          </w:p>
        </w:tc>
        <w:tc>
          <w:tcPr>
            <w:tcW w:type="dxa" w:w="1020"/>
          </w:tcPr>
          <w:p>
            <w:r/>
            <w:r>
              <w:rPr>
                <w:sz w:val="18"/>
              </w:rPr>
              <w:t>4</w:t>
            </w:r>
          </w:p>
        </w:tc>
        <w:tc>
          <w:tcPr>
            <w:tcW w:type="dxa" w:w="1417"/>
          </w:tcPr>
          <w:p>
            <w:r/>
            <w:r>
              <w:rPr>
                <w:sz w:val="18"/>
              </w:rPr>
              <w:t>0.0170</w:t>
            </w:r>
          </w:p>
        </w:tc>
      </w:tr>
    </w:tbl>
    <w:p/>
    <w:p>
      <w:r>
        <w:rPr>
          <w:b/>
          <w:color w:val="595959"/>
          <w:sz w:val="19"/>
        </w:rPr>
        <w:t>Tabla 5.4-MATD3. KPIs distritales por escenario (MATD3,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1.0009</w:t>
            </w:r>
          </w:p>
        </w:tc>
        <w:tc>
          <w:tcPr>
            <w:tcW w:type="dxa" w:w="1417"/>
          </w:tcPr>
          <w:p>
            <w:r/>
            <w:r>
              <w:rPr>
                <w:sz w:val="18"/>
              </w:rPr>
              <w:t>36,723</w:t>
            </w:r>
          </w:p>
        </w:tc>
        <w:tc>
          <w:tcPr>
            <w:tcW w:type="dxa" w:w="1417"/>
          </w:tcPr>
          <w:p>
            <w:r/>
            <w:r>
              <w:rPr>
                <w:sz w:val="18"/>
              </w:rPr>
              <w:t>33,075</w:t>
            </w:r>
          </w:p>
        </w:tc>
        <w:tc>
          <w:tcPr>
            <w:tcW w:type="dxa" w:w="1020"/>
          </w:tcPr>
          <w:p>
            <w:r/>
            <w:r>
              <w:rPr>
                <w:sz w:val="18"/>
              </w:rPr>
              <w:t>43.9%</w:t>
            </w:r>
          </w:p>
        </w:tc>
        <w:tc>
          <w:tcPr>
            <w:tcW w:type="dxa" w:w="1134"/>
          </w:tcPr>
          <w:p>
            <w:r/>
            <w:r>
              <w:rPr>
                <w:sz w:val="18"/>
              </w:rPr>
              <w:t>44,795</w:t>
            </w:r>
          </w:p>
        </w:tc>
      </w:tr>
      <w:tr>
        <w:tc>
          <w:tcPr>
            <w:tcW w:type="dxa" w:w="680"/>
          </w:tcPr>
          <w:p>
            <w:r/>
            <w:r>
              <w:rPr>
                <w:sz w:val="18"/>
              </w:rPr>
              <w:t>E2</w:t>
            </w:r>
          </w:p>
        </w:tc>
        <w:tc>
          <w:tcPr>
            <w:tcW w:type="dxa" w:w="1247"/>
          </w:tcPr>
          <w:p>
            <w:r/>
            <w:r>
              <w:rPr>
                <w:sz w:val="18"/>
              </w:rPr>
              <w:t>1.0007</w:t>
            </w:r>
          </w:p>
        </w:tc>
        <w:tc>
          <w:tcPr>
            <w:tcW w:type="dxa" w:w="1417"/>
          </w:tcPr>
          <w:p>
            <w:r/>
            <w:r>
              <w:rPr>
                <w:sz w:val="18"/>
              </w:rPr>
              <w:t>23,070</w:t>
            </w:r>
          </w:p>
        </w:tc>
        <w:tc>
          <w:tcPr>
            <w:tcW w:type="dxa" w:w="1417"/>
          </w:tcPr>
          <w:p>
            <w:r/>
            <w:r>
              <w:rPr>
                <w:sz w:val="18"/>
              </w:rPr>
              <w:t>13,935</w:t>
            </w:r>
          </w:p>
        </w:tc>
        <w:tc>
          <w:tcPr>
            <w:tcW w:type="dxa" w:w="1020"/>
          </w:tcPr>
          <w:p>
            <w:r/>
            <w:r>
              <w:rPr>
                <w:sz w:val="18"/>
              </w:rPr>
              <w:t>36.4%</w:t>
            </w:r>
          </w:p>
        </w:tc>
        <w:tc>
          <w:tcPr>
            <w:tcW w:type="dxa" w:w="1134"/>
          </w:tcPr>
          <w:p>
            <w:r/>
            <w:r>
              <w:rPr>
                <w:sz w:val="18"/>
              </w:rPr>
              <w:t>26,169</w:t>
            </w:r>
          </w:p>
        </w:tc>
      </w:tr>
      <w:tr>
        <w:tc>
          <w:tcPr>
            <w:tcW w:type="dxa" w:w="680"/>
          </w:tcPr>
          <w:p>
            <w:r/>
            <w:r>
              <w:rPr>
                <w:sz w:val="18"/>
              </w:rPr>
              <w:t>E3</w:t>
            </w:r>
          </w:p>
        </w:tc>
        <w:tc>
          <w:tcPr>
            <w:tcW w:type="dxa" w:w="1247"/>
          </w:tcPr>
          <w:p>
            <w:r/>
            <w:r>
              <w:rPr>
                <w:sz w:val="18"/>
              </w:rPr>
              <w:t>1.0006</w:t>
            </w:r>
          </w:p>
        </w:tc>
        <w:tc>
          <w:tcPr>
            <w:tcW w:type="dxa" w:w="1417"/>
          </w:tcPr>
          <w:p>
            <w:r/>
            <w:r>
              <w:rPr>
                <w:sz w:val="18"/>
              </w:rPr>
              <w:t>41,293</w:t>
            </w:r>
          </w:p>
        </w:tc>
        <w:tc>
          <w:tcPr>
            <w:tcW w:type="dxa" w:w="1417"/>
          </w:tcPr>
          <w:p>
            <w:r/>
            <w:r>
              <w:rPr>
                <w:sz w:val="18"/>
              </w:rPr>
              <w:t>44,399</w:t>
            </w:r>
          </w:p>
        </w:tc>
        <w:tc>
          <w:tcPr>
            <w:tcW w:type="dxa" w:w="1020"/>
          </w:tcPr>
          <w:p>
            <w:r/>
            <w:r>
              <w:rPr>
                <w:sz w:val="18"/>
              </w:rPr>
              <w:t>48.2%</w:t>
            </w:r>
          </w:p>
        </w:tc>
        <w:tc>
          <w:tcPr>
            <w:tcW w:type="dxa" w:w="1134"/>
          </w:tcPr>
          <w:p>
            <w:r/>
            <w:r>
              <w:rPr>
                <w:sz w:val="18"/>
              </w:rPr>
              <w:t>52,174</w:t>
            </w:r>
          </w:p>
        </w:tc>
      </w:tr>
    </w:tbl>
    <w:p/>
    <w:p>
      <w:r>
        <w:rPr>
          <w:b/>
          <w:color w:val="595959"/>
          <w:sz w:val="19"/>
        </w:rPr>
        <w:t>Tabla 5.5-MATD3.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95.60</w:t>
            </w:r>
          </w:p>
        </w:tc>
        <w:tc>
          <w:tcPr>
            <w:tcW w:type="dxa" w:w="1134"/>
          </w:tcPr>
          <w:p>
            <w:r/>
            <w:r>
              <w:rPr>
                <w:sz w:val="18"/>
              </w:rPr>
              <w:t>129.91</w:t>
            </w:r>
          </w:p>
        </w:tc>
        <w:tc>
          <w:tcPr>
            <w:tcW w:type="dxa" w:w="850"/>
          </w:tcPr>
          <w:p>
            <w:r/>
            <w:r>
              <w:rPr>
                <w:sz w:val="18"/>
              </w:rPr>
              <w:t>1.359</w:t>
            </w:r>
          </w:p>
        </w:tc>
        <w:tc>
          <w:tcPr>
            <w:tcW w:type="dxa" w:w="1134"/>
          </w:tcPr>
          <w:p>
            <w:r/>
            <w:r>
              <w:rPr>
                <w:sz w:val="18"/>
              </w:rPr>
              <w:t>3.73</w:t>
            </w:r>
          </w:p>
        </w:tc>
        <w:tc>
          <w:tcPr>
            <w:tcW w:type="dxa" w:w="1134"/>
          </w:tcPr>
          <w:p>
            <w:r/>
            <w:r>
              <w:rPr>
                <w:sz w:val="18"/>
              </w:rPr>
              <w:t>502.74</w:t>
            </w:r>
          </w:p>
        </w:tc>
      </w:tr>
      <w:tr>
        <w:tc>
          <w:tcPr>
            <w:tcW w:type="dxa" w:w="680"/>
          </w:tcPr>
          <w:p>
            <w:r/>
            <w:r>
              <w:rPr>
                <w:sz w:val="18"/>
              </w:rPr>
              <w:t>E2</w:t>
            </w:r>
          </w:p>
        </w:tc>
        <w:tc>
          <w:tcPr>
            <w:tcW w:type="dxa" w:w="850"/>
          </w:tcPr>
          <w:p>
            <w:r/>
            <w:r>
              <w:rPr>
                <w:sz w:val="18"/>
              </w:rPr>
              <w:t>17</w:t>
            </w:r>
          </w:p>
        </w:tc>
        <w:tc>
          <w:tcPr>
            <w:tcW w:type="dxa" w:w="1417"/>
          </w:tcPr>
          <w:p>
            <w:r/>
            <w:r>
              <w:rPr>
                <w:sz w:val="18"/>
              </w:rPr>
              <w:t>2,706.75</w:t>
            </w:r>
          </w:p>
        </w:tc>
        <w:tc>
          <w:tcPr>
            <w:tcW w:type="dxa" w:w="1134"/>
          </w:tcPr>
          <w:p>
            <w:r/>
            <w:r>
              <w:rPr>
                <w:sz w:val="18"/>
              </w:rPr>
              <w:t>4,289.08</w:t>
            </w:r>
          </w:p>
        </w:tc>
        <w:tc>
          <w:tcPr>
            <w:tcW w:type="dxa" w:w="850"/>
          </w:tcPr>
          <w:p>
            <w:r/>
            <w:r>
              <w:rPr>
                <w:sz w:val="18"/>
              </w:rPr>
              <w:t>1.585</w:t>
            </w:r>
          </w:p>
        </w:tc>
        <w:tc>
          <w:tcPr>
            <w:tcW w:type="dxa" w:w="1134"/>
          </w:tcPr>
          <w:p>
            <w:r/>
            <w:r>
              <w:rPr>
                <w:sz w:val="18"/>
              </w:rPr>
              <w:t>-2,163.49</w:t>
            </w:r>
          </w:p>
        </w:tc>
        <w:tc>
          <w:tcPr>
            <w:tcW w:type="dxa" w:w="1134"/>
          </w:tcPr>
          <w:p>
            <w:r/>
            <w:r>
              <w:rPr>
                <w:sz w:val="18"/>
              </w:rPr>
              <w:t>10,147.59</w:t>
            </w:r>
          </w:p>
        </w:tc>
      </w:tr>
      <w:tr>
        <w:tc>
          <w:tcPr>
            <w:tcW w:type="dxa" w:w="680"/>
          </w:tcPr>
          <w:p>
            <w:r/>
            <w:r>
              <w:rPr>
                <w:sz w:val="18"/>
              </w:rPr>
              <w:t>E3</w:t>
            </w:r>
          </w:p>
        </w:tc>
        <w:tc>
          <w:tcPr>
            <w:tcW w:type="dxa" w:w="850"/>
          </w:tcPr>
          <w:p>
            <w:r/>
            <w:r>
              <w:rPr>
                <w:sz w:val="18"/>
              </w:rPr>
              <w:t>17</w:t>
            </w:r>
          </w:p>
        </w:tc>
        <w:tc>
          <w:tcPr>
            <w:tcW w:type="dxa" w:w="1417"/>
          </w:tcPr>
          <w:p>
            <w:r/>
            <w:r>
              <w:rPr>
                <w:sz w:val="18"/>
              </w:rPr>
              <w:t>5,209.18</w:t>
            </w:r>
          </w:p>
        </w:tc>
        <w:tc>
          <w:tcPr>
            <w:tcW w:type="dxa" w:w="1134"/>
          </w:tcPr>
          <w:p>
            <w:r/>
            <w:r>
              <w:rPr>
                <w:sz w:val="18"/>
              </w:rPr>
              <w:t>5,085.78</w:t>
            </w:r>
          </w:p>
        </w:tc>
        <w:tc>
          <w:tcPr>
            <w:tcW w:type="dxa" w:w="850"/>
          </w:tcPr>
          <w:p>
            <w:r/>
            <w:r>
              <w:rPr>
                <w:sz w:val="18"/>
              </w:rPr>
              <w:t>0.976</w:t>
            </w:r>
          </w:p>
        </w:tc>
        <w:tc>
          <w:tcPr>
            <w:tcW w:type="dxa" w:w="1134"/>
          </w:tcPr>
          <w:p>
            <w:r/>
            <w:r>
              <w:rPr>
                <w:sz w:val="18"/>
              </w:rPr>
              <w:t>-2,672.05</w:t>
            </w:r>
          </w:p>
        </w:tc>
        <w:tc>
          <w:tcPr>
            <w:tcW w:type="dxa" w:w="1134"/>
          </w:tcPr>
          <w:p>
            <w:r/>
            <w:r>
              <w:rPr>
                <w:sz w:val="18"/>
              </w:rPr>
              <w:t>19,286.64</w:t>
            </w:r>
          </w:p>
        </w:tc>
      </w:tr>
    </w:tbl>
    <w:p/>
    <w:p>
      <w:r>
        <w:drawing>
          <wp:inline xmlns:a="http://schemas.openxmlformats.org/drawingml/2006/main" xmlns:pic="http://schemas.openxmlformats.org/drawingml/2006/picture">
            <wp:extent cx="6300000" cy="3780000"/>
            <wp:docPr id="1" name="Picture 1"/>
            <wp:cNvGraphicFramePr>
              <a:graphicFrameLocks noChangeAspect="1"/>
            </wp:cNvGraphicFramePr>
            <a:graphic>
              <a:graphicData uri="http://schemas.openxmlformats.org/drawingml/2006/picture">
                <pic:pic>
                  <pic:nvPicPr>
                    <pic:cNvPr id="0" name="convergence_returns.png"/>
                    <pic:cNvPicPr/>
                  </pic:nvPicPr>
                  <pic:blipFill>
                    <a:blip r:embed="rId9"/>
                    <a:stretch>
                      <a:fillRect/>
                    </a:stretch>
                  </pic:blipFill>
                  <pic:spPr>
                    <a:xfrm>
                      <a:off x="0" y="0"/>
                      <a:ext cx="6300000" cy="3780000"/>
                    </a:xfrm>
                    <a:prstGeom prst="rect"/>
                  </pic:spPr>
                </pic:pic>
              </a:graphicData>
            </a:graphic>
          </wp:inline>
        </w:drawing>
      </w:r>
    </w:p>
    <w:p>
      <w:pPr>
        <w:jc w:val="center"/>
      </w:pPr>
      <w:r>
        <w:rPr>
          <w:i/>
          <w:color w:val="595959"/>
          <w:sz w:val="18"/>
        </w:rPr>
        <w:t>Figura 5.1. Convergencia reward_mean — MATD3/E1 (300 dpi, datos Drive).</w:t>
      </w:r>
    </w:p>
    <w:p>
      <w:pPr>
        <w:jc w:val="both"/>
      </w:pPr>
      <w:r>
        <w:t>La trayectoria de MATD3 en E1 muestra mejora sostenida hasta meseta temprana (CV = 0.074).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2" name="Picture 2"/>
            <wp:cNvGraphicFramePr>
              <a:graphicFrameLocks noChangeAspect="1"/>
            </wp:cNvGraphicFramePr>
            <a:graphic>
              <a:graphicData uri="http://schemas.openxmlformats.org/drawingml/2006/picture">
                <pic:pic>
                  <pic:nvPicPr>
                    <pic:cNvPr id="0" name="exploration_action_l2.png"/>
                    <pic:cNvPicPr/>
                  </pic:nvPicPr>
                  <pic:blipFill>
                    <a:blip r:embed="rId10"/>
                    <a:stretch>
                      <a:fillRect/>
                    </a:stretch>
                  </pic:blipFill>
                  <pic:spPr>
                    <a:xfrm>
                      <a:off x="0" y="0"/>
                      <a:ext cx="6300000" cy="2520000"/>
                    </a:xfrm>
                    <a:prstGeom prst="rect"/>
                  </pic:spPr>
                </pic:pic>
              </a:graphicData>
            </a:graphic>
          </wp:inline>
        </w:drawing>
      </w:r>
    </w:p>
    <w:p>
      <w:pPr>
        <w:jc w:val="center"/>
      </w:pPr>
      <w:r>
        <w:rPr>
          <w:i/>
          <w:color w:val="595959"/>
          <w:sz w:val="18"/>
        </w:rPr>
        <w:t>Figura 5.2. Exploracion (action_l2) — MATD3/E1 (trace.csv).</w:t>
      </w:r>
    </w:p>
    <w:p>
      <w:pPr>
        <w:jc w:val="both"/>
      </w:pPr>
      <w:r>
        <w:t>La norma L2 de acciones de MATD3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3" name="Picture 3"/>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5.3. Comparacion vs baseline CityLearn v2 — MATD3/E1.</w:t>
      </w:r>
    </w:p>
    <w:p>
      <w:pPr>
        <w:jc w:val="both"/>
      </w:pPr>
      <w:r>
        <w:t>El contraste con baseline RBC ubica a MATD3 respecto a controles heuristicos del eje dominante. Esta lectura matiza la superioridad MADRL frente a reglas predefinidas (Nweye et al., 2024).</w:t>
      </w:r>
    </w:p>
    <w:p/>
    <w:p>
      <w:pPr>
        <w:pStyle w:val="Heading3"/>
      </w:pPr>
      <w:r>
        <w:t>5.2.2 MAAC</w:t>
      </w:r>
    </w:p>
    <w:p>
      <w:pPr>
        <w:jc w:val="both"/>
      </w:pPr>
      <w:r>
        <w:rPr>
          <w:b w:val="0"/>
          <w:i w:val="0"/>
        </w:rPr>
        <w:t>MAAC (Multi-Agent Actor-Attention-Critic) usa atencion en el critico centralizado para ponderar contribuciones de agentes vecinos, lo que mejora escalabilidad en distritos grandes (Iqbal &amp; Sha, 2019; Di Savino et al., 2025). En esta corrida, MAAC converge tempranamente (meseta ~episodio 4 en los tres escenarios) con baja varianza de reward_mean y lidera OE.3 (delta costo = 9 515 EUR). Su debilidad relativa en CO2 (70 654 kg) refleja trade-off multiobjetivo.</w:t>
      </w:r>
    </w:p>
    <w:p>
      <w:r>
        <w:rPr>
          <w:b/>
          <w:color w:val="595959"/>
          <w:sz w:val="19"/>
        </w:rPr>
        <w:t>Tabla 5.3-MAAC. Convergencia y estabilidad de MAAC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-0.6052</w:t>
            </w:r>
          </w:p>
        </w:tc>
        <w:tc>
          <w:tcPr>
            <w:tcW w:type="dxa" w:w="1134"/>
          </w:tcPr>
          <w:p>
            <w:r/>
            <w:r>
              <w:rPr>
                <w:sz w:val="18"/>
              </w:rPr>
              <w:t>0.0145</w:t>
            </w:r>
          </w:p>
        </w:tc>
        <w:tc>
          <w:tcPr>
            <w:tcW w:type="dxa" w:w="850"/>
          </w:tcPr>
          <w:p>
            <w:r/>
            <w:r>
              <w:rPr>
                <w:sz w:val="18"/>
              </w:rPr>
              <w:t>0.0240</w:t>
            </w:r>
          </w:p>
        </w:tc>
        <w:tc>
          <w:tcPr>
            <w:tcW w:type="dxa" w:w="1020"/>
          </w:tcPr>
          <w:p>
            <w:r/>
            <w:r>
              <w:rPr>
                <w:sz w:val="18"/>
              </w:rPr>
              <w:t>4</w:t>
            </w:r>
          </w:p>
        </w:tc>
        <w:tc>
          <w:tcPr>
            <w:tcW w:type="dxa" w:w="1417"/>
          </w:tcPr>
          <w:p>
            <w:r/>
            <w:r>
              <w:rPr>
                <w:sz w:val="18"/>
              </w:rPr>
              <w:t>-0.0018</w:t>
            </w:r>
          </w:p>
        </w:tc>
      </w:tr>
      <w:tr>
        <w:tc>
          <w:tcPr>
            <w:tcW w:type="dxa" w:w="680"/>
          </w:tcPr>
          <w:p>
            <w:r/>
            <w:r>
              <w:rPr>
                <w:sz w:val="18"/>
              </w:rPr>
              <w:t>E2</w:t>
            </w:r>
          </w:p>
        </w:tc>
        <w:tc>
          <w:tcPr>
            <w:tcW w:type="dxa" w:w="680"/>
          </w:tcPr>
          <w:p>
            <w:r/>
            <w:r>
              <w:rPr>
                <w:sz w:val="18"/>
              </w:rPr>
              <w:t>50</w:t>
            </w:r>
          </w:p>
        </w:tc>
        <w:tc>
          <w:tcPr>
            <w:tcW w:type="dxa" w:w="1247"/>
          </w:tcPr>
          <w:p>
            <w:r/>
            <w:r>
              <w:rPr>
                <w:sz w:val="18"/>
              </w:rPr>
              <w:t>-0.5237</w:t>
            </w:r>
          </w:p>
        </w:tc>
        <w:tc>
          <w:tcPr>
            <w:tcW w:type="dxa" w:w="1134"/>
          </w:tcPr>
          <w:p>
            <w:r/>
            <w:r>
              <w:rPr>
                <w:sz w:val="18"/>
              </w:rPr>
              <w:t>0.0092</w:t>
            </w:r>
          </w:p>
        </w:tc>
        <w:tc>
          <w:tcPr>
            <w:tcW w:type="dxa" w:w="850"/>
          </w:tcPr>
          <w:p>
            <w:r/>
            <w:r>
              <w:rPr>
                <w:sz w:val="18"/>
              </w:rPr>
              <w:t>0.0177</w:t>
            </w:r>
          </w:p>
        </w:tc>
        <w:tc>
          <w:tcPr>
            <w:tcW w:type="dxa" w:w="1020"/>
          </w:tcPr>
          <w:p>
            <w:r/>
            <w:r>
              <w:rPr>
                <w:sz w:val="18"/>
              </w:rPr>
              <w:t>4</w:t>
            </w:r>
          </w:p>
        </w:tc>
        <w:tc>
          <w:tcPr>
            <w:tcW w:type="dxa" w:w="1417"/>
          </w:tcPr>
          <w:p>
            <w:r/>
            <w:r>
              <w:rPr>
                <w:sz w:val="18"/>
              </w:rPr>
              <w:t>-0.0021</w:t>
            </w:r>
          </w:p>
        </w:tc>
      </w:tr>
      <w:tr>
        <w:tc>
          <w:tcPr>
            <w:tcW w:type="dxa" w:w="680"/>
          </w:tcPr>
          <w:p>
            <w:r/>
            <w:r>
              <w:rPr>
                <w:sz w:val="18"/>
              </w:rPr>
              <w:t>E3</w:t>
            </w:r>
          </w:p>
        </w:tc>
        <w:tc>
          <w:tcPr>
            <w:tcW w:type="dxa" w:w="680"/>
          </w:tcPr>
          <w:p>
            <w:r/>
            <w:r>
              <w:rPr>
                <w:sz w:val="18"/>
              </w:rPr>
              <w:t>50</w:t>
            </w:r>
          </w:p>
        </w:tc>
        <w:tc>
          <w:tcPr>
            <w:tcW w:type="dxa" w:w="1247"/>
          </w:tcPr>
          <w:p>
            <w:r/>
            <w:r>
              <w:rPr>
                <w:sz w:val="18"/>
              </w:rPr>
              <w:t>-0.5387</w:t>
            </w:r>
          </w:p>
        </w:tc>
        <w:tc>
          <w:tcPr>
            <w:tcW w:type="dxa" w:w="1134"/>
          </w:tcPr>
          <w:p>
            <w:r/>
            <w:r>
              <w:rPr>
                <w:sz w:val="18"/>
              </w:rPr>
              <w:t>0.0104</w:t>
            </w:r>
          </w:p>
        </w:tc>
        <w:tc>
          <w:tcPr>
            <w:tcW w:type="dxa" w:w="850"/>
          </w:tcPr>
          <w:p>
            <w:r/>
            <w:r>
              <w:rPr>
                <w:sz w:val="18"/>
              </w:rPr>
              <w:t>0.0192</w:t>
            </w:r>
          </w:p>
        </w:tc>
        <w:tc>
          <w:tcPr>
            <w:tcW w:type="dxa" w:w="1020"/>
          </w:tcPr>
          <w:p>
            <w:r/>
            <w:r>
              <w:rPr>
                <w:sz w:val="18"/>
              </w:rPr>
              <w:t>4</w:t>
            </w:r>
          </w:p>
        </w:tc>
        <w:tc>
          <w:tcPr>
            <w:tcW w:type="dxa" w:w="1417"/>
          </w:tcPr>
          <w:p>
            <w:r/>
            <w:r>
              <w:rPr>
                <w:sz w:val="18"/>
              </w:rPr>
              <w:t>-0.0021</w:t>
            </w:r>
          </w:p>
        </w:tc>
      </w:tr>
    </w:tbl>
    <w:p/>
    <w:p>
      <w:r>
        <w:rPr>
          <w:b/>
          <w:color w:val="595959"/>
          <w:sz w:val="19"/>
        </w:rPr>
        <w:t>Tabla 5.4-MAAC. KPIs distritales por escenario (MAAC,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1.0124</w:t>
            </w:r>
          </w:p>
        </w:tc>
        <w:tc>
          <w:tcPr>
            <w:tcW w:type="dxa" w:w="1417"/>
          </w:tcPr>
          <w:p>
            <w:r/>
            <w:r>
              <w:rPr>
                <w:sz w:val="18"/>
              </w:rPr>
              <w:t>38,566</w:t>
            </w:r>
          </w:p>
        </w:tc>
        <w:tc>
          <w:tcPr>
            <w:tcW w:type="dxa" w:w="1417"/>
          </w:tcPr>
          <w:p>
            <w:r/>
            <w:r>
              <w:rPr>
                <w:sz w:val="18"/>
              </w:rPr>
              <w:t>3,628</w:t>
            </w:r>
          </w:p>
        </w:tc>
        <w:tc>
          <w:tcPr>
            <w:tcW w:type="dxa" w:w="1020"/>
          </w:tcPr>
          <w:p>
            <w:r/>
            <w:r>
              <w:rPr>
                <w:sz w:val="18"/>
              </w:rPr>
              <w:t>4.2%</w:t>
            </w:r>
          </w:p>
        </w:tc>
        <w:tc>
          <w:tcPr>
            <w:tcW w:type="dxa" w:w="1134"/>
          </w:tcPr>
          <w:p>
            <w:r/>
            <w:r>
              <w:rPr>
                <w:sz w:val="18"/>
              </w:rPr>
              <w:t>8,025</w:t>
            </w:r>
          </w:p>
        </w:tc>
      </w:tr>
      <w:tr>
        <w:tc>
          <w:tcPr>
            <w:tcW w:type="dxa" w:w="680"/>
          </w:tcPr>
          <w:p>
            <w:r/>
            <w:r>
              <w:rPr>
                <w:sz w:val="18"/>
              </w:rPr>
              <w:t>E2</w:t>
            </w:r>
          </w:p>
        </w:tc>
        <w:tc>
          <w:tcPr>
            <w:tcW w:type="dxa" w:w="1247"/>
          </w:tcPr>
          <w:p>
            <w:r/>
            <w:r>
              <w:rPr>
                <w:sz w:val="18"/>
              </w:rPr>
              <w:t>1.0172</w:t>
            </w:r>
          </w:p>
        </w:tc>
        <w:tc>
          <w:tcPr>
            <w:tcW w:type="dxa" w:w="1417"/>
          </w:tcPr>
          <w:p>
            <w:r/>
            <w:r>
              <w:rPr>
                <w:sz w:val="18"/>
              </w:rPr>
              <w:t>70,654</w:t>
            </w:r>
          </w:p>
        </w:tc>
        <w:tc>
          <w:tcPr>
            <w:tcW w:type="dxa" w:w="1417"/>
          </w:tcPr>
          <w:p>
            <w:r/>
            <w:r>
              <w:rPr>
                <w:sz w:val="18"/>
              </w:rPr>
              <w:t>13,275</w:t>
            </w:r>
          </w:p>
        </w:tc>
        <w:tc>
          <w:tcPr>
            <w:tcW w:type="dxa" w:w="1020"/>
          </w:tcPr>
          <w:p>
            <w:r/>
            <w:r>
              <w:rPr>
                <w:sz w:val="18"/>
              </w:rPr>
              <w:t>4.1%</w:t>
            </w:r>
          </w:p>
        </w:tc>
        <w:tc>
          <w:tcPr>
            <w:tcW w:type="dxa" w:w="1134"/>
          </w:tcPr>
          <w:p>
            <w:r/>
            <w:r>
              <w:rPr>
                <w:sz w:val="18"/>
              </w:rPr>
              <w:t>24,930</w:t>
            </w:r>
          </w:p>
        </w:tc>
      </w:tr>
      <w:tr>
        <w:tc>
          <w:tcPr>
            <w:tcW w:type="dxa" w:w="680"/>
          </w:tcPr>
          <w:p>
            <w:r/>
            <w:r>
              <w:rPr>
                <w:sz w:val="18"/>
              </w:rPr>
              <w:t>E3</w:t>
            </w:r>
          </w:p>
        </w:tc>
        <w:tc>
          <w:tcPr>
            <w:tcW w:type="dxa" w:w="1247"/>
          </w:tcPr>
          <w:p>
            <w:r/>
            <w:r>
              <w:rPr>
                <w:sz w:val="18"/>
              </w:rPr>
              <w:t>1.0138</w:t>
            </w:r>
          </w:p>
        </w:tc>
        <w:tc>
          <w:tcPr>
            <w:tcW w:type="dxa" w:w="1417"/>
          </w:tcPr>
          <w:p>
            <w:r/>
            <w:r>
              <w:rPr>
                <w:sz w:val="18"/>
              </w:rPr>
              <w:t>73,411</w:t>
            </w:r>
          </w:p>
        </w:tc>
        <w:tc>
          <w:tcPr>
            <w:tcW w:type="dxa" w:w="1417"/>
          </w:tcPr>
          <w:p>
            <w:r/>
            <w:r>
              <w:rPr>
                <w:sz w:val="18"/>
              </w:rPr>
              <w:t>9,515</w:t>
            </w:r>
          </w:p>
        </w:tc>
        <w:tc>
          <w:tcPr>
            <w:tcW w:type="dxa" w:w="1020"/>
          </w:tcPr>
          <w:p>
            <w:r/>
            <w:r>
              <w:rPr>
                <w:sz w:val="18"/>
              </w:rPr>
              <w:t>4.1%</w:t>
            </w:r>
          </w:p>
        </w:tc>
        <w:tc>
          <w:tcPr>
            <w:tcW w:type="dxa" w:w="1134"/>
          </w:tcPr>
          <w:p>
            <w:r/>
            <w:r>
              <w:rPr>
                <w:sz w:val="18"/>
              </w:rPr>
              <w:t>20,800</w:t>
            </w:r>
          </w:p>
        </w:tc>
      </w:tr>
    </w:tbl>
    <w:p/>
    <w:p>
      <w:r>
        <w:rPr>
          <w:b/>
          <w:color w:val="595959"/>
          <w:sz w:val="19"/>
        </w:rPr>
        <w:t>Tabla 5.5-MAAC.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56.25</w:t>
            </w:r>
          </w:p>
        </w:tc>
        <w:tc>
          <w:tcPr>
            <w:tcW w:type="dxa" w:w="1134"/>
          </w:tcPr>
          <w:p>
            <w:r/>
            <w:r>
              <w:rPr>
                <w:sz w:val="18"/>
              </w:rPr>
              <w:t>80.56</w:t>
            </w:r>
          </w:p>
        </w:tc>
        <w:tc>
          <w:tcPr>
            <w:tcW w:type="dxa" w:w="850"/>
          </w:tcPr>
          <w:p>
            <w:r/>
            <w:r>
              <w:rPr>
                <w:sz w:val="18"/>
              </w:rPr>
              <w:t>1.432</w:t>
            </w:r>
          </w:p>
        </w:tc>
        <w:tc>
          <w:tcPr>
            <w:tcW w:type="dxa" w:w="1134"/>
          </w:tcPr>
          <w:p>
            <w:r/>
            <w:r>
              <w:rPr>
                <w:sz w:val="18"/>
              </w:rPr>
              <w:t>1.15</w:t>
            </w:r>
          </w:p>
        </w:tc>
        <w:tc>
          <w:tcPr>
            <w:tcW w:type="dxa" w:w="1134"/>
          </w:tcPr>
          <w:p>
            <w:r/>
            <w:r>
              <w:rPr>
                <w:sz w:val="18"/>
              </w:rPr>
              <w:t>311.65</w:t>
            </w:r>
          </w:p>
        </w:tc>
      </w:tr>
      <w:tr>
        <w:tc>
          <w:tcPr>
            <w:tcW w:type="dxa" w:w="680"/>
          </w:tcPr>
          <w:p>
            <w:r/>
            <w:r>
              <w:rPr>
                <w:sz w:val="18"/>
              </w:rPr>
              <w:t>E2</w:t>
            </w:r>
          </w:p>
        </w:tc>
        <w:tc>
          <w:tcPr>
            <w:tcW w:type="dxa" w:w="850"/>
          </w:tcPr>
          <w:p>
            <w:r/>
            <w:r>
              <w:rPr>
                <w:sz w:val="18"/>
              </w:rPr>
              <w:t>17</w:t>
            </w:r>
          </w:p>
        </w:tc>
        <w:tc>
          <w:tcPr>
            <w:tcW w:type="dxa" w:w="1417"/>
          </w:tcPr>
          <w:p>
            <w:r/>
            <w:r>
              <w:rPr>
                <w:sz w:val="18"/>
              </w:rPr>
              <w:t>8,289.54</w:t>
            </w:r>
          </w:p>
        </w:tc>
        <w:tc>
          <w:tcPr>
            <w:tcW w:type="dxa" w:w="1134"/>
          </w:tcPr>
          <w:p>
            <w:r/>
            <w:r>
              <w:rPr>
                <w:sz w:val="18"/>
              </w:rPr>
              <w:t>7,114.70</w:t>
            </w:r>
          </w:p>
        </w:tc>
        <w:tc>
          <w:tcPr>
            <w:tcW w:type="dxa" w:w="850"/>
          </w:tcPr>
          <w:p>
            <w:r/>
            <w:r>
              <w:rPr>
                <w:sz w:val="18"/>
              </w:rPr>
              <w:t>0.858</w:t>
            </w:r>
          </w:p>
        </w:tc>
        <w:tc>
          <w:tcPr>
            <w:tcW w:type="dxa" w:w="1134"/>
          </w:tcPr>
          <w:p>
            <w:r/>
            <w:r>
              <w:rPr>
                <w:sz w:val="18"/>
              </w:rPr>
              <w:t>714.73</w:t>
            </w:r>
          </w:p>
        </w:tc>
        <w:tc>
          <w:tcPr>
            <w:tcW w:type="dxa" w:w="1134"/>
          </w:tcPr>
          <w:p>
            <w:r/>
            <w:r>
              <w:rPr>
                <w:sz w:val="18"/>
              </w:rPr>
              <w:t>23,634.60</w:t>
            </w:r>
          </w:p>
        </w:tc>
      </w:tr>
      <w:tr>
        <w:tc>
          <w:tcPr>
            <w:tcW w:type="dxa" w:w="680"/>
          </w:tcPr>
          <w:p>
            <w:r/>
            <w:r>
              <w:rPr>
                <w:sz w:val="18"/>
              </w:rPr>
              <w:t>E3</w:t>
            </w:r>
          </w:p>
        </w:tc>
        <w:tc>
          <w:tcPr>
            <w:tcW w:type="dxa" w:w="850"/>
          </w:tcPr>
          <w:p>
            <w:r/>
            <w:r>
              <w:rPr>
                <w:sz w:val="18"/>
              </w:rPr>
              <w:t>17</w:t>
            </w:r>
          </w:p>
        </w:tc>
        <w:tc>
          <w:tcPr>
            <w:tcW w:type="dxa" w:w="1417"/>
          </w:tcPr>
          <w:p>
            <w:r/>
            <w:r>
              <w:rPr>
                <w:sz w:val="18"/>
              </w:rPr>
              <w:t>1,116.37</w:t>
            </w:r>
          </w:p>
        </w:tc>
        <w:tc>
          <w:tcPr>
            <w:tcW w:type="dxa" w:w="1134"/>
          </w:tcPr>
          <w:p>
            <w:r/>
            <w:r>
              <w:rPr>
                <w:sz w:val="18"/>
              </w:rPr>
              <w:t>2,409.82</w:t>
            </w:r>
          </w:p>
        </w:tc>
        <w:tc>
          <w:tcPr>
            <w:tcW w:type="dxa" w:w="850"/>
          </w:tcPr>
          <w:p>
            <w:r/>
            <w:r>
              <w:rPr>
                <w:sz w:val="18"/>
              </w:rPr>
              <w:t>2.159</w:t>
            </w:r>
          </w:p>
        </w:tc>
        <w:tc>
          <w:tcPr>
            <w:tcW w:type="dxa" w:w="1134"/>
          </w:tcPr>
          <w:p>
            <w:r/>
            <w:r>
              <w:rPr>
                <w:sz w:val="18"/>
              </w:rPr>
              <w:t>-683.78</w:t>
            </w:r>
          </w:p>
        </w:tc>
        <w:tc>
          <w:tcPr>
            <w:tcW w:type="dxa" w:w="1134"/>
          </w:tcPr>
          <w:p>
            <w:r/>
            <w:r>
              <w:rPr>
                <w:sz w:val="18"/>
              </w:rPr>
              <w:t>8,866.63</w:t>
            </w:r>
          </w:p>
        </w:tc>
      </w:tr>
    </w:tbl>
    <w:p/>
    <w:p>
      <w:r>
        <w:drawing>
          <wp:inline xmlns:a="http://schemas.openxmlformats.org/drawingml/2006/main" xmlns:pic="http://schemas.openxmlformats.org/drawingml/2006/picture">
            <wp:extent cx="6300000" cy="3780000"/>
            <wp:docPr id="4" name="Picture 4"/>
            <wp:cNvGraphicFramePr>
              <a:graphicFrameLocks noChangeAspect="1"/>
            </wp:cNvGraphicFramePr>
            <a:graphic>
              <a:graphicData uri="http://schemas.openxmlformats.org/drawingml/2006/picture">
                <pic:pic>
                  <pic:nvPicPr>
                    <pic:cNvPr id="0" name="convergence_returns.png"/>
                    <pic:cNvPicPr/>
                  </pic:nvPicPr>
                  <pic:blipFill>
                    <a:blip r:embed="rId12"/>
                    <a:stretch>
                      <a:fillRect/>
                    </a:stretch>
                  </pic:blipFill>
                  <pic:spPr>
                    <a:xfrm>
                      <a:off x="0" y="0"/>
                      <a:ext cx="6300000" cy="3780000"/>
                    </a:xfrm>
                    <a:prstGeom prst="rect"/>
                  </pic:spPr>
                </pic:pic>
              </a:graphicData>
            </a:graphic>
          </wp:inline>
        </w:drawing>
      </w:r>
    </w:p>
    <w:p>
      <w:pPr>
        <w:jc w:val="center"/>
      </w:pPr>
      <w:r>
        <w:rPr>
          <w:i/>
          <w:color w:val="595959"/>
          <w:sz w:val="18"/>
        </w:rPr>
        <w:t>Figura 5.4. Convergencia reward_mean — MAAC/E3 (300 dpi, datos Drive).</w:t>
      </w:r>
    </w:p>
    <w:p>
      <w:pPr>
        <w:jc w:val="both"/>
      </w:pPr>
      <w:r>
        <w:t>La trayectoria de MAAC en E3 muestra mejora sostenida hasta meseta temprana (CV = 0.019).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5" name="Picture 5"/>
            <wp:cNvGraphicFramePr>
              <a:graphicFrameLocks noChangeAspect="1"/>
            </wp:cNvGraphicFramePr>
            <a:graphic>
              <a:graphicData uri="http://schemas.openxmlformats.org/drawingml/2006/picture">
                <pic:pic>
                  <pic:nvPicPr>
                    <pic:cNvPr id="0" name="exploration_action_l2.png"/>
                    <pic:cNvPicPr/>
                  </pic:nvPicPr>
                  <pic:blipFill>
                    <a:blip r:embed="rId13"/>
                    <a:stretch>
                      <a:fillRect/>
                    </a:stretch>
                  </pic:blipFill>
                  <pic:spPr>
                    <a:xfrm>
                      <a:off x="0" y="0"/>
                      <a:ext cx="6300000" cy="2520000"/>
                    </a:xfrm>
                    <a:prstGeom prst="rect"/>
                  </pic:spPr>
                </pic:pic>
              </a:graphicData>
            </a:graphic>
          </wp:inline>
        </w:drawing>
      </w:r>
    </w:p>
    <w:p>
      <w:pPr>
        <w:jc w:val="center"/>
      </w:pPr>
      <w:r>
        <w:rPr>
          <w:i/>
          <w:color w:val="595959"/>
          <w:sz w:val="18"/>
        </w:rPr>
        <w:t>Figura 5.5. Exploracion (action_l2) — MAAC/E3 (trace.csv).</w:t>
      </w:r>
    </w:p>
    <w:p>
      <w:pPr>
        <w:jc w:val="both"/>
      </w:pPr>
      <w:r>
        <w:t>La norma L2 de acciones de MAAC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6" name="Picture 6"/>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5.6. Comparacion vs baseline CityLearn v2 — MAAC/E3.</w:t>
      </w:r>
    </w:p>
    <w:p>
      <w:pPr>
        <w:jc w:val="both"/>
      </w:pPr>
      <w:r>
        <w:t>El contraste con baseline RBC ubica a MAAC respecto a controles heuristicos del eje dominante. Esta lectura matiza la superioridad MADRL frente a reglas predefinidas (Nweye et al., 2024).</w:t>
      </w:r>
    </w:p>
    <w:p/>
    <w:p>
      <w:pPr>
        <w:pStyle w:val="Heading3"/>
      </w:pPr>
      <w:r>
        <w:t>5.2.3 MASAC</w:t>
      </w:r>
    </w:p>
    <w:p>
      <w:pPr>
        <w:jc w:val="both"/>
      </w:pPr>
      <w:r>
        <w:rPr>
          <w:b w:val="0"/>
          <w:i w:val="0"/>
        </w:rPr>
        <w:t>MASAC (Multi-Agent Soft Actor-Critic) maximiza entropia de politica para exploracion estable; en benchmarks CityLearn, SAC y variantes multiagente suelen mejorar rapido al inicio pero pueden plateauar antes que metodos on-policy cooperativos (Haarnoja et al., 2018; arXiv:2602.19223). Aqui, MASAC muestra convergencia estable pero KPIs distritales inferiores en flexibilidad y CO2; su score OE.3 intermedio (0,7054) indica competencia parcial en costos sin liderar el eje.</w:t>
      </w:r>
    </w:p>
    <w:p>
      <w:r>
        <w:rPr>
          <w:b/>
          <w:color w:val="595959"/>
          <w:sz w:val="19"/>
        </w:rPr>
        <w:t>Tabla 5.3-MASAC. Convergencia y estabilidad de MASAC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-0.6133</w:t>
            </w:r>
          </w:p>
        </w:tc>
        <w:tc>
          <w:tcPr>
            <w:tcW w:type="dxa" w:w="1134"/>
          </w:tcPr>
          <w:p>
            <w:r/>
            <w:r>
              <w:rPr>
                <w:sz w:val="18"/>
              </w:rPr>
              <w:t>0.0140</w:t>
            </w:r>
          </w:p>
        </w:tc>
        <w:tc>
          <w:tcPr>
            <w:tcW w:type="dxa" w:w="850"/>
          </w:tcPr>
          <w:p>
            <w:r/>
            <w:r>
              <w:rPr>
                <w:sz w:val="18"/>
              </w:rPr>
              <w:t>0.0228</w:t>
            </w:r>
          </w:p>
        </w:tc>
        <w:tc>
          <w:tcPr>
            <w:tcW w:type="dxa" w:w="1020"/>
          </w:tcPr>
          <w:p>
            <w:r/>
            <w:r>
              <w:rPr>
                <w:sz w:val="18"/>
              </w:rPr>
              <w:t>4</w:t>
            </w:r>
          </w:p>
        </w:tc>
        <w:tc>
          <w:tcPr>
            <w:tcW w:type="dxa" w:w="1417"/>
          </w:tcPr>
          <w:p>
            <w:r/>
            <w:r>
              <w:rPr>
                <w:sz w:val="18"/>
              </w:rPr>
              <w:t>0.0066</w:t>
            </w:r>
          </w:p>
        </w:tc>
      </w:tr>
      <w:tr>
        <w:tc>
          <w:tcPr>
            <w:tcW w:type="dxa" w:w="680"/>
          </w:tcPr>
          <w:p>
            <w:r/>
            <w:r>
              <w:rPr>
                <w:sz w:val="18"/>
              </w:rPr>
              <w:t>E2</w:t>
            </w:r>
          </w:p>
        </w:tc>
        <w:tc>
          <w:tcPr>
            <w:tcW w:type="dxa" w:w="680"/>
          </w:tcPr>
          <w:p>
            <w:r/>
            <w:r>
              <w:rPr>
                <w:sz w:val="18"/>
              </w:rPr>
              <w:t>50</w:t>
            </w:r>
          </w:p>
        </w:tc>
        <w:tc>
          <w:tcPr>
            <w:tcW w:type="dxa" w:w="1247"/>
          </w:tcPr>
          <w:p>
            <w:r/>
            <w:r>
              <w:rPr>
                <w:sz w:val="18"/>
              </w:rPr>
              <w:t>-0.5255</w:t>
            </w:r>
          </w:p>
        </w:tc>
        <w:tc>
          <w:tcPr>
            <w:tcW w:type="dxa" w:w="1134"/>
          </w:tcPr>
          <w:p>
            <w:r/>
            <w:r>
              <w:rPr>
                <w:sz w:val="18"/>
              </w:rPr>
              <w:t>0.0089</w:t>
            </w:r>
          </w:p>
        </w:tc>
        <w:tc>
          <w:tcPr>
            <w:tcW w:type="dxa" w:w="850"/>
          </w:tcPr>
          <w:p>
            <w:r/>
            <w:r>
              <w:rPr>
                <w:sz w:val="18"/>
              </w:rPr>
              <w:t>0.0169</w:t>
            </w:r>
          </w:p>
        </w:tc>
        <w:tc>
          <w:tcPr>
            <w:tcW w:type="dxa" w:w="1020"/>
          </w:tcPr>
          <w:p>
            <w:r/>
            <w:r>
              <w:rPr>
                <w:sz w:val="18"/>
              </w:rPr>
              <w:t>4</w:t>
            </w:r>
          </w:p>
        </w:tc>
        <w:tc>
          <w:tcPr>
            <w:tcW w:type="dxa" w:w="1417"/>
          </w:tcPr>
          <w:p>
            <w:r/>
            <w:r>
              <w:rPr>
                <w:sz w:val="18"/>
              </w:rPr>
              <w:t>0.0017</w:t>
            </w:r>
          </w:p>
        </w:tc>
      </w:tr>
      <w:tr>
        <w:tc>
          <w:tcPr>
            <w:tcW w:type="dxa" w:w="680"/>
          </w:tcPr>
          <w:p>
            <w:r/>
            <w:r>
              <w:rPr>
                <w:sz w:val="18"/>
              </w:rPr>
              <w:t>E3</w:t>
            </w:r>
          </w:p>
        </w:tc>
        <w:tc>
          <w:tcPr>
            <w:tcW w:type="dxa" w:w="680"/>
          </w:tcPr>
          <w:p>
            <w:r/>
            <w:r>
              <w:rPr>
                <w:sz w:val="18"/>
              </w:rPr>
              <w:t>50</w:t>
            </w:r>
          </w:p>
        </w:tc>
        <w:tc>
          <w:tcPr>
            <w:tcW w:type="dxa" w:w="1247"/>
          </w:tcPr>
          <w:p>
            <w:r/>
            <w:r>
              <w:rPr>
                <w:sz w:val="18"/>
              </w:rPr>
              <w:t>-0.5409</w:t>
            </w:r>
          </w:p>
        </w:tc>
        <w:tc>
          <w:tcPr>
            <w:tcW w:type="dxa" w:w="1134"/>
          </w:tcPr>
          <w:p>
            <w:r/>
            <w:r>
              <w:rPr>
                <w:sz w:val="18"/>
              </w:rPr>
              <w:t>0.0100</w:t>
            </w:r>
          </w:p>
        </w:tc>
        <w:tc>
          <w:tcPr>
            <w:tcW w:type="dxa" w:w="850"/>
          </w:tcPr>
          <w:p>
            <w:r/>
            <w:r>
              <w:rPr>
                <w:sz w:val="18"/>
              </w:rPr>
              <w:t>0.0185</w:t>
            </w:r>
          </w:p>
        </w:tc>
        <w:tc>
          <w:tcPr>
            <w:tcW w:type="dxa" w:w="1020"/>
          </w:tcPr>
          <w:p>
            <w:r/>
            <w:r>
              <w:rPr>
                <w:sz w:val="18"/>
              </w:rPr>
              <w:t>4</w:t>
            </w:r>
          </w:p>
        </w:tc>
        <w:tc>
          <w:tcPr>
            <w:tcW w:type="dxa" w:w="1417"/>
          </w:tcPr>
          <w:p>
            <w:r/>
            <w:r>
              <w:rPr>
                <w:sz w:val="18"/>
              </w:rPr>
              <w:t>0.0023</w:t>
            </w:r>
          </w:p>
        </w:tc>
      </w:tr>
    </w:tbl>
    <w:p/>
    <w:p>
      <w:r>
        <w:rPr>
          <w:b/>
          <w:color w:val="595959"/>
          <w:sz w:val="19"/>
        </w:rPr>
        <w:t>Tabla 5.4-MASAC. KPIs distritales por escenario (MASAC,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1.0286</w:t>
            </w:r>
          </w:p>
        </w:tc>
        <w:tc>
          <w:tcPr>
            <w:tcW w:type="dxa" w:w="1417"/>
          </w:tcPr>
          <w:p>
            <w:r/>
            <w:r>
              <w:rPr>
                <w:sz w:val="18"/>
              </w:rPr>
              <w:t>81,227</w:t>
            </w:r>
          </w:p>
        </w:tc>
        <w:tc>
          <w:tcPr>
            <w:tcW w:type="dxa" w:w="1417"/>
          </w:tcPr>
          <w:p>
            <w:r/>
            <w:r>
              <w:rPr>
                <w:sz w:val="18"/>
              </w:rPr>
              <w:t>14,672</w:t>
            </w:r>
          </w:p>
        </w:tc>
        <w:tc>
          <w:tcPr>
            <w:tcW w:type="dxa" w:w="1020"/>
          </w:tcPr>
          <w:p>
            <w:r/>
            <w:r>
              <w:rPr>
                <w:sz w:val="18"/>
              </w:rPr>
              <w:t>3.9%</w:t>
            </w:r>
          </w:p>
        </w:tc>
        <w:tc>
          <w:tcPr>
            <w:tcW w:type="dxa" w:w="1134"/>
          </w:tcPr>
          <w:p>
            <w:r/>
            <w:r>
              <w:rPr>
                <w:sz w:val="18"/>
              </w:rPr>
              <w:t>29,499</w:t>
            </w:r>
          </w:p>
        </w:tc>
      </w:tr>
      <w:tr>
        <w:tc>
          <w:tcPr>
            <w:tcW w:type="dxa" w:w="680"/>
          </w:tcPr>
          <w:p>
            <w:r/>
            <w:r>
              <w:rPr>
                <w:sz w:val="18"/>
              </w:rPr>
              <w:t>E2</w:t>
            </w:r>
          </w:p>
        </w:tc>
        <w:tc>
          <w:tcPr>
            <w:tcW w:type="dxa" w:w="1247"/>
          </w:tcPr>
          <w:p>
            <w:r/>
            <w:r>
              <w:rPr>
                <w:sz w:val="18"/>
              </w:rPr>
              <w:t>1.0318</w:t>
            </w:r>
          </w:p>
        </w:tc>
        <w:tc>
          <w:tcPr>
            <w:tcW w:type="dxa" w:w="1417"/>
          </w:tcPr>
          <w:p>
            <w:r/>
            <w:r>
              <w:rPr>
                <w:sz w:val="18"/>
              </w:rPr>
              <w:t>77,649</w:t>
            </w:r>
          </w:p>
        </w:tc>
        <w:tc>
          <w:tcPr>
            <w:tcW w:type="dxa" w:w="1417"/>
          </w:tcPr>
          <w:p>
            <w:r/>
            <w:r>
              <w:rPr>
                <w:sz w:val="18"/>
              </w:rPr>
              <w:t>15,020</w:t>
            </w:r>
          </w:p>
        </w:tc>
        <w:tc>
          <w:tcPr>
            <w:tcW w:type="dxa" w:w="1020"/>
          </w:tcPr>
          <w:p>
            <w:r/>
            <w:r>
              <w:rPr>
                <w:sz w:val="18"/>
              </w:rPr>
              <w:t>4.1%</w:t>
            </w:r>
          </w:p>
        </w:tc>
        <w:tc>
          <w:tcPr>
            <w:tcW w:type="dxa" w:w="1134"/>
          </w:tcPr>
          <w:p>
            <w:r/>
            <w:r>
              <w:rPr>
                <w:sz w:val="18"/>
              </w:rPr>
              <w:t>28,207</w:t>
            </w:r>
          </w:p>
        </w:tc>
      </w:tr>
      <w:tr>
        <w:tc>
          <w:tcPr>
            <w:tcW w:type="dxa" w:w="680"/>
          </w:tcPr>
          <w:p>
            <w:r/>
            <w:r>
              <w:rPr>
                <w:sz w:val="18"/>
              </w:rPr>
              <w:t>E3</w:t>
            </w:r>
          </w:p>
        </w:tc>
        <w:tc>
          <w:tcPr>
            <w:tcW w:type="dxa" w:w="1247"/>
          </w:tcPr>
          <w:p>
            <w:r/>
            <w:r>
              <w:rPr>
                <w:sz w:val="18"/>
              </w:rPr>
              <w:t>1.0297</w:t>
            </w:r>
          </w:p>
        </w:tc>
        <w:tc>
          <w:tcPr>
            <w:tcW w:type="dxa" w:w="1417"/>
          </w:tcPr>
          <w:p>
            <w:r/>
            <w:r>
              <w:rPr>
                <w:sz w:val="18"/>
              </w:rPr>
              <w:t>90,900</w:t>
            </w:r>
          </w:p>
        </w:tc>
        <w:tc>
          <w:tcPr>
            <w:tcW w:type="dxa" w:w="1417"/>
          </w:tcPr>
          <w:p>
            <w:r/>
            <w:r>
              <w:rPr>
                <w:sz w:val="18"/>
              </w:rPr>
              <w:t>19,793</w:t>
            </w:r>
          </w:p>
        </w:tc>
        <w:tc>
          <w:tcPr>
            <w:tcW w:type="dxa" w:w="1020"/>
          </w:tcPr>
          <w:p>
            <w:r/>
            <w:r>
              <w:rPr>
                <w:sz w:val="18"/>
              </w:rPr>
              <w:t>4.1%</w:t>
            </w:r>
          </w:p>
        </w:tc>
        <w:tc>
          <w:tcPr>
            <w:tcW w:type="dxa" w:w="1134"/>
          </w:tcPr>
          <w:p>
            <w:r/>
            <w:r>
              <w:rPr>
                <w:sz w:val="18"/>
              </w:rPr>
              <w:t>32,186</w:t>
            </w:r>
          </w:p>
        </w:tc>
      </w:tr>
    </w:tbl>
    <w:p/>
    <w:p>
      <w:r>
        <w:rPr>
          <w:b/>
          <w:color w:val="595959"/>
          <w:sz w:val="19"/>
        </w:rPr>
        <w:t>Tabla 5.5-MASAC.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64.54</w:t>
            </w:r>
          </w:p>
        </w:tc>
        <w:tc>
          <w:tcPr>
            <w:tcW w:type="dxa" w:w="1134"/>
          </w:tcPr>
          <w:p>
            <w:r/>
            <w:r>
              <w:rPr>
                <w:sz w:val="18"/>
              </w:rPr>
              <w:t>112.11</w:t>
            </w:r>
          </w:p>
        </w:tc>
        <w:tc>
          <w:tcPr>
            <w:tcW w:type="dxa" w:w="850"/>
          </w:tcPr>
          <w:p>
            <w:r/>
            <w:r>
              <w:rPr>
                <w:sz w:val="18"/>
              </w:rPr>
              <w:t>1.737</w:t>
            </w:r>
          </w:p>
        </w:tc>
        <w:tc>
          <w:tcPr>
            <w:tcW w:type="dxa" w:w="1134"/>
          </w:tcPr>
          <w:p>
            <w:r/>
            <w:r>
              <w:rPr>
                <w:sz w:val="18"/>
              </w:rPr>
              <w:t>1.20</w:t>
            </w:r>
          </w:p>
        </w:tc>
        <w:tc>
          <w:tcPr>
            <w:tcW w:type="dxa" w:w="1134"/>
          </w:tcPr>
          <w:p>
            <w:r/>
            <w:r>
              <w:rPr>
                <w:sz w:val="18"/>
              </w:rPr>
              <w:t>450.77</w:t>
            </w:r>
          </w:p>
        </w:tc>
      </w:tr>
      <w:tr>
        <w:tc>
          <w:tcPr>
            <w:tcW w:type="dxa" w:w="680"/>
          </w:tcPr>
          <w:p>
            <w:r/>
            <w:r>
              <w:rPr>
                <w:sz w:val="18"/>
              </w:rPr>
              <w:t>E2</w:t>
            </w:r>
          </w:p>
        </w:tc>
        <w:tc>
          <w:tcPr>
            <w:tcW w:type="dxa" w:w="850"/>
          </w:tcPr>
          <w:p>
            <w:r/>
            <w:r>
              <w:rPr>
                <w:sz w:val="18"/>
              </w:rPr>
              <w:t>17</w:t>
            </w:r>
          </w:p>
        </w:tc>
        <w:tc>
          <w:tcPr>
            <w:tcW w:type="dxa" w:w="1417"/>
          </w:tcPr>
          <w:p>
            <w:r/>
            <w:r>
              <w:rPr>
                <w:sz w:val="18"/>
              </w:rPr>
              <w:t>9,110.21</w:t>
            </w:r>
          </w:p>
        </w:tc>
        <w:tc>
          <w:tcPr>
            <w:tcW w:type="dxa" w:w="1134"/>
          </w:tcPr>
          <w:p>
            <w:r/>
            <w:r>
              <w:rPr>
                <w:sz w:val="18"/>
              </w:rPr>
              <w:t>9,205.71</w:t>
            </w:r>
          </w:p>
        </w:tc>
        <w:tc>
          <w:tcPr>
            <w:tcW w:type="dxa" w:w="850"/>
          </w:tcPr>
          <w:p>
            <w:r/>
            <w:r>
              <w:rPr>
                <w:sz w:val="18"/>
              </w:rPr>
              <w:t>1.010</w:t>
            </w:r>
          </w:p>
        </w:tc>
        <w:tc>
          <w:tcPr>
            <w:tcW w:type="dxa" w:w="1134"/>
          </w:tcPr>
          <w:p>
            <w:r/>
            <w:r>
              <w:rPr>
                <w:sz w:val="18"/>
              </w:rPr>
              <w:t>847.45</w:t>
            </w:r>
          </w:p>
        </w:tc>
        <w:tc>
          <w:tcPr>
            <w:tcW w:type="dxa" w:w="1134"/>
          </w:tcPr>
          <w:p>
            <w:r/>
            <w:r>
              <w:rPr>
                <w:sz w:val="18"/>
              </w:rPr>
              <w:t>29,797.66</w:t>
            </w:r>
          </w:p>
        </w:tc>
      </w:tr>
      <w:tr>
        <w:tc>
          <w:tcPr>
            <w:tcW w:type="dxa" w:w="680"/>
          </w:tcPr>
          <w:p>
            <w:r/>
            <w:r>
              <w:rPr>
                <w:sz w:val="18"/>
              </w:rPr>
              <w:t>E3</w:t>
            </w:r>
          </w:p>
        </w:tc>
        <w:tc>
          <w:tcPr>
            <w:tcW w:type="dxa" w:w="850"/>
          </w:tcPr>
          <w:p>
            <w:r/>
            <w:r>
              <w:rPr>
                <w:sz w:val="18"/>
              </w:rPr>
              <w:t>17</w:t>
            </w:r>
          </w:p>
        </w:tc>
        <w:tc>
          <w:tcPr>
            <w:tcW w:type="dxa" w:w="1417"/>
          </w:tcPr>
          <w:p>
            <w:r/>
            <w:r>
              <w:rPr>
                <w:sz w:val="18"/>
              </w:rPr>
              <w:t>2,322.20</w:t>
            </w:r>
          </w:p>
        </w:tc>
        <w:tc>
          <w:tcPr>
            <w:tcW w:type="dxa" w:w="1134"/>
          </w:tcPr>
          <w:p>
            <w:r/>
            <w:r>
              <w:rPr>
                <w:sz w:val="18"/>
              </w:rPr>
              <w:t>5,349.09</w:t>
            </w:r>
          </w:p>
        </w:tc>
        <w:tc>
          <w:tcPr>
            <w:tcW w:type="dxa" w:w="850"/>
          </w:tcPr>
          <w:p>
            <w:r/>
            <w:r>
              <w:rPr>
                <w:sz w:val="18"/>
              </w:rPr>
              <w:t>2.303</w:t>
            </w:r>
          </w:p>
        </w:tc>
        <w:tc>
          <w:tcPr>
            <w:tcW w:type="dxa" w:w="1134"/>
          </w:tcPr>
          <w:p>
            <w:r/>
            <w:r>
              <w:rPr>
                <w:sz w:val="18"/>
              </w:rPr>
              <w:t>-2,304.44</w:t>
            </w:r>
          </w:p>
        </w:tc>
        <w:tc>
          <w:tcPr>
            <w:tcW w:type="dxa" w:w="1134"/>
          </w:tcPr>
          <w:p>
            <w:r/>
            <w:r>
              <w:rPr>
                <w:sz w:val="18"/>
              </w:rPr>
              <w:t>21,075.46</w:t>
            </w:r>
          </w:p>
        </w:tc>
      </w:tr>
    </w:tbl>
    <w:p/>
    <w:p>
      <w:r>
        <w:drawing>
          <wp:inline xmlns:a="http://schemas.openxmlformats.org/drawingml/2006/main" xmlns:pic="http://schemas.openxmlformats.org/drawingml/2006/picture">
            <wp:extent cx="6300000" cy="3780000"/>
            <wp:docPr id="7" name="Picture 7"/>
            <wp:cNvGraphicFramePr>
              <a:graphicFrameLocks noChangeAspect="1"/>
            </wp:cNvGraphicFramePr>
            <a:graphic>
              <a:graphicData uri="http://schemas.openxmlformats.org/drawingml/2006/picture">
                <pic:pic>
                  <pic:nvPicPr>
                    <pic:cNvPr id="0" name="convergence_returns.png"/>
                    <pic:cNvPicPr/>
                  </pic:nvPicPr>
                  <pic:blipFill>
                    <a:blip r:embed="rId14"/>
                    <a:stretch>
                      <a:fillRect/>
                    </a:stretch>
                  </pic:blipFill>
                  <pic:spPr>
                    <a:xfrm>
                      <a:off x="0" y="0"/>
                      <a:ext cx="6300000" cy="3780000"/>
                    </a:xfrm>
                    <a:prstGeom prst="rect"/>
                  </pic:spPr>
                </pic:pic>
              </a:graphicData>
            </a:graphic>
          </wp:inline>
        </w:drawing>
      </w:r>
    </w:p>
    <w:p>
      <w:pPr>
        <w:jc w:val="center"/>
      </w:pPr>
      <w:r>
        <w:rPr>
          <w:i/>
          <w:color w:val="595959"/>
          <w:sz w:val="18"/>
        </w:rPr>
        <w:t>Figura 5.7. Convergencia reward_mean — MASAC/E2 (300 dpi, datos Drive).</w:t>
      </w:r>
    </w:p>
    <w:p>
      <w:pPr>
        <w:jc w:val="both"/>
      </w:pPr>
      <w:r>
        <w:t>La trayectoria de MASAC en E2 muestra mejora sostenida hasta meseta temprana (CV = 0.017).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8" name="Picture 8"/>
            <wp:cNvGraphicFramePr>
              <a:graphicFrameLocks noChangeAspect="1"/>
            </wp:cNvGraphicFramePr>
            <a:graphic>
              <a:graphicData uri="http://schemas.openxmlformats.org/drawingml/2006/picture">
                <pic:pic>
                  <pic:nvPicPr>
                    <pic:cNvPr id="0" name="exploration_action_l2.png"/>
                    <pic:cNvPicPr/>
                  </pic:nvPicPr>
                  <pic:blipFill>
                    <a:blip r:embed="rId15"/>
                    <a:stretch>
                      <a:fillRect/>
                    </a:stretch>
                  </pic:blipFill>
                  <pic:spPr>
                    <a:xfrm>
                      <a:off x="0" y="0"/>
                      <a:ext cx="6300000" cy="2520000"/>
                    </a:xfrm>
                    <a:prstGeom prst="rect"/>
                  </pic:spPr>
                </pic:pic>
              </a:graphicData>
            </a:graphic>
          </wp:inline>
        </w:drawing>
      </w:r>
    </w:p>
    <w:p>
      <w:pPr>
        <w:jc w:val="center"/>
      </w:pPr>
      <w:r>
        <w:rPr>
          <w:i/>
          <w:color w:val="595959"/>
          <w:sz w:val="18"/>
        </w:rPr>
        <w:t>Figura 5.8. Exploracion (action_l2) — MASAC/E2 (trace.csv).</w:t>
      </w:r>
    </w:p>
    <w:p>
      <w:pPr>
        <w:jc w:val="both"/>
      </w:pPr>
      <w:r>
        <w:t>La norma L2 de acciones de MASAC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9" name="Picture 9"/>
            <wp:cNvGraphicFramePr>
              <a:graphicFrameLocks noChangeAspect="1"/>
            </wp:cNvGraphicFramePr>
            <a:graphic>
              <a:graphicData uri="http://schemas.openxmlformats.org/drawingml/2006/picture">
                <pic:pic>
                  <pic:nvPicPr>
                    <pic:cNvPr id="0" name="axis_baseline_comparison.png"/>
                    <pic:cNvPicPr/>
                  </pic:nvPicPr>
                  <pic:blipFill>
                    <a:blip r:embed="rId16"/>
                    <a:stretch>
                      <a:fillRect/>
                    </a:stretch>
                  </pic:blipFill>
                  <pic:spPr>
                    <a:xfrm>
                      <a:off x="0" y="0"/>
                      <a:ext cx="6300000" cy="3150000"/>
                    </a:xfrm>
                    <a:prstGeom prst="rect"/>
                  </pic:spPr>
                </pic:pic>
              </a:graphicData>
            </a:graphic>
          </wp:inline>
        </w:drawing>
      </w:r>
    </w:p>
    <w:p>
      <w:pPr>
        <w:jc w:val="center"/>
      </w:pPr>
      <w:r>
        <w:rPr>
          <w:i/>
          <w:color w:val="595959"/>
          <w:sz w:val="18"/>
        </w:rPr>
        <w:t>Figura 5.9. Comparacion vs baseline CityLearn v2 — MASAC/E2.</w:t>
      </w:r>
    </w:p>
    <w:p>
      <w:pPr>
        <w:jc w:val="both"/>
      </w:pPr>
      <w:r>
        <w:t>El contraste con baseline RBC ubica a MASAC respecto a controles heuristicos del eje dominante. Esta lectura matiza la superioridad MADRL frente a reglas predefinidas (Nweye et al., 2024).</w:t>
      </w:r>
    </w:p>
    <w:p/>
    <w:p>
      <w:pPr>
        <w:pStyle w:val="Heading3"/>
      </w:pPr>
      <w:r>
        <w:t>5.2.4 HAPPO</w:t>
      </w:r>
    </w:p>
    <w:p>
      <w:pPr>
        <w:jc w:val="both"/>
      </w:pPr>
      <w:r>
        <w:rPr>
          <w:b w:val="0"/>
          <w:i w:val="0"/>
        </w:rPr>
        <w:t>HAPPO (Heterogeneous-Agent PPO) aplica PPO secuencial por agente bajo CTDE (Yu et al., 2022). La corrida registro 49/50 episodios por escenario sin KPIs finales (error VecEnvWrapper en evaluacion). El analisis es parcial: convergencia de reward_mean disponible, pero sin flex_composite, delta CO2 ni delta costo auditados. HAPPO queda incluido en figuras comparativas de convergencia pero excluido de inferencia KPI-level.</w:t>
      </w:r>
    </w:p>
    <w:p>
      <w:r>
        <w:rPr>
          <w:b/>
          <w:color w:val="595959"/>
          <w:sz w:val="19"/>
        </w:rPr>
        <w:t>Tabla 5.3-HAPPO. Convergencia y estabilidad de HAPPO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49</w:t>
            </w:r>
          </w:p>
        </w:tc>
        <w:tc>
          <w:tcPr>
            <w:tcW w:type="dxa" w:w="1247"/>
          </w:tcPr>
          <w:p>
            <w:r/>
            <w:r>
              <w:rPr>
                <w:sz w:val="18"/>
              </w:rPr>
              <w:t>-0.6303</w:t>
            </w:r>
          </w:p>
        </w:tc>
        <w:tc>
          <w:tcPr>
            <w:tcW w:type="dxa" w:w="1134"/>
          </w:tcPr>
          <w:p>
            <w:r/>
            <w:r>
              <w:rPr>
                <w:sz w:val="18"/>
              </w:rPr>
              <w:t>0.0211</w:t>
            </w:r>
          </w:p>
        </w:tc>
        <w:tc>
          <w:tcPr>
            <w:tcW w:type="dxa" w:w="850"/>
          </w:tcPr>
          <w:p>
            <w:r/>
            <w:r>
              <w:rPr>
                <w:sz w:val="18"/>
              </w:rPr>
              <w:t>0.0334</w:t>
            </w:r>
          </w:p>
        </w:tc>
        <w:tc>
          <w:tcPr>
            <w:tcW w:type="dxa" w:w="1020"/>
          </w:tcPr>
          <w:p>
            <w:r/>
            <w:r>
              <w:rPr>
                <w:sz w:val="18"/>
              </w:rPr>
              <w:t>5</w:t>
            </w:r>
          </w:p>
        </w:tc>
        <w:tc>
          <w:tcPr>
            <w:tcW w:type="dxa" w:w="1417"/>
          </w:tcPr>
          <w:p>
            <w:r/>
            <w:r>
              <w:rPr>
                <w:sz w:val="18"/>
              </w:rPr>
              <w:t>0.0052</w:t>
            </w:r>
          </w:p>
        </w:tc>
      </w:tr>
      <w:tr>
        <w:tc>
          <w:tcPr>
            <w:tcW w:type="dxa" w:w="680"/>
          </w:tcPr>
          <w:p>
            <w:r/>
            <w:r>
              <w:rPr>
                <w:sz w:val="18"/>
              </w:rPr>
              <w:t>E2</w:t>
            </w:r>
          </w:p>
        </w:tc>
        <w:tc>
          <w:tcPr>
            <w:tcW w:type="dxa" w:w="680"/>
          </w:tcPr>
          <w:p>
            <w:r/>
            <w:r>
              <w:rPr>
                <w:sz w:val="18"/>
              </w:rPr>
              <w:t>49</w:t>
            </w:r>
          </w:p>
        </w:tc>
        <w:tc>
          <w:tcPr>
            <w:tcW w:type="dxa" w:w="1247"/>
          </w:tcPr>
          <w:p>
            <w:r/>
            <w:r>
              <w:rPr>
                <w:sz w:val="18"/>
              </w:rPr>
              <w:t>-0.4842</w:t>
            </w:r>
          </w:p>
        </w:tc>
        <w:tc>
          <w:tcPr>
            <w:tcW w:type="dxa" w:w="1134"/>
          </w:tcPr>
          <w:p>
            <w:r/>
            <w:r>
              <w:rPr>
                <w:sz w:val="18"/>
              </w:rPr>
              <w:t>0.0182</w:t>
            </w:r>
          </w:p>
        </w:tc>
        <w:tc>
          <w:tcPr>
            <w:tcW w:type="dxa" w:w="850"/>
          </w:tcPr>
          <w:p>
            <w:r/>
            <w:r>
              <w:rPr>
                <w:sz w:val="18"/>
              </w:rPr>
              <w:t>0.0376</w:t>
            </w:r>
          </w:p>
        </w:tc>
        <w:tc>
          <w:tcPr>
            <w:tcW w:type="dxa" w:w="1020"/>
          </w:tcPr>
          <w:p>
            <w:r/>
            <w:r>
              <w:rPr>
                <w:sz w:val="18"/>
              </w:rPr>
              <w:t>5</w:t>
            </w:r>
          </w:p>
        </w:tc>
        <w:tc>
          <w:tcPr>
            <w:tcW w:type="dxa" w:w="1417"/>
          </w:tcPr>
          <w:p>
            <w:r/>
            <w:r>
              <w:rPr>
                <w:sz w:val="18"/>
              </w:rPr>
              <w:t>0.0087</w:t>
            </w:r>
          </w:p>
        </w:tc>
      </w:tr>
      <w:tr>
        <w:tc>
          <w:tcPr>
            <w:tcW w:type="dxa" w:w="680"/>
          </w:tcPr>
          <w:p>
            <w:r/>
            <w:r>
              <w:rPr>
                <w:sz w:val="18"/>
              </w:rPr>
              <w:t>E3</w:t>
            </w:r>
          </w:p>
        </w:tc>
        <w:tc>
          <w:tcPr>
            <w:tcW w:type="dxa" w:w="680"/>
          </w:tcPr>
          <w:p>
            <w:r/>
            <w:r>
              <w:rPr>
                <w:sz w:val="18"/>
              </w:rPr>
              <w:t>49</w:t>
            </w:r>
          </w:p>
        </w:tc>
        <w:tc>
          <w:tcPr>
            <w:tcW w:type="dxa" w:w="1247"/>
          </w:tcPr>
          <w:p>
            <w:r/>
            <w:r>
              <w:rPr>
                <w:sz w:val="18"/>
              </w:rPr>
              <w:t>-0.5208</w:t>
            </w:r>
          </w:p>
        </w:tc>
        <w:tc>
          <w:tcPr>
            <w:tcW w:type="dxa" w:w="1134"/>
          </w:tcPr>
          <w:p>
            <w:r/>
            <w:r>
              <w:rPr>
                <w:sz w:val="18"/>
              </w:rPr>
              <w:t>0.0165</w:t>
            </w:r>
          </w:p>
        </w:tc>
        <w:tc>
          <w:tcPr>
            <w:tcW w:type="dxa" w:w="850"/>
          </w:tcPr>
          <w:p>
            <w:r/>
            <w:r>
              <w:rPr>
                <w:sz w:val="18"/>
              </w:rPr>
              <w:t>0.0317</w:t>
            </w:r>
          </w:p>
        </w:tc>
        <w:tc>
          <w:tcPr>
            <w:tcW w:type="dxa" w:w="1020"/>
          </w:tcPr>
          <w:p>
            <w:r/>
            <w:r>
              <w:rPr>
                <w:sz w:val="18"/>
              </w:rPr>
              <w:t>4</w:t>
            </w:r>
          </w:p>
        </w:tc>
        <w:tc>
          <w:tcPr>
            <w:tcW w:type="dxa" w:w="1417"/>
          </w:tcPr>
          <w:p>
            <w:r/>
            <w:r>
              <w:rPr>
                <w:sz w:val="18"/>
              </w:rPr>
              <w:t>0.0031</w:t>
            </w:r>
          </w:p>
        </w:tc>
      </w:tr>
    </w:tbl>
    <w:p/>
    <w:p>
      <w:r>
        <w:drawing>
          <wp:inline xmlns:a="http://schemas.openxmlformats.org/drawingml/2006/main" xmlns:pic="http://schemas.openxmlformats.org/drawingml/2006/picture">
            <wp:extent cx="6300000" cy="3780000"/>
            <wp:docPr id="10" name="Picture 10"/>
            <wp:cNvGraphicFramePr>
              <a:graphicFrameLocks noChangeAspect="1"/>
            </wp:cNvGraphicFramePr>
            <a:graphic>
              <a:graphicData uri="http://schemas.openxmlformats.org/drawingml/2006/picture">
                <pic:pic>
                  <pic:nvPicPr>
                    <pic:cNvPr id="0" name="convergence_returns.png"/>
                    <pic:cNvPicPr/>
                  </pic:nvPicPr>
                  <pic:blipFill>
                    <a:blip r:embed="rId17"/>
                    <a:stretch>
                      <a:fillRect/>
                    </a:stretch>
                  </pic:blipFill>
                  <pic:spPr>
                    <a:xfrm>
                      <a:off x="0" y="0"/>
                      <a:ext cx="6300000" cy="3780000"/>
                    </a:xfrm>
                    <a:prstGeom prst="rect"/>
                  </pic:spPr>
                </pic:pic>
              </a:graphicData>
            </a:graphic>
          </wp:inline>
        </w:drawing>
      </w:r>
    </w:p>
    <w:p>
      <w:pPr>
        <w:jc w:val="center"/>
      </w:pPr>
      <w:r>
        <w:rPr>
          <w:i/>
          <w:color w:val="595959"/>
          <w:sz w:val="18"/>
        </w:rPr>
        <w:t>Figura 5.10. Convergencia reward_mean — HAPPO/E1 (300 dpi, datos Drive).</w:t>
      </w:r>
    </w:p>
    <w:p>
      <w:pPr>
        <w:jc w:val="both"/>
      </w:pPr>
      <w:r>
        <w:t>La trayectoria de HAPPO en E1 muestra mejora sostenida hasta meseta temprana (CV = 0.033).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11" name="Picture 11"/>
            <wp:cNvGraphicFramePr>
              <a:graphicFrameLocks noChangeAspect="1"/>
            </wp:cNvGraphicFramePr>
            <a:graphic>
              <a:graphicData uri="http://schemas.openxmlformats.org/drawingml/2006/picture">
                <pic:pic>
                  <pic:nvPicPr>
                    <pic:cNvPr id="0" name="exploration_action_l2.png"/>
                    <pic:cNvPicPr/>
                  </pic:nvPicPr>
                  <pic:blipFill>
                    <a:blip r:embed="rId18"/>
                    <a:stretch>
                      <a:fillRect/>
                    </a:stretch>
                  </pic:blipFill>
                  <pic:spPr>
                    <a:xfrm>
                      <a:off x="0" y="0"/>
                      <a:ext cx="6300000" cy="2520000"/>
                    </a:xfrm>
                    <a:prstGeom prst="rect"/>
                  </pic:spPr>
                </pic:pic>
              </a:graphicData>
            </a:graphic>
          </wp:inline>
        </w:drawing>
      </w:r>
    </w:p>
    <w:p>
      <w:pPr>
        <w:jc w:val="center"/>
      </w:pPr>
      <w:r>
        <w:rPr>
          <w:i/>
          <w:color w:val="595959"/>
          <w:sz w:val="18"/>
        </w:rPr>
        <w:t>Figura 5.11. Exploracion (action_l2) — HAPPO/E1 (trace.csv).</w:t>
      </w:r>
    </w:p>
    <w:p>
      <w:pPr>
        <w:jc w:val="both"/>
      </w:pPr>
      <w:r>
        <w:t>La norma L2 de acciones de HAPPO refleja intensidad de control sobre BESS, cargas desplazables y EV. Reduccion gradual sugiere politica mas determinista; picos persistentes indican exploracion activa o inestabilidad de politica.</w:t>
      </w:r>
    </w:p>
    <w:p/>
    <w:p>
      <w:pPr>
        <w:pStyle w:val="Heading2"/>
      </w:pPr>
      <w:r>
        <w:t>5.3 OE.1 — Efecto sobre flexibilidad energetica (D-VD.1)</w:t>
      </w:r>
    </w:p>
    <w:p>
      <w:pPr>
        <w:jc w:val="both"/>
      </w:pPr>
      <w:r>
        <w:rPr>
          <w:b w:val="0"/>
          <w:i w:val="0"/>
        </w:rPr>
        <w:t>OE.1. Determinar el efecto del algoritmo MADRL (VI: D-VI.1) sobre flexibilidad energetica (D-VD.1) e identificar el algoritmo de mayor efecto en esta dimension. El escenario E1 concentra el peso de recompensa en este eje ([0,70; 0,15; 0,15]). La evidencia proviene de la corrida canonica de 50 episodios (madrl_v3_20260627_164047) con MATD3, MAAC y MASAC; HAPPO queda excluido de contrastacion por ausencia de KPIs finales (49/50 ep).</w:t>
      </w:r>
    </w:p>
    <w:p>
      <w:r>
        <w:rPr>
          <w:b/>
          <w:color w:val="595959"/>
          <w:sz w:val="19"/>
        </w:rPr>
        <w:t>Tabla 5.4. KPIs de D-VD.1 en escenario E1 (distrito, corrida Colab 50 ep).</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5.7. Ranking descriptivo OE.1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OE1</w:t>
            </w:r>
          </w:p>
        </w:tc>
        <w:tc>
          <w:tcPr>
            <w:tcW w:type="dxa" w:w="2551"/>
            <w:shd w:val="clear" w:color="auto" w:fill="1F4E79"/>
          </w:tcPr>
          <w:p>
            <w:r/>
            <w:r>
              <w:rPr>
                <w:b/>
                <w:color w:val="FFFFFF"/>
                <w:sz w:val="18"/>
              </w:rPr>
              <w:t>Mayor efecto en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OE.1: el algoritmo MADRL de mayor efecto sobre D-VD.1 en E1 es MATD3 (Flexibilidad compuesta = 1.0009). El contraste inferencial Kruskal-Wallis sobre KPI-gains en E1 arroja p = 0.281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713"/>
            <wp:docPr id="12" name="Picture 12"/>
            <wp:cNvGraphicFramePr>
              <a:graphicFrameLocks noChangeAspect="1"/>
            </wp:cNvGraphicFramePr>
            <a:graphic>
              <a:graphicData uri="http://schemas.openxmlformats.org/drawingml/2006/picture">
                <pic:pic>
                  <pic:nvPicPr>
                    <pic:cNvPr id="0" name="comparativo_E1_convergence_reward_mean.png"/>
                    <pic:cNvPicPr/>
                  </pic:nvPicPr>
                  <pic:blipFill>
                    <a:blip r:embed="rId19"/>
                    <a:stretch>
                      <a:fillRect/>
                    </a:stretch>
                  </pic:blipFill>
                  <pic:spPr>
                    <a:xfrm>
                      <a:off x="0" y="0"/>
                      <a:ext cx="6300000" cy="2698713"/>
                    </a:xfrm>
                    <a:prstGeom prst="rect"/>
                  </pic:spPr>
                </pic:pic>
              </a:graphicData>
            </a:graphic>
          </wp:inline>
        </w:drawing>
      </w:r>
    </w:p>
    <w:p>
      <w:pPr>
        <w:jc w:val="center"/>
      </w:pPr>
      <w:r>
        <w:rPr>
          <w:i/>
          <w:color w:val="595959"/>
          <w:sz w:val="18"/>
        </w:rPr>
        <w:t>Figura 5.12. Convergencia de reward_mean en e1 — escenario E1, datos reales Drive (300 dpi).</w:t>
      </w:r>
    </w:p>
    <w:p>
      <w:pPr>
        <w:jc w:val="both"/>
      </w:pPr>
      <w:r>
        <w:t>La Figura 5.12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6300000" cy="3937500"/>
            <wp:docPr id="13" name="Picture 13"/>
            <wp:cNvGraphicFramePr>
              <a:graphicFrameLocks noChangeAspect="1"/>
            </wp:cNvGraphicFramePr>
            <a:graphic>
              <a:graphicData uri="http://schemas.openxmlformats.org/drawingml/2006/picture">
                <pic:pic>
                  <pic:nvPicPr>
                    <pic:cNvPr id="0" name="comparativo_E1_OE1_kpi.png"/>
                    <pic:cNvPicPr/>
                  </pic:nvPicPr>
                  <pic:blipFill>
                    <a:blip r:embed="rId20"/>
                    <a:stretch>
                      <a:fillRect/>
                    </a:stretch>
                  </pic:blipFill>
                  <pic:spPr>
                    <a:xfrm>
                      <a:off x="0" y="0"/>
                      <a:ext cx="6300000" cy="3937500"/>
                    </a:xfrm>
                    <a:prstGeom prst="rect"/>
                  </pic:spPr>
                </pic:pic>
              </a:graphicData>
            </a:graphic>
          </wp:inline>
        </w:drawing>
      </w:r>
    </w:p>
    <w:p>
      <w:pPr>
        <w:jc w:val="center"/>
      </w:pPr>
      <w:r>
        <w:rPr>
          <w:i/>
          <w:color w:val="595959"/>
          <w:sz w:val="18"/>
        </w:rPr>
        <w:t>Figura 5.13. Comparativa de kpi oe1 en e1 — escenario E1, datos reales Drive (300 dpi).</w:t>
      </w:r>
    </w:p>
    <w:p>
      <w:pPr>
        <w:jc w:val="both"/>
      </w:pPr>
      <w:r>
        <w:t>La Figura 5.13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5940000" cy="742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1"/>
                    <a:stretch>
                      <a:fillRect/>
                    </a:stretch>
                  </pic:blipFill>
                  <pic:spPr>
                    <a:xfrm>
                      <a:off x="0" y="0"/>
                      <a:ext cx="5940000" cy="7425000"/>
                    </a:xfrm>
                    <a:prstGeom prst="rect"/>
                  </pic:spPr>
                </pic:pic>
              </a:graphicData>
            </a:graphic>
          </wp:inline>
        </w:drawing>
      </w:r>
    </w:p>
    <w:p>
      <w:pPr>
        <w:jc w:val="center"/>
      </w:pPr>
      <w:r>
        <w:rPr>
          <w:i/>
          <w:color w:val="595959"/>
          <w:sz w:val="18"/>
        </w:rPr>
        <w:t>Figura 5.14. Desagregacion por edificio (d-vd.1) — escenario E1, datos reales Drive (300 dpi).</w:t>
      </w:r>
    </w:p>
    <w:p>
      <w:pPr>
        <w:jc w:val="both"/>
      </w:pPr>
      <w:r>
        <w:t>La Figura 5.14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pPr>
        <w:pStyle w:val="Heading2"/>
      </w:pPr>
      <w:r>
        <w:t>5.4 OE.2 — Efecto sobre emisiones de CO2 (D-VD.2)</w:t>
      </w:r>
    </w:p>
    <w:p>
      <w:pPr>
        <w:jc w:val="both"/>
      </w:pPr>
      <w:r>
        <w:rPr>
          <w:b w:val="0"/>
          <w:i w:val="0"/>
        </w:rPr>
        <w:t>OE.2. Determinar el efecto del algoritmo MADRL (VI: D-VI.1) sobre emisiones de CO2 (D-VD.2) e identificar el algoritmo de mayor efecto en esta dimension. El escenario E2 concentra el peso de recompensa en este eje ([0,15; 0,70; 0,15]). La evidencia proviene de la corrida canonica de 50 episodios (madrl_v3_20260627_164047) con MATD3, MAAC y MASAC; HAPPO queda excluido de contrastacion por ausencia de KPIs finales (49/50 ep).</w:t>
      </w:r>
    </w:p>
    <w:p>
      <w:r>
        <w:rPr>
          <w:b/>
          <w:color w:val="595959"/>
          <w:sz w:val="19"/>
        </w:rPr>
        <w:t>Tabla 5.5. KPIs de D-VD.2 en escenario E2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5.8. Ranking descriptivo OE.2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OE2</w:t>
            </w:r>
          </w:p>
        </w:tc>
        <w:tc>
          <w:tcPr>
            <w:tcW w:type="dxa" w:w="2551"/>
            <w:shd w:val="clear" w:color="auto" w:fill="1F4E79"/>
          </w:tcPr>
          <w:p>
            <w:r/>
            <w:r>
              <w:rPr>
                <w:b/>
                <w:color w:val="FFFFFF"/>
                <w:sz w:val="18"/>
              </w:rPr>
              <w:t>Mayor efecto en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OE.2: el algoritmo MADRL de mayor efecto sobre D-VD.2 en E2 es MATD3 (Delta CO2 (kg) = 23,070). El contraste inferencial Kruskal-Wallis sobre KPI-gains en E2 arroja p = 0.546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070"/>
            <wp:docPr id="15" name="Picture 15"/>
            <wp:cNvGraphicFramePr>
              <a:graphicFrameLocks noChangeAspect="1"/>
            </wp:cNvGraphicFramePr>
            <a:graphic>
              <a:graphicData uri="http://schemas.openxmlformats.org/drawingml/2006/picture">
                <pic:pic>
                  <pic:nvPicPr>
                    <pic:cNvPr id="0" name="comparativo_E2_convergence_reward_mean.png"/>
                    <pic:cNvPicPr/>
                  </pic:nvPicPr>
                  <pic:blipFill>
                    <a:blip r:embed="rId22"/>
                    <a:stretch>
                      <a:fillRect/>
                    </a:stretch>
                  </pic:blipFill>
                  <pic:spPr>
                    <a:xfrm>
                      <a:off x="0" y="0"/>
                      <a:ext cx="6300000" cy="2698070"/>
                    </a:xfrm>
                    <a:prstGeom prst="rect"/>
                  </pic:spPr>
                </pic:pic>
              </a:graphicData>
            </a:graphic>
          </wp:inline>
        </w:drawing>
      </w:r>
    </w:p>
    <w:p>
      <w:pPr>
        <w:jc w:val="center"/>
      </w:pPr>
      <w:r>
        <w:rPr>
          <w:i/>
          <w:color w:val="595959"/>
          <w:sz w:val="18"/>
        </w:rPr>
        <w:t>Figura 5.15. Convergencia de reward_mean en e2 — escenario E2, datos reales Drive (300 dpi).</w:t>
      </w:r>
    </w:p>
    <w:p>
      <w:pPr>
        <w:jc w:val="both"/>
      </w:pPr>
      <w:r>
        <w:t>La Figura 5.15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3937500"/>
            <wp:docPr id="16" name="Picture 16"/>
            <wp:cNvGraphicFramePr>
              <a:graphicFrameLocks noChangeAspect="1"/>
            </wp:cNvGraphicFramePr>
            <a:graphic>
              <a:graphicData uri="http://schemas.openxmlformats.org/drawingml/2006/picture">
                <pic:pic>
                  <pic:nvPicPr>
                    <pic:cNvPr id="0" name="comparativo_E2_OE2_kpi.png"/>
                    <pic:cNvPicPr/>
                  </pic:nvPicPr>
                  <pic:blipFill>
                    <a:blip r:embed="rId23"/>
                    <a:stretch>
                      <a:fillRect/>
                    </a:stretch>
                  </pic:blipFill>
                  <pic:spPr>
                    <a:xfrm>
                      <a:off x="0" y="0"/>
                      <a:ext cx="6300000" cy="3937500"/>
                    </a:xfrm>
                    <a:prstGeom prst="rect"/>
                  </pic:spPr>
                </pic:pic>
              </a:graphicData>
            </a:graphic>
          </wp:inline>
        </w:drawing>
      </w:r>
    </w:p>
    <w:p>
      <w:pPr>
        <w:jc w:val="center"/>
      </w:pPr>
      <w:r>
        <w:rPr>
          <w:i/>
          <w:color w:val="595959"/>
          <w:sz w:val="18"/>
        </w:rPr>
        <w:t>Figura 5.16. Comparativa de kpi oe2 en e2 — escenario E2, datos reales Drive (300 dpi).</w:t>
      </w:r>
    </w:p>
    <w:p>
      <w:pPr>
        <w:jc w:val="both"/>
      </w:pPr>
      <w:r>
        <w:t>La Figura 5.16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5940000" cy="7425000"/>
            <wp:docPr id="17" name="Picture 17"/>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4"/>
                    <a:stretch>
                      <a:fillRect/>
                    </a:stretch>
                  </pic:blipFill>
                  <pic:spPr>
                    <a:xfrm>
                      <a:off x="0" y="0"/>
                      <a:ext cx="5940000" cy="7425000"/>
                    </a:xfrm>
                    <a:prstGeom prst="rect"/>
                  </pic:spPr>
                </pic:pic>
              </a:graphicData>
            </a:graphic>
          </wp:inline>
        </w:drawing>
      </w:r>
    </w:p>
    <w:p>
      <w:pPr>
        <w:jc w:val="center"/>
      </w:pPr>
      <w:r>
        <w:rPr>
          <w:i/>
          <w:color w:val="595959"/>
          <w:sz w:val="18"/>
        </w:rPr>
        <w:t>Figura 5.17. Desagregacion por edificio (d-vd.2) — escenario E2, datos reales Drive (300 dpi).</w:t>
      </w:r>
    </w:p>
    <w:p>
      <w:pPr>
        <w:jc w:val="both"/>
      </w:pPr>
      <w:r>
        <w:t>La Figura 5.17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2625000"/>
            <wp:docPr id="18" name="Picture 18"/>
            <wp:cNvGraphicFramePr>
              <a:graphicFrameLocks noChangeAspect="1"/>
            </wp:cNvGraphicFramePr>
            <a:graphic>
              <a:graphicData uri="http://schemas.openxmlformats.org/drawingml/2006/picture">
                <pic:pic>
                  <pic:nvPicPr>
                    <pic:cNvPr id="0" name="comparativo_E2_control_trace.png"/>
                    <pic:cNvPicPr/>
                  </pic:nvPicPr>
                  <pic:blipFill>
                    <a:blip r:embed="rId25"/>
                    <a:stretch>
                      <a:fillRect/>
                    </a:stretch>
                  </pic:blipFill>
                  <pic:spPr>
                    <a:xfrm>
                      <a:off x="0" y="0"/>
                      <a:ext cx="6300000" cy="2625000"/>
                    </a:xfrm>
                    <a:prstGeom prst="rect"/>
                  </pic:spPr>
                </pic:pic>
              </a:graphicData>
            </a:graphic>
          </wp:inline>
        </w:drawing>
      </w:r>
    </w:p>
    <w:p>
      <w:pPr>
        <w:jc w:val="center"/>
      </w:pPr>
      <w:r>
        <w:rPr>
          <w:i/>
          <w:color w:val="595959"/>
          <w:sz w:val="18"/>
        </w:rPr>
        <w:t>Figura 5.18. Trazas de control madrl (trace.csv) — escenario E2, datos reales Drive (300 dpi).</w:t>
      </w:r>
    </w:p>
    <w:p>
      <w:pPr>
        <w:jc w:val="both"/>
      </w:pPr>
      <w:r>
        <w:t>La Figura 5.18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pPr>
        <w:pStyle w:val="Heading2"/>
      </w:pPr>
      <w:r>
        <w:t>5.5 OE.3 — Efecto sobre costos energeticos (D-VD.3)</w:t>
      </w:r>
    </w:p>
    <w:p>
      <w:pPr>
        <w:jc w:val="both"/>
      </w:pPr>
      <w:r>
        <w:rPr>
          <w:b w:val="0"/>
          <w:i w:val="0"/>
        </w:rPr>
        <w:t>OE.3. Determinar el efecto del algoritmo MADRL (VI: D-VI.1) sobre costos energeticos (D-VD.3) e identificar el algoritmo de mayor efecto en esta dimension. El escenario E3 concentra el peso de recompensa en este eje ([0,15; 0,15; 0,70]). La evidencia proviene de la corrida canonica de 50 episodios (madrl_v3_20260627_164047) con MATD3, MAAC y MASAC; HAPPO queda excluido de contrastacion por ausencia de KPIs finales (49/50 ep).</w:t>
      </w:r>
    </w:p>
    <w:p>
      <w:r>
        <w:rPr>
          <w:b/>
          <w:color w:val="595959"/>
          <w:sz w:val="19"/>
        </w:rPr>
        <w:t>Tabla 5.6. KPIs de D-VD.3 en escenario E3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5.9. Ranking descriptivo OE.3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OE3</w:t>
            </w:r>
          </w:p>
        </w:tc>
        <w:tc>
          <w:tcPr>
            <w:tcW w:type="dxa" w:w="2551"/>
            <w:shd w:val="clear" w:color="auto" w:fill="1F4E79"/>
          </w:tcPr>
          <w:p>
            <w:r/>
            <w:r>
              <w:rPr>
                <w:b/>
                <w:color w:val="FFFFFF"/>
                <w:sz w:val="18"/>
              </w:rPr>
              <w:t>Mayor efecto en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pPr>
        <w:jc w:val="both"/>
      </w:pPr>
      <w:r>
        <w:rPr>
          <w:b w:val="0"/>
          <w:i w:val="0"/>
        </w:rPr>
        <w:t>Respuesta a OE.3: el algoritmo MADRL de mayor efecto sobre D-VD.3 en E3 es MAAC (Delta costo electrico (EUR) = 9,515). El contraste inferencial Kruskal-Wallis sobre KPI-gains en E3 arroja p = 0.388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070"/>
            <wp:docPr id="19" name="Picture 19"/>
            <wp:cNvGraphicFramePr>
              <a:graphicFrameLocks noChangeAspect="1"/>
            </wp:cNvGraphicFramePr>
            <a:graphic>
              <a:graphicData uri="http://schemas.openxmlformats.org/drawingml/2006/picture">
                <pic:pic>
                  <pic:nvPicPr>
                    <pic:cNvPr id="0" name="comparativo_E3_convergence_reward_mean.png"/>
                    <pic:cNvPicPr/>
                  </pic:nvPicPr>
                  <pic:blipFill>
                    <a:blip r:embed="rId26"/>
                    <a:stretch>
                      <a:fillRect/>
                    </a:stretch>
                  </pic:blipFill>
                  <pic:spPr>
                    <a:xfrm>
                      <a:off x="0" y="0"/>
                      <a:ext cx="6300000" cy="2698070"/>
                    </a:xfrm>
                    <a:prstGeom prst="rect"/>
                  </pic:spPr>
                </pic:pic>
              </a:graphicData>
            </a:graphic>
          </wp:inline>
        </w:drawing>
      </w:r>
    </w:p>
    <w:p>
      <w:pPr>
        <w:jc w:val="center"/>
      </w:pPr>
      <w:r>
        <w:rPr>
          <w:i/>
          <w:color w:val="595959"/>
          <w:sz w:val="18"/>
        </w:rPr>
        <w:t>Figura 5.19. Convergencia de reward_mean en e3 — escenario E3, datos reales Drive (300 dpi).</w:t>
      </w:r>
    </w:p>
    <w:p>
      <w:pPr>
        <w:jc w:val="both"/>
      </w:pPr>
      <w:r>
        <w:t>La Figura 5.19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6300000" cy="3937500"/>
            <wp:docPr id="20" name="Picture 20"/>
            <wp:cNvGraphicFramePr>
              <a:graphicFrameLocks noChangeAspect="1"/>
            </wp:cNvGraphicFramePr>
            <a:graphic>
              <a:graphicData uri="http://schemas.openxmlformats.org/drawingml/2006/picture">
                <pic:pic>
                  <pic:nvPicPr>
                    <pic:cNvPr id="0" name="comparativo_E3_OE3_kpi.png"/>
                    <pic:cNvPicPr/>
                  </pic:nvPicPr>
                  <pic:blipFill>
                    <a:blip r:embed="rId27"/>
                    <a:stretch>
                      <a:fillRect/>
                    </a:stretch>
                  </pic:blipFill>
                  <pic:spPr>
                    <a:xfrm>
                      <a:off x="0" y="0"/>
                      <a:ext cx="6300000" cy="3937500"/>
                    </a:xfrm>
                    <a:prstGeom prst="rect"/>
                  </pic:spPr>
                </pic:pic>
              </a:graphicData>
            </a:graphic>
          </wp:inline>
        </w:drawing>
      </w:r>
    </w:p>
    <w:p>
      <w:pPr>
        <w:jc w:val="center"/>
      </w:pPr>
      <w:r>
        <w:rPr>
          <w:i/>
          <w:color w:val="595959"/>
          <w:sz w:val="18"/>
        </w:rPr>
        <w:t>Figura 5.20. Comparativa de kpi oe3 en e3 — escenario E3, datos reales Drive (300 dpi).</w:t>
      </w:r>
    </w:p>
    <w:p>
      <w:pPr>
        <w:jc w:val="both"/>
      </w:pPr>
      <w:r>
        <w:t>La Figura 5.20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5940000" cy="7425000"/>
            <wp:docPr id="21" name="Picture 21"/>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8"/>
                    <a:stretch>
                      <a:fillRect/>
                    </a:stretch>
                  </pic:blipFill>
                  <pic:spPr>
                    <a:xfrm>
                      <a:off x="0" y="0"/>
                      <a:ext cx="5940000" cy="7425000"/>
                    </a:xfrm>
                    <a:prstGeom prst="rect"/>
                  </pic:spPr>
                </pic:pic>
              </a:graphicData>
            </a:graphic>
          </wp:inline>
        </w:drawing>
      </w:r>
    </w:p>
    <w:p>
      <w:pPr>
        <w:jc w:val="center"/>
      </w:pPr>
      <w:r>
        <w:rPr>
          <w:i/>
          <w:color w:val="595959"/>
          <w:sz w:val="18"/>
        </w:rPr>
        <w:t>Figura 5.21. Desagregacion por edificio (d-vd.3) — escenario E3, datos reales Drive (300 dpi).</w:t>
      </w:r>
    </w:p>
    <w:p>
      <w:pPr>
        <w:jc w:val="both"/>
      </w:pPr>
      <w:r>
        <w:t>La Figura 5.21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pPr>
        <w:pStyle w:val="Heading2"/>
      </w:pPr>
      <w:r>
        <w:t>5.6 Sintesis integrada por objetivo especifico</w:t>
      </w:r>
    </w:p>
    <w:p>
      <w:pPr>
        <w:jc w:val="both"/>
      </w:pPr>
      <w:r>
        <w:rPr>
          <w:b w:val="0"/>
          <w:i w:val="0"/>
        </w:rPr>
        <w:t>La Tabla 5.10 resume la respuesta a cada OE con el algoritmo de mayor efecto descriptivo, el score normalizado y la significancia inferencial por eje. Ningun algoritmo domina los tres objetivos: MATD3 lidera OE.1 y OE.2; MAAC lidera OE.3. El score global 0,6667 de MATD3 refleja su ventaja en dos de tres dimensiones, no superioridad universal.</w:t>
      </w:r>
    </w:p>
    <w:p>
      <w:r>
        <w:rPr>
          <w:b/>
          <w:color w:val="595959"/>
          <w:sz w:val="19"/>
        </w:rPr>
        <w:t>Tabla 5.10. Matriz de respuesta por objetivo especifico (50 ep Colab).</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OE</w:t>
            </w:r>
          </w:p>
        </w:tc>
        <w:tc>
          <w:tcPr>
            <w:tcW w:type="dxa" w:w="680"/>
            <w:shd w:val="clear" w:color="auto" w:fill="1F4E79"/>
          </w:tcPr>
          <w:p>
            <w:r/>
            <w:r>
              <w:rPr>
                <w:b/>
                <w:color w:val="FFFFFF"/>
                <w:sz w:val="18"/>
              </w:rPr>
              <w:t>Esc.</w:t>
            </w:r>
          </w:p>
        </w:tc>
        <w:tc>
          <w:tcPr>
            <w:tcW w:type="dxa" w:w="850"/>
            <w:shd w:val="clear" w:color="auto" w:fill="1F4E79"/>
          </w:tcPr>
          <w:p>
            <w:r/>
            <w:r>
              <w:rPr>
                <w:b/>
                <w:color w:val="FFFFFF"/>
                <w:sz w:val="18"/>
              </w:rPr>
              <w:t>VD</w:t>
            </w:r>
          </w:p>
        </w:tc>
        <w:tc>
          <w:tcPr>
            <w:tcW w:type="dxa" w:w="1417"/>
            <w:shd w:val="clear" w:color="auto" w:fill="1F4E79"/>
          </w:tcPr>
          <w:p>
            <w:r/>
            <w:r>
              <w:rPr>
                <w:b/>
                <w:color w:val="FFFFFF"/>
                <w:sz w:val="18"/>
              </w:rPr>
              <w:t>Mayor efecto (VI)</w:t>
            </w:r>
          </w:p>
        </w:tc>
        <w:tc>
          <w:tcPr>
            <w:tcW w:type="dxa" w:w="1587"/>
            <w:shd w:val="clear" w:color="auto" w:fill="1F4E79"/>
          </w:tcPr>
          <w:p>
            <w:r/>
            <w:r>
              <w:rPr>
                <w:b/>
                <w:color w:val="FFFFFF"/>
                <w:sz w:val="18"/>
              </w:rPr>
              <w:t>KPI principal</w:t>
            </w:r>
          </w:p>
        </w:tc>
        <w:tc>
          <w:tcPr>
            <w:tcW w:type="dxa" w:w="1134"/>
            <w:shd w:val="clear" w:color="auto" w:fill="1F4E79"/>
          </w:tcPr>
          <w:p>
            <w:r/>
            <w:r>
              <w:rPr>
                <w:b/>
                <w:color w:val="FFFFFF"/>
                <w:sz w:val="18"/>
              </w:rPr>
              <w:t>Score norm.</w:t>
            </w:r>
          </w:p>
        </w:tc>
        <w:tc>
          <w:tcPr>
            <w:tcW w:type="dxa" w:w="850"/>
            <w:shd w:val="clear" w:color="auto" w:fill="1F4E79"/>
          </w:tcPr>
          <w:p>
            <w:r/>
            <w:r>
              <w:rPr>
                <w:b/>
                <w:color w:val="FFFFFF"/>
                <w:sz w:val="18"/>
              </w:rPr>
              <w:t>KW p</w:t>
            </w:r>
          </w:p>
        </w:tc>
      </w:tr>
      <w:tr>
        <w:tc>
          <w:tcPr>
            <w:tcW w:type="dxa" w:w="850"/>
          </w:tcPr>
          <w:p>
            <w:r/>
            <w:r>
              <w:rPr>
                <w:sz w:val="18"/>
              </w:rPr>
              <w:t>OE.1</w:t>
            </w:r>
          </w:p>
        </w:tc>
        <w:tc>
          <w:tcPr>
            <w:tcW w:type="dxa" w:w="680"/>
          </w:tcPr>
          <w:p>
            <w:r/>
            <w:r>
              <w:rPr>
                <w:sz w:val="18"/>
              </w:rPr>
              <w:t>E1</w:t>
            </w:r>
          </w:p>
        </w:tc>
        <w:tc>
          <w:tcPr>
            <w:tcW w:type="dxa" w:w="850"/>
          </w:tcPr>
          <w:p>
            <w:r/>
            <w:r>
              <w:rPr>
                <w:sz w:val="18"/>
              </w:rPr>
              <w:t>D-VD.1</w:t>
            </w:r>
          </w:p>
        </w:tc>
        <w:tc>
          <w:tcPr>
            <w:tcW w:type="dxa" w:w="1417"/>
          </w:tcPr>
          <w:p>
            <w:r/>
            <w:r>
              <w:rPr>
                <w:sz w:val="18"/>
              </w:rPr>
              <w:t>MATD3</w:t>
            </w:r>
          </w:p>
        </w:tc>
        <w:tc>
          <w:tcPr>
            <w:tcW w:type="dxa" w:w="1587"/>
          </w:tcPr>
          <w:p>
            <w:r/>
            <w:r>
              <w:rPr>
                <w:sz w:val="18"/>
              </w:rPr>
              <w:t>1.0009</w:t>
            </w:r>
          </w:p>
        </w:tc>
        <w:tc>
          <w:tcPr>
            <w:tcW w:type="dxa" w:w="1134"/>
          </w:tcPr>
          <w:p>
            <w:r/>
            <w:r>
              <w:rPr>
                <w:sz w:val="18"/>
              </w:rPr>
              <w:t>1.0000</w:t>
            </w:r>
          </w:p>
        </w:tc>
        <w:tc>
          <w:tcPr>
            <w:tcW w:type="dxa" w:w="850"/>
          </w:tcPr>
          <w:p>
            <w:r/>
            <w:r>
              <w:rPr>
                <w:sz w:val="18"/>
              </w:rPr>
              <w:t>0.281</w:t>
            </w:r>
          </w:p>
        </w:tc>
      </w:tr>
      <w:tr>
        <w:tc>
          <w:tcPr>
            <w:tcW w:type="dxa" w:w="850"/>
          </w:tcPr>
          <w:p>
            <w:r/>
            <w:r>
              <w:rPr>
                <w:sz w:val="18"/>
              </w:rPr>
              <w:t>OE.2</w:t>
            </w:r>
          </w:p>
        </w:tc>
        <w:tc>
          <w:tcPr>
            <w:tcW w:type="dxa" w:w="680"/>
          </w:tcPr>
          <w:p>
            <w:r/>
            <w:r>
              <w:rPr>
                <w:sz w:val="18"/>
              </w:rPr>
              <w:t>E2</w:t>
            </w:r>
          </w:p>
        </w:tc>
        <w:tc>
          <w:tcPr>
            <w:tcW w:type="dxa" w:w="850"/>
          </w:tcPr>
          <w:p>
            <w:r/>
            <w:r>
              <w:rPr>
                <w:sz w:val="18"/>
              </w:rPr>
              <w:t>D-VD.2</w:t>
            </w:r>
          </w:p>
        </w:tc>
        <w:tc>
          <w:tcPr>
            <w:tcW w:type="dxa" w:w="1417"/>
          </w:tcPr>
          <w:p>
            <w:r/>
            <w:r>
              <w:rPr>
                <w:sz w:val="18"/>
              </w:rPr>
              <w:t>MATD3</w:t>
            </w:r>
          </w:p>
        </w:tc>
        <w:tc>
          <w:tcPr>
            <w:tcW w:type="dxa" w:w="1587"/>
          </w:tcPr>
          <w:p>
            <w:r/>
            <w:r>
              <w:rPr>
                <w:sz w:val="18"/>
              </w:rPr>
              <w:t>23,070</w:t>
            </w:r>
          </w:p>
        </w:tc>
        <w:tc>
          <w:tcPr>
            <w:tcW w:type="dxa" w:w="1134"/>
          </w:tcPr>
          <w:p>
            <w:r/>
            <w:r>
              <w:rPr>
                <w:sz w:val="18"/>
              </w:rPr>
              <w:t>1.0000</w:t>
            </w:r>
          </w:p>
        </w:tc>
        <w:tc>
          <w:tcPr>
            <w:tcW w:type="dxa" w:w="850"/>
          </w:tcPr>
          <w:p>
            <w:r/>
            <w:r>
              <w:rPr>
                <w:sz w:val="18"/>
              </w:rPr>
              <w:t>0.546</w:t>
            </w:r>
          </w:p>
        </w:tc>
      </w:tr>
      <w:tr>
        <w:tc>
          <w:tcPr>
            <w:tcW w:type="dxa" w:w="850"/>
          </w:tcPr>
          <w:p>
            <w:r/>
            <w:r>
              <w:rPr>
                <w:sz w:val="18"/>
              </w:rPr>
              <w:t>OE.3</w:t>
            </w:r>
          </w:p>
        </w:tc>
        <w:tc>
          <w:tcPr>
            <w:tcW w:type="dxa" w:w="680"/>
          </w:tcPr>
          <w:p>
            <w:r/>
            <w:r>
              <w:rPr>
                <w:sz w:val="18"/>
              </w:rPr>
              <w:t>E3</w:t>
            </w:r>
          </w:p>
        </w:tc>
        <w:tc>
          <w:tcPr>
            <w:tcW w:type="dxa" w:w="850"/>
          </w:tcPr>
          <w:p>
            <w:r/>
            <w:r>
              <w:rPr>
                <w:sz w:val="18"/>
              </w:rPr>
              <w:t>D-VD.3</w:t>
            </w:r>
          </w:p>
        </w:tc>
        <w:tc>
          <w:tcPr>
            <w:tcW w:type="dxa" w:w="1417"/>
          </w:tcPr>
          <w:p>
            <w:r/>
            <w:r>
              <w:rPr>
                <w:sz w:val="18"/>
              </w:rPr>
              <w:t>MAAC</w:t>
            </w:r>
          </w:p>
        </w:tc>
        <w:tc>
          <w:tcPr>
            <w:tcW w:type="dxa" w:w="1587"/>
          </w:tcPr>
          <w:p>
            <w:r/>
            <w:r>
              <w:rPr>
                <w:sz w:val="18"/>
              </w:rPr>
              <w:t>9,515</w:t>
            </w:r>
          </w:p>
        </w:tc>
        <w:tc>
          <w:tcPr>
            <w:tcW w:type="dxa" w:w="1134"/>
          </w:tcPr>
          <w:p>
            <w:r/>
            <w:r>
              <w:rPr>
                <w:sz w:val="18"/>
              </w:rPr>
              <w:t>1.0000</w:t>
            </w:r>
          </w:p>
        </w:tc>
        <w:tc>
          <w:tcPr>
            <w:tcW w:type="dxa" w:w="850"/>
          </w:tcPr>
          <w:p>
            <w:r/>
            <w:r>
              <w:rPr>
                <w:sz w:val="18"/>
              </w:rPr>
              <w:t>0.388</w:t>
            </w:r>
          </w:p>
        </w:tc>
      </w:tr>
    </w:tbl>
    <w:p/>
    <w:p>
      <w:r>
        <w:rPr>
          <w:b/>
          <w:color w:val="595959"/>
          <w:sz w:val="19"/>
        </w:rPr>
        <w:t>Tabla 5.11. Ranking integrado por score normalizado (best_madrl_report.json).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r>
        <w:br w:type="page"/>
      </w:r>
    </w:p>
    <w:p>
      <w:r>
        <w:drawing>
          <wp:inline xmlns:a="http://schemas.openxmlformats.org/drawingml/2006/main" xmlns:pic="http://schemas.openxmlformats.org/drawingml/2006/picture">
            <wp:extent cx="6300000" cy="2423077"/>
            <wp:docPr id="22" name="Picture 22"/>
            <wp:cNvGraphicFramePr>
              <a:graphicFrameLocks noChangeAspect="1"/>
            </wp:cNvGraphicFramePr>
            <a:graphic>
              <a:graphicData uri="http://schemas.openxmlformats.org/drawingml/2006/picture">
                <pic:pic>
                  <pic:nvPicPr>
                    <pic:cNvPr id="0" name="comparativo_global_ranking_oe.png"/>
                    <pic:cNvPicPr/>
                  </pic:nvPicPr>
                  <pic:blipFill>
                    <a:blip r:embed="rId29"/>
                    <a:stretch>
                      <a:fillRect/>
                    </a:stretch>
                  </pic:blipFill>
                  <pic:spPr>
                    <a:xfrm>
                      <a:off x="0" y="0"/>
                      <a:ext cx="6300000" cy="2423077"/>
                    </a:xfrm>
                    <a:prstGeom prst="rect"/>
                  </pic:spPr>
                </pic:pic>
              </a:graphicData>
            </a:graphic>
          </wp:inline>
        </w:drawing>
      </w:r>
    </w:p>
    <w:p>
      <w:pPr>
        <w:jc w:val="center"/>
      </w:pPr>
      <w:r>
        <w:rPr>
          <w:i/>
          <w:color w:val="595959"/>
          <w:sz w:val="18"/>
        </w:rPr>
        <w:t>Figura 5.22. Ranking global OE.1/OE.2/OE.3 y KPIs fisicos por algoritmo.</w:t>
      </w:r>
    </w:p>
    <w:p>
      <w:pPr>
        <w:jc w:val="both"/>
      </w:pPr>
      <w:r>
        <w:t>La figura confirma la no-dominancia unica: MATD3 concentra ventaja en flexibilidad y CO2; MAAC en costo. Esta visualizacion cierra la lectura integrada de la Tabla 5.10.</w:t>
      </w:r>
    </w:p>
    <w:p/>
    <w:p>
      <w:r>
        <w:drawing>
          <wp:inline xmlns:a="http://schemas.openxmlformats.org/drawingml/2006/main" xmlns:pic="http://schemas.openxmlformats.org/drawingml/2006/picture">
            <wp:extent cx="6300000" cy="2520000"/>
            <wp:docPr id="23" name="Picture 23"/>
            <wp:cNvGraphicFramePr>
              <a:graphicFrameLocks noChangeAspect="1"/>
            </wp:cNvGraphicFramePr>
            <a:graphic>
              <a:graphicData uri="http://schemas.openxmlformats.org/drawingml/2006/picture">
                <pic:pic>
                  <pic:nvPicPr>
                    <pic:cNvPr id="0" name="comparativo_best_worst_por_escenario.png"/>
                    <pic:cNvPicPr/>
                  </pic:nvPicPr>
                  <pic:blipFill>
                    <a:blip r:embed="rId30"/>
                    <a:stretch>
                      <a:fillRect/>
                    </a:stretch>
                  </pic:blipFill>
                  <pic:spPr>
                    <a:xfrm>
                      <a:off x="0" y="0"/>
                      <a:ext cx="6300000" cy="2520000"/>
                    </a:xfrm>
                    <a:prstGeom prst="rect"/>
                  </pic:spPr>
                </pic:pic>
              </a:graphicData>
            </a:graphic>
          </wp:inline>
        </w:drawing>
      </w:r>
    </w:p>
    <w:p>
      <w:pPr>
        <w:jc w:val="center"/>
      </w:pPr>
      <w:r>
        <w:rPr>
          <w:i/>
          <w:color w:val="595959"/>
          <w:sz w:val="18"/>
        </w:rPr>
        <w:t>Figura 5.23. Mejor y peor MADRL por escenario objetivo.</w:t>
      </w:r>
    </w:p>
    <w:p>
      <w:pPr>
        <w:jc w:val="both"/>
      </w:pPr>
      <w:r>
        <w:t>Por escenario, el algoritmo de mayor efecto coincide con OE.1→MATD3 (E1), OE.2→MATD3 (E2) y OE.3→MAAC (E3), alineado con las tablas 5.4–5.6 y 5.10.</w:t>
      </w:r>
    </w:p>
    <w:p/>
    <w:p>
      <w:r>
        <w:drawing>
          <wp:inline xmlns:a="http://schemas.openxmlformats.org/drawingml/2006/main" xmlns:pic="http://schemas.openxmlformats.org/drawingml/2006/picture">
            <wp:extent cx="6300000" cy="2180769"/>
            <wp:docPr id="24" name="Picture 24"/>
            <wp:cNvGraphicFramePr>
              <a:graphicFrameLocks noChangeAspect="1"/>
            </wp:cNvGraphicFramePr>
            <a:graphic>
              <a:graphicData uri="http://schemas.openxmlformats.org/drawingml/2006/picture">
                <pic:pic>
                  <pic:nvPicPr>
                    <pic:cNvPr id="0" name="drive_district_objectives.png"/>
                    <pic:cNvPicPr/>
                  </pic:nvPicPr>
                  <pic:blipFill>
                    <a:blip r:embed="rId31"/>
                    <a:stretch>
                      <a:fillRect/>
                    </a:stretch>
                  </pic:blipFill>
                  <pic:spPr>
                    <a:xfrm>
                      <a:off x="0" y="0"/>
                      <a:ext cx="6300000" cy="2180769"/>
                    </a:xfrm>
                    <a:prstGeom prst="rect"/>
                  </pic:spPr>
                </pic:pic>
              </a:graphicData>
            </a:graphic>
          </wp:inline>
        </w:drawing>
      </w:r>
    </w:p>
    <w:p>
      <w:pPr>
        <w:jc w:val="center"/>
      </w:pPr>
      <w:r>
        <w:rPr>
          <w:i/>
          <w:color w:val="595959"/>
          <w:sz w:val="18"/>
        </w:rPr>
        <w:t>Figura 5.24. KPIs multiobjetivo agregados a nivel distrito.</w:t>
      </w:r>
    </w:p>
    <w:p>
      <w:pPr>
        <w:jc w:val="both"/>
      </w:pPr>
      <w:r>
        <w:t>La agregacion distrital muestra trade-offs entre ejes: mejoras en flexibilidad o CO2 no implican automaticamente mejor costo, lo que justifica el diseno factorial E1/E2/E3.</w:t>
      </w:r>
    </w:p>
    <w:p/>
    <w:p>
      <w:pPr>
        <w:pStyle w:val="Heading2"/>
      </w:pPr>
      <w:r>
        <w:t>5.7 Comparacion con linea base CityLearn v2 por objetivo</w:t>
      </w:r>
    </w:p>
    <w:p>
      <w:pPr>
        <w:jc w:val="both"/>
      </w:pPr>
      <w:r>
        <w:rPr>
          <w:b w:val="0"/>
          <w:i w:val="0"/>
        </w:rPr>
        <w:t>Se contrasta cada eje OE frente a baseline y hour_rbc de CityLearn v2 (54 KPI, score HPHI). Fuente: outputs/madrl_v3_20260627_164047/resumen_comparativo/citylearn_v2_baseline/. Hallazgo: los controles RBC superan a MADRL en score global, pero la comparacion por eje permite ubicar el efecto relativo de cada algoritmo aprendido.</w:t>
      </w:r>
    </w:p>
    <w:p>
      <w:r>
        <w:rPr>
          <w:b/>
          <w:color w:val="595959"/>
          <w:sz w:val="19"/>
        </w:rPr>
        <w:t>Tabla 5.12. Ranking por eje OE (ranking_by_axis.csv, E1–E3).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134"/>
            <w:shd w:val="clear" w:color="auto" w:fill="1F4E79"/>
          </w:tcPr>
          <w:p>
            <w:r/>
            <w:r>
              <w:rPr>
                <w:b/>
                <w:color w:val="FFFFFF"/>
                <w:sz w:val="18"/>
              </w:rPr>
              <w:t>OE / Esc.</w:t>
            </w:r>
          </w:p>
        </w:tc>
        <w:tc>
          <w:tcPr>
            <w:tcW w:type="dxa" w:w="1417"/>
            <w:shd w:val="clear" w:color="auto" w:fill="1F4E79"/>
          </w:tcPr>
          <w:p>
            <w:r/>
            <w:r>
              <w:rPr>
                <w:b/>
                <w:color w:val="FFFFFF"/>
                <w:sz w:val="18"/>
              </w:rPr>
              <w:t>1.o eje</w:t>
            </w:r>
          </w:p>
        </w:tc>
        <w:tc>
          <w:tcPr>
            <w:tcW w:type="dxa" w:w="1134"/>
            <w:shd w:val="clear" w:color="auto" w:fill="1F4E79"/>
          </w:tcPr>
          <w:p>
            <w:r/>
            <w:r>
              <w:rPr>
                <w:b/>
                <w:color w:val="FFFFFF"/>
                <w:sz w:val="18"/>
              </w:rPr>
              <w:t>Score eje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c>
          <w:tcPr>
            <w:tcW w:type="dxa" w:w="1417"/>
            <w:shd w:val="clear" w:color="auto" w:fill="1F4E79"/>
          </w:tcPr>
          <w:p>
            <w:r/>
            <w:r>
              <w:rPr>
                <w:b/>
                <w:color w:val="FFFFFF"/>
                <w:sz w:val="18"/>
              </w:rPr>
              <w:t>Posicion MADRL</w:t>
            </w:r>
          </w:p>
        </w:tc>
      </w:tr>
      <w:tr>
        <w:tc>
          <w:tcPr>
            <w:tcW w:type="dxa" w:w="1134"/>
          </w:tcPr>
          <w:p>
            <w:r/>
            <w:r>
              <w:rPr>
                <w:sz w:val="18"/>
              </w:rPr>
              <w:t>OE.1 / E1</w:t>
            </w:r>
          </w:p>
        </w:tc>
        <w:tc>
          <w:tcPr>
            <w:tcW w:type="dxa" w:w="1417"/>
          </w:tcPr>
          <w:p>
            <w:r/>
            <w:r>
              <w:rPr>
                <w:sz w:val="18"/>
              </w:rPr>
              <w:t>MATD3</w:t>
            </w:r>
          </w:p>
        </w:tc>
        <w:tc>
          <w:tcPr>
            <w:tcW w:type="dxa" w:w="1134"/>
          </w:tcPr>
          <w:p>
            <w:r/>
            <w:r>
              <w:rPr>
                <w:sz w:val="18"/>
              </w:rPr>
              <w:t>0,496</w:t>
            </w:r>
          </w:p>
        </w:tc>
        <w:tc>
          <w:tcPr>
            <w:tcW w:type="dxa" w:w="1417"/>
          </w:tcPr>
          <w:p>
            <w:r/>
            <w:r>
              <w:rPr>
                <w:sz w:val="18"/>
              </w:rPr>
              <w:t>MATD3</w:t>
            </w:r>
          </w:p>
        </w:tc>
        <w:tc>
          <w:tcPr>
            <w:tcW w:type="dxa" w:w="1417"/>
          </w:tcPr>
          <w:p>
            <w:r/>
            <w:r>
              <w:rPr>
                <w:sz w:val="18"/>
              </w:rPr>
              <w:t>0,496</w:t>
            </w:r>
          </w:p>
        </w:tc>
        <w:tc>
          <w:tcPr>
            <w:tcW w:type="dxa" w:w="1417"/>
          </w:tcPr>
          <w:p>
            <w:r/>
            <w:r>
              <w:rPr>
                <w:sz w:val="18"/>
              </w:rPr>
              <w:t>1.o / 5 metodos</w:t>
            </w:r>
          </w:p>
        </w:tc>
      </w:tr>
      <w:tr>
        <w:tc>
          <w:tcPr>
            <w:tcW w:type="dxa" w:w="1134"/>
          </w:tcPr>
          <w:p>
            <w:r/>
            <w:r>
              <w:rPr>
                <w:sz w:val="18"/>
              </w:rPr>
              <w:t>OE.2 / E2</w:t>
            </w:r>
          </w:p>
        </w:tc>
        <w:tc>
          <w:tcPr>
            <w:tcW w:type="dxa" w:w="1417"/>
          </w:tcPr>
          <w:p>
            <w:r/>
            <w:r>
              <w:rPr>
                <w:sz w:val="18"/>
              </w:rPr>
              <w:t>baseline v2</w:t>
            </w:r>
          </w:p>
        </w:tc>
        <w:tc>
          <w:tcPr>
            <w:tcW w:type="dxa" w:w="1134"/>
          </w:tcPr>
          <w:p>
            <w:r/>
            <w:r>
              <w:rPr>
                <w:sz w:val="18"/>
              </w:rPr>
              <w:t>1,000</w:t>
            </w:r>
          </w:p>
        </w:tc>
        <w:tc>
          <w:tcPr>
            <w:tcW w:type="dxa" w:w="1417"/>
          </w:tcPr>
          <w:p>
            <w:r/>
            <w:r>
              <w:rPr>
                <w:sz w:val="18"/>
              </w:rPr>
              <w:t>MATD3</w:t>
            </w:r>
          </w:p>
        </w:tc>
        <w:tc>
          <w:tcPr>
            <w:tcW w:type="dxa" w:w="1417"/>
          </w:tcPr>
          <w:p>
            <w:r/>
            <w:r>
              <w:rPr>
                <w:sz w:val="18"/>
              </w:rPr>
              <w:t>0,291</w:t>
            </w:r>
          </w:p>
        </w:tc>
        <w:tc>
          <w:tcPr>
            <w:tcW w:type="dxa" w:w="1417"/>
          </w:tcPr>
          <w:p>
            <w:r/>
            <w:r>
              <w:rPr>
                <w:sz w:val="18"/>
              </w:rPr>
              <w:t>4.o / 5 metodos</w:t>
            </w:r>
          </w:p>
        </w:tc>
      </w:tr>
      <w:tr>
        <w:tc>
          <w:tcPr>
            <w:tcW w:type="dxa" w:w="1134"/>
          </w:tcPr>
          <w:p>
            <w:r/>
            <w:r>
              <w:rPr>
                <w:sz w:val="18"/>
              </w:rPr>
              <w:t>OE.3 / E3</w:t>
            </w:r>
          </w:p>
        </w:tc>
        <w:tc>
          <w:tcPr>
            <w:tcW w:type="dxa" w:w="1417"/>
          </w:tcPr>
          <w:p>
            <w:r/>
            <w:r>
              <w:rPr>
                <w:sz w:val="18"/>
              </w:rPr>
              <w:t>hour_rbc</w:t>
            </w:r>
          </w:p>
        </w:tc>
        <w:tc>
          <w:tcPr>
            <w:tcW w:type="dxa" w:w="1134"/>
          </w:tcPr>
          <w:p>
            <w:r/>
            <w:r>
              <w:rPr>
                <w:sz w:val="18"/>
              </w:rPr>
              <w:t>0,737</w:t>
            </w:r>
          </w:p>
        </w:tc>
        <w:tc>
          <w:tcPr>
            <w:tcW w:type="dxa" w:w="1417"/>
          </w:tcPr>
          <w:p>
            <w:r/>
            <w:r>
              <w:rPr>
                <w:sz w:val="18"/>
              </w:rPr>
              <w:t>MAAC</w:t>
            </w:r>
          </w:p>
        </w:tc>
        <w:tc>
          <w:tcPr>
            <w:tcW w:type="dxa" w:w="1417"/>
          </w:tcPr>
          <w:p>
            <w:r/>
            <w:r>
              <w:rPr>
                <w:sz w:val="18"/>
              </w:rPr>
              <w:t>0,531</w:t>
            </w:r>
          </w:p>
        </w:tc>
        <w:tc>
          <w:tcPr>
            <w:tcW w:type="dxa" w:w="1417"/>
          </w:tcPr>
          <w:p>
            <w:r/>
            <w:r>
              <w:rPr>
                <w:sz w:val="18"/>
              </w:rPr>
              <w:t>3.o / 5 metodos</w:t>
            </w:r>
          </w:p>
        </w:tc>
      </w:tr>
    </w:tbl>
    <w:p/>
    <w:p>
      <w:pPr>
        <w:jc w:val="both"/>
      </w:pPr>
      <w:r>
        <w:rPr>
          <w:b w:val="0"/>
          <w:i w:val="0"/>
        </w:rPr>
        <w:t>Lectura por OE: en OE.1 (flexibilidad) MATD3 supera incluso a baseline y hour_rbc en score de eje; en OE.2 (CO2) los controles RBC dominan y MATD3 lidera solo entre MADRL; en OE.3 (costos) MAAC es el mejor MADRL pero hour_rbc y baseline mantienen ventaja absoluta.</w:t>
      </w:r>
    </w:p>
    <w:p>
      <w:r>
        <w:drawing>
          <wp:inline xmlns:a="http://schemas.openxmlformats.org/drawingml/2006/main" xmlns:pic="http://schemas.openxmlformats.org/drawingml/2006/picture">
            <wp:extent cx="6120000" cy="2185714"/>
            <wp:docPr id="25" name="Picture 25"/>
            <wp:cNvGraphicFramePr>
              <a:graphicFrameLocks noChangeAspect="1"/>
            </wp:cNvGraphicFramePr>
            <a:graphic>
              <a:graphicData uri="http://schemas.openxmlformats.org/drawingml/2006/picture">
                <pic:pic>
                  <pic:nvPicPr>
                    <pic:cNvPr id="0" name="baseline_gain_heatmap.png"/>
                    <pic:cNvPicPr/>
                  </pic:nvPicPr>
                  <pic:blipFill>
                    <a:blip r:embed="rId32"/>
                    <a:stretch>
                      <a:fillRect/>
                    </a:stretch>
                  </pic:blipFill>
                  <pic:spPr>
                    <a:xfrm>
                      <a:off x="0" y="0"/>
                      <a:ext cx="6120000" cy="2185714"/>
                    </a:xfrm>
                    <a:prstGeom prst="rect"/>
                  </pic:spPr>
                </pic:pic>
              </a:graphicData>
            </a:graphic>
          </wp:inline>
        </w:drawing>
      </w:r>
    </w:p>
    <w:p>
      <w:pPr>
        <w:jc w:val="center"/>
      </w:pPr>
      <w:r>
        <w:rPr>
          <w:i/>
          <w:color w:val="595959"/>
          <w:sz w:val="18"/>
        </w:rPr>
        <w:t>Figura 5.25. Mapa de ganancia vs baseline — escenario E1.</w:t>
      </w:r>
    </w:p>
    <w:p>
      <w:pPr>
        <w:jc w:val="both"/>
      </w:pPr>
      <w:r>
        <w:t>El mapa de E1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6" name="Picture 26"/>
            <wp:cNvGraphicFramePr>
              <a:graphicFrameLocks noChangeAspect="1"/>
            </wp:cNvGraphicFramePr>
            <a:graphic>
              <a:graphicData uri="http://schemas.openxmlformats.org/drawingml/2006/picture">
                <pic:pic>
                  <pic:nvPicPr>
                    <pic:cNvPr id="0" name="baseline_gain_heatmap.png"/>
                    <pic:cNvPicPr/>
                  </pic:nvPicPr>
                  <pic:blipFill>
                    <a:blip r:embed="rId33"/>
                    <a:stretch>
                      <a:fillRect/>
                    </a:stretch>
                  </pic:blipFill>
                  <pic:spPr>
                    <a:xfrm>
                      <a:off x="0" y="0"/>
                      <a:ext cx="6120000" cy="2185714"/>
                    </a:xfrm>
                    <a:prstGeom prst="rect"/>
                  </pic:spPr>
                </pic:pic>
              </a:graphicData>
            </a:graphic>
          </wp:inline>
        </w:drawing>
      </w:r>
    </w:p>
    <w:p>
      <w:pPr>
        <w:jc w:val="center"/>
      </w:pPr>
      <w:r>
        <w:rPr>
          <w:i/>
          <w:color w:val="595959"/>
          <w:sz w:val="18"/>
        </w:rPr>
        <w:t>Figura 5.26. Mapa de ganancia vs baseline — escenario E2.</w:t>
      </w:r>
    </w:p>
    <w:p>
      <w:pPr>
        <w:jc w:val="both"/>
      </w:pPr>
      <w:r>
        <w:t>El mapa de E2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7" name="Picture 27"/>
            <wp:cNvGraphicFramePr>
              <a:graphicFrameLocks noChangeAspect="1"/>
            </wp:cNvGraphicFramePr>
            <a:graphic>
              <a:graphicData uri="http://schemas.openxmlformats.org/drawingml/2006/picture">
                <pic:pic>
                  <pic:nvPicPr>
                    <pic:cNvPr id="0" name="baseline_gain_heatmap.png"/>
                    <pic:cNvPicPr/>
                  </pic:nvPicPr>
                  <pic:blipFill>
                    <a:blip r:embed="rId34"/>
                    <a:stretch>
                      <a:fillRect/>
                    </a:stretch>
                  </pic:blipFill>
                  <pic:spPr>
                    <a:xfrm>
                      <a:off x="0" y="0"/>
                      <a:ext cx="6120000" cy="2185714"/>
                    </a:xfrm>
                    <a:prstGeom prst="rect"/>
                  </pic:spPr>
                </pic:pic>
              </a:graphicData>
            </a:graphic>
          </wp:inline>
        </w:drawing>
      </w:r>
    </w:p>
    <w:p>
      <w:pPr>
        <w:jc w:val="center"/>
      </w:pPr>
      <w:r>
        <w:rPr>
          <w:i/>
          <w:color w:val="595959"/>
          <w:sz w:val="18"/>
        </w:rPr>
        <w:t>Figura 5.27. Mapa de ganancia vs baseline — escenario E3.</w:t>
      </w:r>
    </w:p>
    <w:p>
      <w:pPr>
        <w:jc w:val="both"/>
      </w:pPr>
      <w:r>
        <w:t>El mapa de E3 detalla que KPIs del eje correspondiente favorecen a controles RBC frente a MADRL; matiza las respuestas OE sin invalidar la identificacion del mayor efecto inter-algoritmico.</w:t>
      </w:r>
    </w:p>
    <w:p/>
    <w:p>
      <w:pPr>
        <w:pStyle w:val="Heading2"/>
      </w:pPr>
      <w:r>
        <w:t>5.8 Analisis descriptivo por objetivo (50 episodios reales)</w:t>
      </w:r>
    </w:p>
    <w:p>
      <w:pPr>
        <w:jc w:val="both"/>
      </w:pPr>
      <w:r>
        <w:rPr>
          <w:b w:val="0"/>
          <w:i w:val="0"/>
        </w:rPr>
        <w:t>El nivel descriptivo se calcula sobre episodios auditados de timeseries.csv (district_episode_kpis.csv): media, mediana, desviacion estandar, minimo y maximo por algoritmo en el escenario dominante de cada OE. HAPPO incluye 49 episodios por escenario; MAAC, MASAC y MATD3 incluyen 50. Los KPI finales de distrito (Tablas 5.4–5.6) complementan la lectura con valores agregados de simulacion.</w:t>
      </w:r>
    </w:p>
    <w:p>
      <w:r>
        <w:rPr>
          <w:b/>
          <w:color w:val="595959"/>
          <w:sz w:val="19"/>
        </w:rPr>
        <w:t>Tabla 5.13. Estadistica descriptiva OE.1 — reward_mean por episodio (E1,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MAAC</w:t>
            </w:r>
          </w:p>
        </w:tc>
        <w:tc>
          <w:tcPr>
            <w:tcW w:type="dxa" w:w="680"/>
          </w:tcPr>
          <w:p>
            <w:r/>
            <w:r>
              <w:rPr>
                <w:sz w:val="18"/>
              </w:rPr>
              <w:t>50</w:t>
            </w:r>
          </w:p>
        </w:tc>
        <w:tc>
          <w:tcPr>
            <w:tcW w:type="dxa" w:w="1134"/>
          </w:tcPr>
          <w:p>
            <w:r/>
            <w:r>
              <w:rPr>
                <w:sz w:val="18"/>
              </w:rPr>
              <w:t>-0.6052</w:t>
            </w:r>
          </w:p>
        </w:tc>
        <w:tc>
          <w:tcPr>
            <w:tcW w:type="dxa" w:w="1134"/>
          </w:tcPr>
          <w:p>
            <w:r/>
            <w:r>
              <w:rPr>
                <w:sz w:val="18"/>
              </w:rPr>
              <w:t>-0.6126</w:t>
            </w:r>
          </w:p>
        </w:tc>
        <w:tc>
          <w:tcPr>
            <w:tcW w:type="dxa" w:w="1134"/>
          </w:tcPr>
          <w:p>
            <w:r/>
            <w:r>
              <w:rPr>
                <w:sz w:val="18"/>
              </w:rPr>
              <w:t>0.0147</w:t>
            </w:r>
          </w:p>
        </w:tc>
        <w:tc>
          <w:tcPr>
            <w:tcW w:type="dxa" w:w="1134"/>
          </w:tcPr>
          <w:p>
            <w:r/>
            <w:r>
              <w:rPr>
                <w:sz w:val="18"/>
              </w:rPr>
              <w:t>-0.6215</w:t>
            </w:r>
          </w:p>
        </w:tc>
        <w:tc>
          <w:tcPr>
            <w:tcW w:type="dxa" w:w="1134"/>
          </w:tcPr>
          <w:p>
            <w:r/>
            <w:r>
              <w:rPr>
                <w:sz w:val="18"/>
              </w:rPr>
              <w:t>-0.5844</w:t>
            </w:r>
          </w:p>
        </w:tc>
      </w:tr>
      <w:tr>
        <w:tc>
          <w:tcPr>
            <w:tcW w:type="dxa" w:w="1134"/>
          </w:tcPr>
          <w:p>
            <w:r/>
            <w:r>
              <w:rPr>
                <w:sz w:val="18"/>
              </w:rPr>
              <w:t>MASAC</w:t>
            </w:r>
          </w:p>
        </w:tc>
        <w:tc>
          <w:tcPr>
            <w:tcW w:type="dxa" w:w="680"/>
          </w:tcPr>
          <w:p>
            <w:r/>
            <w:r>
              <w:rPr>
                <w:sz w:val="18"/>
              </w:rPr>
              <w:t>50</w:t>
            </w:r>
          </w:p>
        </w:tc>
        <w:tc>
          <w:tcPr>
            <w:tcW w:type="dxa" w:w="1134"/>
          </w:tcPr>
          <w:p>
            <w:r/>
            <w:r>
              <w:rPr>
                <w:sz w:val="18"/>
              </w:rPr>
              <w:t>-0.6133</w:t>
            </w:r>
          </w:p>
        </w:tc>
        <w:tc>
          <w:tcPr>
            <w:tcW w:type="dxa" w:w="1134"/>
          </w:tcPr>
          <w:p>
            <w:r/>
            <w:r>
              <w:rPr>
                <w:sz w:val="18"/>
              </w:rPr>
              <w:t>-0.6198</w:t>
            </w:r>
          </w:p>
        </w:tc>
        <w:tc>
          <w:tcPr>
            <w:tcW w:type="dxa" w:w="1134"/>
          </w:tcPr>
          <w:p>
            <w:r/>
            <w:r>
              <w:rPr>
                <w:sz w:val="18"/>
              </w:rPr>
              <w:t>0.0141</w:t>
            </w:r>
          </w:p>
        </w:tc>
        <w:tc>
          <w:tcPr>
            <w:tcW w:type="dxa" w:w="1134"/>
          </w:tcPr>
          <w:p>
            <w:r/>
            <w:r>
              <w:rPr>
                <w:sz w:val="18"/>
              </w:rPr>
              <w:t>-0.6278</w:t>
            </w:r>
          </w:p>
        </w:tc>
        <w:tc>
          <w:tcPr>
            <w:tcW w:type="dxa" w:w="1134"/>
          </w:tcPr>
          <w:p>
            <w:r/>
            <w:r>
              <w:rPr>
                <w:sz w:val="18"/>
              </w:rPr>
              <w:t>-0.5896</w:t>
            </w:r>
          </w:p>
        </w:tc>
      </w:tr>
      <w:tr>
        <w:tc>
          <w:tcPr>
            <w:tcW w:type="dxa" w:w="1134"/>
          </w:tcPr>
          <w:p>
            <w:r/>
            <w:r>
              <w:rPr>
                <w:sz w:val="18"/>
              </w:rPr>
              <w:t>MATD3</w:t>
            </w:r>
          </w:p>
        </w:tc>
        <w:tc>
          <w:tcPr>
            <w:tcW w:type="dxa" w:w="680"/>
          </w:tcPr>
          <w:p>
            <w:r/>
            <w:r>
              <w:rPr>
                <w:sz w:val="18"/>
              </w:rPr>
              <w:t>50</w:t>
            </w:r>
          </w:p>
        </w:tc>
        <w:tc>
          <w:tcPr>
            <w:tcW w:type="dxa" w:w="1134"/>
          </w:tcPr>
          <w:p>
            <w:r/>
            <w:r>
              <w:rPr>
                <w:sz w:val="18"/>
              </w:rPr>
              <w:t>-0.6330</w:t>
            </w:r>
          </w:p>
        </w:tc>
        <w:tc>
          <w:tcPr>
            <w:tcW w:type="dxa" w:w="1134"/>
          </w:tcPr>
          <w:p>
            <w:r/>
            <w:r>
              <w:rPr>
                <w:sz w:val="18"/>
              </w:rPr>
              <w:t>-0.6208</w:t>
            </w:r>
          </w:p>
        </w:tc>
        <w:tc>
          <w:tcPr>
            <w:tcW w:type="dxa" w:w="1134"/>
          </w:tcPr>
          <w:p>
            <w:r/>
            <w:r>
              <w:rPr>
                <w:sz w:val="18"/>
              </w:rPr>
              <w:t>0.0470</w:t>
            </w:r>
          </w:p>
        </w:tc>
        <w:tc>
          <w:tcPr>
            <w:tcW w:type="dxa" w:w="1134"/>
          </w:tcPr>
          <w:p>
            <w:r/>
            <w:r>
              <w:rPr>
                <w:sz w:val="18"/>
              </w:rPr>
              <w:t>-0.7408</w:t>
            </w:r>
          </w:p>
        </w:tc>
        <w:tc>
          <w:tcPr>
            <w:tcW w:type="dxa" w:w="1134"/>
          </w:tcPr>
          <w:p>
            <w:r/>
            <w:r>
              <w:rPr>
                <w:sz w:val="18"/>
              </w:rPr>
              <w:t>-0.5918</w:t>
            </w:r>
          </w:p>
        </w:tc>
      </w:tr>
      <w:tr>
        <w:tc>
          <w:tcPr>
            <w:tcW w:type="dxa" w:w="1134"/>
          </w:tcPr>
          <w:p>
            <w:r/>
            <w:r>
              <w:rPr>
                <w:sz w:val="18"/>
              </w:rPr>
              <w:t>HAPPO</w:t>
            </w:r>
          </w:p>
        </w:tc>
        <w:tc>
          <w:tcPr>
            <w:tcW w:type="dxa" w:w="680"/>
          </w:tcPr>
          <w:p>
            <w:r/>
            <w:r>
              <w:rPr>
                <w:sz w:val="18"/>
              </w:rPr>
              <w:t>49</w:t>
            </w:r>
          </w:p>
        </w:tc>
        <w:tc>
          <w:tcPr>
            <w:tcW w:type="dxa" w:w="1134"/>
          </w:tcPr>
          <w:p>
            <w:r/>
            <w:r>
              <w:rPr>
                <w:sz w:val="18"/>
              </w:rPr>
              <w:t>-0.6303</w:t>
            </w:r>
          </w:p>
        </w:tc>
        <w:tc>
          <w:tcPr>
            <w:tcW w:type="dxa" w:w="1134"/>
          </w:tcPr>
          <w:p>
            <w:r/>
            <w:r>
              <w:rPr>
                <w:sz w:val="18"/>
              </w:rPr>
              <w:t>-0.6303</w:t>
            </w:r>
          </w:p>
        </w:tc>
        <w:tc>
          <w:tcPr>
            <w:tcW w:type="dxa" w:w="1134"/>
          </w:tcPr>
          <w:p>
            <w:r/>
            <w:r>
              <w:rPr>
                <w:sz w:val="18"/>
              </w:rPr>
              <w:t>0.0213</w:t>
            </w:r>
          </w:p>
        </w:tc>
        <w:tc>
          <w:tcPr>
            <w:tcW w:type="dxa" w:w="1134"/>
          </w:tcPr>
          <w:p>
            <w:r/>
            <w:r>
              <w:rPr>
                <w:sz w:val="18"/>
              </w:rPr>
              <w:t>-0.7062</w:t>
            </w:r>
          </w:p>
        </w:tc>
        <w:tc>
          <w:tcPr>
            <w:tcW w:type="dxa" w:w="1134"/>
          </w:tcPr>
          <w:p>
            <w:r/>
            <w:r>
              <w:rPr>
                <w:sz w:val="18"/>
              </w:rPr>
              <w:t>-0.5953</w:t>
            </w:r>
          </w:p>
        </w:tc>
      </w:tr>
    </w:tbl>
    <w:p/>
    <w:p>
      <w:pPr>
        <w:jc w:val="both"/>
      </w:pPr>
      <w:r>
        <w:rPr>
          <w:b w:val="0"/>
          <w:i w:val="0"/>
        </w:rPr>
        <w:t>Descriptivo OE.1 (HE.1): el algoritmo con mejor mediana en E1 es MAAC. Esta evidencia responde al objetivo especifico antes de la contrastacion inferencial (alpha = 0,05).</w:t>
      </w:r>
    </w:p>
    <w:p>
      <w:r>
        <w:rPr>
          <w:b/>
          <w:color w:val="595959"/>
          <w:sz w:val="19"/>
        </w:rPr>
        <w:t>Tabla 5.14. Estadistica descriptiva OE.2 — emision distrital por episodio (kgCO2 eq.) (E2,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883.0</w:t>
            </w:r>
          </w:p>
        </w:tc>
        <w:tc>
          <w:tcPr>
            <w:tcW w:type="dxa" w:w="1134"/>
          </w:tcPr>
          <w:p>
            <w:r/>
            <w:r>
              <w:rPr>
                <w:sz w:val="18"/>
              </w:rPr>
              <w:t>804.8</w:t>
            </w:r>
          </w:p>
        </w:tc>
        <w:tc>
          <w:tcPr>
            <w:tcW w:type="dxa" w:w="1134"/>
          </w:tcPr>
          <w:p>
            <w:r/>
            <w:r>
              <w:rPr>
                <w:sz w:val="18"/>
              </w:rPr>
              <w:t>287.0</w:t>
            </w:r>
          </w:p>
        </w:tc>
        <w:tc>
          <w:tcPr>
            <w:tcW w:type="dxa" w:w="1134"/>
          </w:tcPr>
          <w:p>
            <w:r/>
            <w:r>
              <w:rPr>
                <w:sz w:val="18"/>
              </w:rPr>
              <w:t>468.0</w:t>
            </w:r>
          </w:p>
        </w:tc>
        <w:tc>
          <w:tcPr>
            <w:tcW w:type="dxa" w:w="1134"/>
          </w:tcPr>
          <w:p>
            <w:r/>
            <w:r>
              <w:rPr>
                <w:sz w:val="18"/>
              </w:rPr>
              <w:t>1,524.4</w:t>
            </w:r>
          </w:p>
        </w:tc>
      </w:tr>
      <w:tr>
        <w:tc>
          <w:tcPr>
            <w:tcW w:type="dxa" w:w="1134"/>
          </w:tcPr>
          <w:p>
            <w:r/>
            <w:r>
              <w:rPr>
                <w:sz w:val="18"/>
              </w:rPr>
              <w:t>MAAC</w:t>
            </w:r>
          </w:p>
        </w:tc>
        <w:tc>
          <w:tcPr>
            <w:tcW w:type="dxa" w:w="680"/>
          </w:tcPr>
          <w:p>
            <w:r/>
            <w:r>
              <w:rPr>
                <w:sz w:val="18"/>
              </w:rPr>
              <w:t>50</w:t>
            </w:r>
          </w:p>
        </w:tc>
        <w:tc>
          <w:tcPr>
            <w:tcW w:type="dxa" w:w="1134"/>
          </w:tcPr>
          <w:p>
            <w:r/>
            <w:r>
              <w:rPr>
                <w:sz w:val="18"/>
              </w:rPr>
              <w:t>1,056.4</w:t>
            </w:r>
          </w:p>
        </w:tc>
        <w:tc>
          <w:tcPr>
            <w:tcW w:type="dxa" w:w="1134"/>
          </w:tcPr>
          <w:p>
            <w:r/>
            <w:r>
              <w:rPr>
                <w:sz w:val="18"/>
              </w:rPr>
              <w:t>1,132.6</w:t>
            </w:r>
          </w:p>
        </w:tc>
        <w:tc>
          <w:tcPr>
            <w:tcW w:type="dxa" w:w="1134"/>
          </w:tcPr>
          <w:p>
            <w:r/>
            <w:r>
              <w:rPr>
                <w:sz w:val="18"/>
              </w:rPr>
              <w:t>99.4</w:t>
            </w:r>
          </w:p>
        </w:tc>
        <w:tc>
          <w:tcPr>
            <w:tcW w:type="dxa" w:w="1134"/>
          </w:tcPr>
          <w:p>
            <w:r/>
            <w:r>
              <w:rPr>
                <w:sz w:val="18"/>
              </w:rPr>
              <w:t>873.2</w:t>
            </w:r>
          </w:p>
        </w:tc>
        <w:tc>
          <w:tcPr>
            <w:tcW w:type="dxa" w:w="1134"/>
          </w:tcPr>
          <w:p>
            <w:r/>
            <w:r>
              <w:rPr>
                <w:sz w:val="18"/>
              </w:rPr>
              <w:t>1,139.6</w:t>
            </w:r>
          </w:p>
        </w:tc>
      </w:tr>
      <w:tr>
        <w:tc>
          <w:tcPr>
            <w:tcW w:type="dxa" w:w="1134"/>
          </w:tcPr>
          <w:p>
            <w:r/>
            <w:r>
              <w:rPr>
                <w:sz w:val="18"/>
              </w:rPr>
              <w:t>MASAC</w:t>
            </w:r>
          </w:p>
        </w:tc>
        <w:tc>
          <w:tcPr>
            <w:tcW w:type="dxa" w:w="680"/>
          </w:tcPr>
          <w:p>
            <w:r/>
            <w:r>
              <w:rPr>
                <w:sz w:val="18"/>
              </w:rPr>
              <w:t>50</w:t>
            </w:r>
          </w:p>
        </w:tc>
        <w:tc>
          <w:tcPr>
            <w:tcW w:type="dxa" w:w="1134"/>
          </w:tcPr>
          <w:p>
            <w:r/>
            <w:r>
              <w:rPr>
                <w:sz w:val="18"/>
              </w:rPr>
              <w:t>1,078.4</w:t>
            </w:r>
          </w:p>
        </w:tc>
        <w:tc>
          <w:tcPr>
            <w:tcW w:type="dxa" w:w="1134"/>
          </w:tcPr>
          <w:p>
            <w:r/>
            <w:r>
              <w:rPr>
                <w:sz w:val="18"/>
              </w:rPr>
              <w:t>1,132.6</w:t>
            </w:r>
          </w:p>
        </w:tc>
        <w:tc>
          <w:tcPr>
            <w:tcW w:type="dxa" w:w="1134"/>
          </w:tcPr>
          <w:p>
            <w:r/>
            <w:r>
              <w:rPr>
                <w:sz w:val="18"/>
              </w:rPr>
              <w:t>121.1</w:t>
            </w:r>
          </w:p>
        </w:tc>
        <w:tc>
          <w:tcPr>
            <w:tcW w:type="dxa" w:w="1134"/>
          </w:tcPr>
          <w:p>
            <w:r/>
            <w:r>
              <w:rPr>
                <w:sz w:val="18"/>
              </w:rPr>
              <w:t>925.7</w:t>
            </w:r>
          </w:p>
        </w:tc>
        <w:tc>
          <w:tcPr>
            <w:tcW w:type="dxa" w:w="1134"/>
          </w:tcPr>
          <w:p>
            <w:r/>
            <w:r>
              <w:rPr>
                <w:sz w:val="18"/>
              </w:rPr>
              <w:t>1,638.7</w:t>
            </w:r>
          </w:p>
        </w:tc>
      </w:tr>
      <w:tr>
        <w:tc>
          <w:tcPr>
            <w:tcW w:type="dxa" w:w="1134"/>
          </w:tcPr>
          <w:p>
            <w:r/>
            <w:r>
              <w:rPr>
                <w:sz w:val="18"/>
              </w:rPr>
              <w:t>MATD3</w:t>
            </w:r>
          </w:p>
        </w:tc>
        <w:tc>
          <w:tcPr>
            <w:tcW w:type="dxa" w:w="680"/>
          </w:tcPr>
          <w:p>
            <w:r/>
            <w:r>
              <w:rPr>
                <w:sz w:val="18"/>
              </w:rPr>
              <w:t>50</w:t>
            </w:r>
          </w:p>
        </w:tc>
        <w:tc>
          <w:tcPr>
            <w:tcW w:type="dxa" w:w="1134"/>
          </w:tcPr>
          <w:p>
            <w:r/>
            <w:r>
              <w:rPr>
                <w:sz w:val="18"/>
              </w:rPr>
              <w:t>1,132.2</w:t>
            </w:r>
          </w:p>
        </w:tc>
        <w:tc>
          <w:tcPr>
            <w:tcW w:type="dxa" w:w="1134"/>
          </w:tcPr>
          <w:p>
            <w:r/>
            <w:r>
              <w:rPr>
                <w:sz w:val="18"/>
              </w:rPr>
              <w:t>1,137.4</w:t>
            </w:r>
          </w:p>
        </w:tc>
        <w:tc>
          <w:tcPr>
            <w:tcW w:type="dxa" w:w="1134"/>
          </w:tcPr>
          <w:p>
            <w:r/>
            <w:r>
              <w:rPr>
                <w:sz w:val="18"/>
              </w:rPr>
              <w:t>236.8</w:t>
            </w:r>
          </w:p>
        </w:tc>
        <w:tc>
          <w:tcPr>
            <w:tcW w:type="dxa" w:w="1134"/>
          </w:tcPr>
          <w:p>
            <w:r/>
            <w:r>
              <w:rPr>
                <w:sz w:val="18"/>
              </w:rPr>
              <w:t>925.7</w:t>
            </w:r>
          </w:p>
        </w:tc>
        <w:tc>
          <w:tcPr>
            <w:tcW w:type="dxa" w:w="1134"/>
          </w:tcPr>
          <w:p>
            <w:r/>
            <w:r>
              <w:rPr>
                <w:sz w:val="18"/>
              </w:rPr>
              <w:t>1,864.8</w:t>
            </w:r>
          </w:p>
        </w:tc>
      </w:tr>
    </w:tbl>
    <w:p/>
    <w:p>
      <w:pPr>
        <w:jc w:val="both"/>
      </w:pPr>
      <w:r>
        <w:rPr>
          <w:b w:val="0"/>
          <w:i w:val="0"/>
        </w:rPr>
        <w:t>Descriptivo OE.2 (HE.2): el algoritmo con mejor mediana en E2 es HAPPO. Esta evidencia responde al objetivo especifico antes de la contrastacion inferencial (alpha = 0,05).</w:t>
      </w:r>
    </w:p>
    <w:p>
      <w:r>
        <w:rPr>
          <w:b/>
          <w:color w:val="595959"/>
          <w:sz w:val="19"/>
        </w:rPr>
        <w:t>Tabla 5.15. Estadistica descriptiva OE.3 — costo distrital por episodio (EUR) (E3,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352.6</w:t>
            </w:r>
          </w:p>
        </w:tc>
        <w:tc>
          <w:tcPr>
            <w:tcW w:type="dxa" w:w="1134"/>
          </w:tcPr>
          <w:p>
            <w:r/>
            <w:r>
              <w:rPr>
                <w:sz w:val="18"/>
              </w:rPr>
              <w:t>232.5</w:t>
            </w:r>
          </w:p>
        </w:tc>
        <w:tc>
          <w:tcPr>
            <w:tcW w:type="dxa" w:w="1134"/>
          </w:tcPr>
          <w:p>
            <w:r/>
            <w:r>
              <w:rPr>
                <w:sz w:val="18"/>
              </w:rPr>
              <w:t>381.7</w:t>
            </w:r>
          </w:p>
        </w:tc>
        <w:tc>
          <w:tcPr>
            <w:tcW w:type="dxa" w:w="1134"/>
          </w:tcPr>
          <w:p>
            <w:r/>
            <w:r>
              <w:rPr>
                <w:sz w:val="18"/>
              </w:rPr>
              <w:t>-0.0</w:t>
            </w:r>
          </w:p>
        </w:tc>
        <w:tc>
          <w:tcPr>
            <w:tcW w:type="dxa" w:w="1134"/>
          </w:tcPr>
          <w:p>
            <w:r/>
            <w:r>
              <w:rPr>
                <w:sz w:val="18"/>
              </w:rPr>
              <w:t>1,415.9</w:t>
            </w:r>
          </w:p>
        </w:tc>
      </w:tr>
      <w:tr>
        <w:tc>
          <w:tcPr>
            <w:tcW w:type="dxa" w:w="1134"/>
          </w:tcPr>
          <w:p>
            <w:r/>
            <w:r>
              <w:rPr>
                <w:sz w:val="18"/>
              </w:rPr>
              <w:t>MAAC</w:t>
            </w:r>
          </w:p>
        </w:tc>
        <w:tc>
          <w:tcPr>
            <w:tcW w:type="dxa" w:w="680"/>
          </w:tcPr>
          <w:p>
            <w:r/>
            <w:r>
              <w:rPr>
                <w:sz w:val="18"/>
              </w:rPr>
              <w:t>50</w:t>
            </w:r>
          </w:p>
        </w:tc>
        <w:tc>
          <w:tcPr>
            <w:tcW w:type="dxa" w:w="1134"/>
          </w:tcPr>
          <w:p>
            <w:r/>
            <w:r>
              <w:rPr>
                <w:sz w:val="18"/>
              </w:rPr>
              <w:t>795.4</w:t>
            </w:r>
          </w:p>
        </w:tc>
        <w:tc>
          <w:tcPr>
            <w:tcW w:type="dxa" w:w="1134"/>
          </w:tcPr>
          <w:p>
            <w:r/>
            <w:r>
              <w:rPr>
                <w:sz w:val="18"/>
              </w:rPr>
              <w:t>689.5</w:t>
            </w:r>
          </w:p>
        </w:tc>
        <w:tc>
          <w:tcPr>
            <w:tcW w:type="dxa" w:w="1134"/>
          </w:tcPr>
          <w:p>
            <w:r/>
            <w:r>
              <w:rPr>
                <w:sz w:val="18"/>
              </w:rPr>
              <w:t>212.0</w:t>
            </w:r>
          </w:p>
        </w:tc>
        <w:tc>
          <w:tcPr>
            <w:tcW w:type="dxa" w:w="1134"/>
          </w:tcPr>
          <w:p>
            <w:r/>
            <w:r>
              <w:rPr>
                <w:sz w:val="18"/>
              </w:rPr>
              <w:t>643.4</w:t>
            </w:r>
          </w:p>
        </w:tc>
        <w:tc>
          <w:tcPr>
            <w:tcW w:type="dxa" w:w="1134"/>
          </w:tcPr>
          <w:p>
            <w:r/>
            <w:r>
              <w:rPr>
                <w:sz w:val="18"/>
              </w:rPr>
              <w:t>1,138.8</w:t>
            </w:r>
          </w:p>
        </w:tc>
      </w:tr>
      <w:tr>
        <w:tc>
          <w:tcPr>
            <w:tcW w:type="dxa" w:w="1134"/>
          </w:tcPr>
          <w:p>
            <w:r/>
            <w:r>
              <w:rPr>
                <w:sz w:val="18"/>
              </w:rPr>
              <w:t>MASAC</w:t>
            </w:r>
          </w:p>
        </w:tc>
        <w:tc>
          <w:tcPr>
            <w:tcW w:type="dxa" w:w="680"/>
          </w:tcPr>
          <w:p>
            <w:r/>
            <w:r>
              <w:rPr>
                <w:sz w:val="18"/>
              </w:rPr>
              <w:t>50</w:t>
            </w:r>
          </w:p>
        </w:tc>
        <w:tc>
          <w:tcPr>
            <w:tcW w:type="dxa" w:w="1134"/>
          </w:tcPr>
          <w:p>
            <w:r/>
            <w:r>
              <w:rPr>
                <w:sz w:val="18"/>
              </w:rPr>
              <w:t>812.2</w:t>
            </w:r>
          </w:p>
        </w:tc>
        <w:tc>
          <w:tcPr>
            <w:tcW w:type="dxa" w:w="1134"/>
          </w:tcPr>
          <w:p>
            <w:r/>
            <w:r>
              <w:rPr>
                <w:sz w:val="18"/>
              </w:rPr>
              <w:t>689.5</w:t>
            </w:r>
          </w:p>
        </w:tc>
        <w:tc>
          <w:tcPr>
            <w:tcW w:type="dxa" w:w="1134"/>
          </w:tcPr>
          <w:p>
            <w:r/>
            <w:r>
              <w:rPr>
                <w:sz w:val="18"/>
              </w:rPr>
              <w:t>206.4</w:t>
            </w:r>
          </w:p>
        </w:tc>
        <w:tc>
          <w:tcPr>
            <w:tcW w:type="dxa" w:w="1134"/>
          </w:tcPr>
          <w:p>
            <w:r/>
            <w:r>
              <w:rPr>
                <w:sz w:val="18"/>
              </w:rPr>
              <w:t>643.4</w:t>
            </w:r>
          </w:p>
        </w:tc>
        <w:tc>
          <w:tcPr>
            <w:tcW w:type="dxa" w:w="1134"/>
          </w:tcPr>
          <w:p>
            <w:r/>
            <w:r>
              <w:rPr>
                <w:sz w:val="18"/>
              </w:rPr>
              <w:t>1,192.3</w:t>
            </w:r>
          </w:p>
        </w:tc>
      </w:tr>
      <w:tr>
        <w:tc>
          <w:tcPr>
            <w:tcW w:type="dxa" w:w="1134"/>
          </w:tcPr>
          <w:p>
            <w:r/>
            <w:r>
              <w:rPr>
                <w:sz w:val="18"/>
              </w:rPr>
              <w:t>MATD3</w:t>
            </w:r>
          </w:p>
        </w:tc>
        <w:tc>
          <w:tcPr>
            <w:tcW w:type="dxa" w:w="680"/>
          </w:tcPr>
          <w:p>
            <w:r/>
            <w:r>
              <w:rPr>
                <w:sz w:val="18"/>
              </w:rPr>
              <w:t>50</w:t>
            </w:r>
          </w:p>
        </w:tc>
        <w:tc>
          <w:tcPr>
            <w:tcW w:type="dxa" w:w="1134"/>
          </w:tcPr>
          <w:p>
            <w:r/>
            <w:r>
              <w:rPr>
                <w:sz w:val="18"/>
              </w:rPr>
              <w:t>759.3</w:t>
            </w:r>
          </w:p>
        </w:tc>
        <w:tc>
          <w:tcPr>
            <w:tcW w:type="dxa" w:w="1134"/>
          </w:tcPr>
          <w:p>
            <w:r/>
            <w:r>
              <w:rPr>
                <w:sz w:val="18"/>
              </w:rPr>
              <w:t>691.0</w:t>
            </w:r>
          </w:p>
        </w:tc>
        <w:tc>
          <w:tcPr>
            <w:tcW w:type="dxa" w:w="1134"/>
          </w:tcPr>
          <w:p>
            <w:r/>
            <w:r>
              <w:rPr>
                <w:sz w:val="18"/>
              </w:rPr>
              <w:t>303.9</w:t>
            </w:r>
          </w:p>
        </w:tc>
        <w:tc>
          <w:tcPr>
            <w:tcW w:type="dxa" w:w="1134"/>
          </w:tcPr>
          <w:p>
            <w:r/>
            <w:r>
              <w:rPr>
                <w:sz w:val="18"/>
              </w:rPr>
              <w:t>13.4</w:t>
            </w:r>
          </w:p>
        </w:tc>
        <w:tc>
          <w:tcPr>
            <w:tcW w:type="dxa" w:w="1134"/>
          </w:tcPr>
          <w:p>
            <w:r/>
            <w:r>
              <w:rPr>
                <w:sz w:val="18"/>
              </w:rPr>
              <w:t>1,143.6</w:t>
            </w:r>
          </w:p>
        </w:tc>
      </w:tr>
    </w:tbl>
    <w:p/>
    <w:p>
      <w:pPr>
        <w:jc w:val="both"/>
      </w:pPr>
      <w:r>
        <w:rPr>
          <w:b w:val="0"/>
          <w:i w:val="0"/>
        </w:rPr>
        <w:t>Descriptivo OE.3 (HE.3): el algoritmo con mejor mediana en E3 es HAPPO. Esta evidencia responde al objetivo especifico antes de la contrastacion inferencial (alpha = 0,05).</w:t>
      </w:r>
    </w:p>
    <w:p>
      <w:pPr>
        <w:pStyle w:val="Heading2"/>
      </w:pPr>
      <w:r>
        <w:t>5.9 Contrastacion inferencial de hipotesis (protocolo no parametrico)</w:t>
      </w:r>
    </w:p>
    <w:p>
      <w:pPr>
        <w:jc w:val="both"/>
      </w:pPr>
      <w:r>
        <w:rPr>
          <w:b w:val="0"/>
          <w:i w:val="0"/>
        </w:rPr>
        <w:t>El protocolo inferencial sigue el orden obligatorio del Capitulo 3 y la formulacion del Capitulo 1: (1) Shapiro-Wilk por grupo de KPI-gains; (2) si se viola normalidad, solo pruebas no parametricas — Kruskal-Wallis (comparacion global), Mann-Whitney U (pares independientes) y Wilcoxon signed-rank (pares pareados por KPI); alpha = 0,05. HAPPO queda excluido de inferencia KPI-level por ausencia de KPIs finales; la inferencia efectiva opera sobre MASAC, MATD3 y MAAC (semilla unica, seed 0).</w:t>
      </w:r>
    </w:p>
    <w:p>
      <w:pPr>
        <w:pStyle w:val="Heading3"/>
      </w:pPr>
      <w:r>
        <w:t>5.9.1 Prueba de normalidad (Shapiro-Wilk)</w:t>
      </w:r>
    </w:p>
    <w:p>
      <w:r>
        <w:rPr>
          <w:b/>
          <w:color w:val="595959"/>
          <w:sz w:val="19"/>
        </w:rPr>
        <w:t>Tabla 5.16. Shapiro-Wilk sobre KPI-gains por grupo (analisis_estadistico_madrl.csv).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OE.1 / E1</w:t>
            </w:r>
          </w:p>
        </w:tc>
        <w:tc>
          <w:tcPr>
            <w:tcW w:type="dxa" w:w="850"/>
          </w:tcPr>
          <w:p>
            <w:r/>
            <w:r>
              <w:rPr>
                <w:sz w:val="18"/>
              </w:rPr>
              <w:t>HE.1</w:t>
            </w:r>
          </w:p>
        </w:tc>
        <w:tc>
          <w:tcPr>
            <w:tcW w:type="dxa" w:w="1134"/>
          </w:tcPr>
          <w:p>
            <w:r/>
            <w:r>
              <w:rPr>
                <w:sz w:val="18"/>
              </w:rPr>
              <w:t>MASAC</w:t>
            </w:r>
          </w:p>
        </w:tc>
        <w:tc>
          <w:tcPr>
            <w:tcW w:type="dxa" w:w="1417"/>
          </w:tcPr>
          <w:p>
            <w:r/>
            <w:r>
              <w:rPr>
                <w:sz w:val="18"/>
              </w:rPr>
              <w:t>9.508e-08</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MATD3</w:t>
            </w:r>
          </w:p>
        </w:tc>
        <w:tc>
          <w:tcPr>
            <w:tcW w:type="dxa" w:w="1417"/>
          </w:tcPr>
          <w:p>
            <w:r/>
            <w:r>
              <w:rPr>
                <w:sz w:val="18"/>
              </w:rPr>
              <w:t>2.230e-07</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MAAC</w:t>
            </w:r>
          </w:p>
        </w:tc>
        <w:tc>
          <w:tcPr>
            <w:tcW w:type="dxa" w:w="1417"/>
          </w:tcPr>
          <w:p>
            <w:r/>
            <w:r>
              <w:rPr>
                <w:sz w:val="18"/>
              </w:rPr>
              <w:t>2.363e-07</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MASAC</w:t>
            </w:r>
          </w:p>
        </w:tc>
        <w:tc>
          <w:tcPr>
            <w:tcW w:type="dxa" w:w="1417"/>
          </w:tcPr>
          <w:p>
            <w:r/>
            <w:r>
              <w:rPr>
                <w:sz w:val="18"/>
              </w:rPr>
              <w:t>7.112e-05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MATD3</w:t>
            </w:r>
          </w:p>
        </w:tc>
        <w:tc>
          <w:tcPr>
            <w:tcW w:type="dxa" w:w="1417"/>
          </w:tcPr>
          <w:p>
            <w:r/>
            <w:r>
              <w:rPr>
                <w:sz w:val="18"/>
              </w:rPr>
              <w:t>7.862e-05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MAAC</w:t>
            </w:r>
          </w:p>
        </w:tc>
        <w:tc>
          <w:tcPr>
            <w:tcW w:type="dxa" w:w="1417"/>
          </w:tcPr>
          <w:p>
            <w:r/>
            <w:r>
              <w:rPr>
                <w:sz w:val="18"/>
              </w:rPr>
              <w:t>6.759e-05</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MASAC</w:t>
            </w:r>
          </w:p>
        </w:tc>
        <w:tc>
          <w:tcPr>
            <w:tcW w:type="dxa" w:w="1417"/>
          </w:tcPr>
          <w:p>
            <w:r/>
            <w:r>
              <w:rPr>
                <w:sz w:val="18"/>
              </w:rPr>
              <w:t>1.539e-07</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MATD3</w:t>
            </w:r>
          </w:p>
        </w:tc>
        <w:tc>
          <w:tcPr>
            <w:tcW w:type="dxa" w:w="1417"/>
          </w:tcPr>
          <w:p>
            <w:r/>
            <w:r>
              <w:rPr>
                <w:sz w:val="18"/>
              </w:rPr>
              <w:t>5.512e-08</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MAAC</w:t>
            </w:r>
          </w:p>
        </w:tc>
        <w:tc>
          <w:tcPr>
            <w:tcW w:type="dxa" w:w="1417"/>
          </w:tcPr>
          <w:p>
            <w:r/>
            <w:r>
              <w:rPr>
                <w:sz w:val="18"/>
              </w:rPr>
              <w:t>7.369e-08</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MASAC</w:t>
            </w:r>
          </w:p>
        </w:tc>
        <w:tc>
          <w:tcPr>
            <w:tcW w:type="dxa" w:w="1417"/>
          </w:tcPr>
          <w:p>
            <w:r/>
            <w:r>
              <w:rPr>
                <w:sz w:val="18"/>
              </w:rPr>
              <w:t>3.033e-12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MATD3</w:t>
            </w:r>
          </w:p>
        </w:tc>
        <w:tc>
          <w:tcPr>
            <w:tcW w:type="dxa" w:w="1417"/>
          </w:tcPr>
          <w:p>
            <w:r/>
            <w:r>
              <w:rPr>
                <w:sz w:val="18"/>
              </w:rPr>
              <w:t>7.337e-12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MAAC</w:t>
            </w:r>
          </w:p>
        </w:tc>
        <w:tc>
          <w:tcPr>
            <w:tcW w:type="dxa" w:w="1417"/>
          </w:tcPr>
          <w:p>
            <w:r/>
            <w:r>
              <w:rPr>
                <w:sz w:val="18"/>
              </w:rPr>
              <w:t>8.356e-12</w:t>
            </w:r>
          </w:p>
        </w:tc>
        <w:tc>
          <w:tcPr>
            <w:tcW w:type="dxa" w:w="1417"/>
          </w:tcPr>
          <w:p>
            <w:r/>
            <w:r>
              <w:rPr>
                <w:sz w:val="18"/>
              </w:rPr>
              <w:t>Si</w:t>
            </w:r>
          </w:p>
        </w:tc>
      </w:tr>
    </w:tbl>
    <w:p/>
    <w:p>
      <w:pPr>
        <w:jc w:val="both"/>
      </w:pPr>
      <w:r>
        <w:rPr>
          <w:b w:val="0"/>
          <w:i w:val="0"/>
        </w:rPr>
        <w:t>En todos los alcances OE.1–OE.3 y ALL se rechaza la normalidad en al menos un grupo (p &lt; 0,05), lo que justifica el uso exclusivo de pruebas no parametricas en las etapas siguientes (Colas et al., 2019; Agarwal et al., 2021).</w:t>
      </w:r>
    </w:p>
    <w:p>
      <w:pPr>
        <w:pStyle w:val="Heading3"/>
      </w:pPr>
      <w:r>
        <w:t>5.9.2 Comparacion global (Kruskal-Wallis)</w:t>
      </w:r>
    </w:p>
    <w:p>
      <w:r>
        <w:rPr>
          <w:b/>
          <w:color w:val="595959"/>
          <w:sz w:val="19"/>
        </w:rPr>
        <w:t>Tabla 5.17. Kruskal-Wallis por eje OE y agregado OG/HG (hipotesis_estadisticas_madrl.csv).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304"/>
            <w:shd w:val="clear" w:color="auto" w:fill="1F4E79"/>
          </w:tcPr>
          <w:p>
            <w:r/>
            <w:r>
              <w:rPr>
                <w:b/>
                <w:color w:val="FFFFFF"/>
                <w:sz w:val="18"/>
              </w:rPr>
              <w:t>Alcance</w:t>
            </w:r>
          </w:p>
        </w:tc>
        <w:tc>
          <w:tcPr>
            <w:tcW w:type="dxa" w:w="737"/>
            <w:shd w:val="clear" w:color="auto" w:fill="1F4E79"/>
          </w:tcPr>
          <w:p>
            <w:r/>
            <w:r>
              <w:rPr>
                <w:b/>
                <w:color w:val="FFFFFF"/>
                <w:sz w:val="18"/>
              </w:rPr>
              <w:t>Hipotesis</w:t>
            </w:r>
          </w:p>
        </w:tc>
        <w:tc>
          <w:tcPr>
            <w:tcW w:type="dxa" w:w="737"/>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134"/>
            <w:shd w:val="clear" w:color="auto" w:fill="1F4E79"/>
          </w:tcPr>
          <w:p>
            <w:r/>
            <w:r>
              <w:rPr>
                <w:b/>
                <w:color w:val="FFFFFF"/>
                <w:sz w:val="18"/>
              </w:rPr>
              <w:t>Signif. alpha=0,05</w:t>
            </w:r>
          </w:p>
        </w:tc>
        <w:tc>
          <w:tcPr>
            <w:tcW w:type="dxa" w:w="1474"/>
            <w:shd w:val="clear" w:color="auto" w:fill="1F4E79"/>
          </w:tcPr>
          <w:p>
            <w:r/>
            <w:r>
              <w:rPr>
                <w:b/>
                <w:color w:val="FFFFFF"/>
                <w:sz w:val="18"/>
              </w:rPr>
              <w:t>Mejor (mediana KPI-gain)</w:t>
            </w:r>
          </w:p>
        </w:tc>
      </w:tr>
      <w:tr>
        <w:tc>
          <w:tcPr>
            <w:tcW w:type="dxa" w:w="1304"/>
          </w:tcPr>
          <w:p>
            <w:r/>
            <w:r>
              <w:rPr>
                <w:sz w:val="18"/>
              </w:rPr>
              <w:t>OE.1 / E1</w:t>
            </w:r>
          </w:p>
        </w:tc>
        <w:tc>
          <w:tcPr>
            <w:tcW w:type="dxa" w:w="737"/>
          </w:tcPr>
          <w:p>
            <w:r/>
            <w:r>
              <w:rPr>
                <w:sz w:val="18"/>
              </w:rPr>
              <w:t>HE.1</w:t>
            </w:r>
          </w:p>
        </w:tc>
        <w:tc>
          <w:tcPr>
            <w:tcW w:type="dxa" w:w="737"/>
          </w:tcPr>
          <w:p>
            <w:r/>
            <w:r>
              <w:rPr>
                <w:sz w:val="18"/>
              </w:rPr>
              <w:t>2.541</w:t>
            </w:r>
          </w:p>
        </w:tc>
        <w:tc>
          <w:tcPr>
            <w:tcW w:type="dxa" w:w="850"/>
          </w:tcPr>
          <w:p>
            <w:r/>
            <w:r>
              <w:rPr>
                <w:sz w:val="18"/>
              </w:rPr>
              <w:t>0.2806</w:t>
            </w:r>
          </w:p>
        </w:tc>
        <w:tc>
          <w:tcPr>
            <w:tcW w:type="dxa" w:w="1134"/>
          </w:tcPr>
          <w:p>
            <w:r/>
            <w:r>
              <w:rPr>
                <w:sz w:val="18"/>
              </w:rPr>
              <w:t>No</w:t>
            </w:r>
          </w:p>
        </w:tc>
        <w:tc>
          <w:tcPr>
            <w:tcW w:type="dxa" w:w="1474"/>
          </w:tcPr>
          <w:p>
            <w:r/>
            <w:r>
              <w:rPr>
                <w:sz w:val="18"/>
              </w:rPr>
              <w:t>MAAC</w:t>
            </w:r>
          </w:p>
        </w:tc>
      </w:tr>
      <w:tr>
        <w:tc>
          <w:tcPr>
            <w:tcW w:type="dxa" w:w="1304"/>
          </w:tcPr>
          <w:p>
            <w:r/>
            <w:r>
              <w:rPr>
                <w:sz w:val="18"/>
              </w:rPr>
              <w:t>OE.2 / E2</w:t>
            </w:r>
          </w:p>
        </w:tc>
        <w:tc>
          <w:tcPr>
            <w:tcW w:type="dxa" w:w="737"/>
          </w:tcPr>
          <w:p>
            <w:r/>
            <w:r>
              <w:rPr>
                <w:sz w:val="18"/>
              </w:rPr>
              <w:t>HE.2</w:t>
            </w:r>
          </w:p>
        </w:tc>
        <w:tc>
          <w:tcPr>
            <w:tcW w:type="dxa" w:w="737"/>
          </w:tcPr>
          <w:p>
            <w:r/>
            <w:r>
              <w:rPr>
                <w:sz w:val="18"/>
              </w:rPr>
              <w:t>1.211</w:t>
            </w:r>
          </w:p>
        </w:tc>
        <w:tc>
          <w:tcPr>
            <w:tcW w:type="dxa" w:w="850"/>
          </w:tcPr>
          <w:p>
            <w:r/>
            <w:r>
              <w:rPr>
                <w:sz w:val="18"/>
              </w:rPr>
              <w:t>0.5457</w:t>
            </w:r>
          </w:p>
        </w:tc>
        <w:tc>
          <w:tcPr>
            <w:tcW w:type="dxa" w:w="1134"/>
          </w:tcPr>
          <w:p>
            <w:r/>
            <w:r>
              <w:rPr>
                <w:sz w:val="18"/>
              </w:rPr>
              <w:t>No</w:t>
            </w:r>
          </w:p>
        </w:tc>
        <w:tc>
          <w:tcPr>
            <w:tcW w:type="dxa" w:w="1474"/>
          </w:tcPr>
          <w:p>
            <w:r/>
            <w:r>
              <w:rPr>
                <w:sz w:val="18"/>
              </w:rPr>
              <w:t>MATD3</w:t>
            </w:r>
          </w:p>
        </w:tc>
      </w:tr>
      <w:tr>
        <w:tc>
          <w:tcPr>
            <w:tcW w:type="dxa" w:w="1304"/>
          </w:tcPr>
          <w:p>
            <w:r/>
            <w:r>
              <w:rPr>
                <w:sz w:val="18"/>
              </w:rPr>
              <w:t>OE.3 / E3</w:t>
            </w:r>
          </w:p>
        </w:tc>
        <w:tc>
          <w:tcPr>
            <w:tcW w:type="dxa" w:w="737"/>
          </w:tcPr>
          <w:p>
            <w:r/>
            <w:r>
              <w:rPr>
                <w:sz w:val="18"/>
              </w:rPr>
              <w:t>HE.3</w:t>
            </w:r>
          </w:p>
        </w:tc>
        <w:tc>
          <w:tcPr>
            <w:tcW w:type="dxa" w:w="737"/>
          </w:tcPr>
          <w:p>
            <w:r/>
            <w:r>
              <w:rPr>
                <w:sz w:val="18"/>
              </w:rPr>
              <w:t>1.893</w:t>
            </w:r>
          </w:p>
        </w:tc>
        <w:tc>
          <w:tcPr>
            <w:tcW w:type="dxa" w:w="850"/>
          </w:tcPr>
          <w:p>
            <w:r/>
            <w:r>
              <w:rPr>
                <w:sz w:val="18"/>
              </w:rPr>
              <w:t>0.3881</w:t>
            </w:r>
          </w:p>
        </w:tc>
        <w:tc>
          <w:tcPr>
            <w:tcW w:type="dxa" w:w="1134"/>
          </w:tcPr>
          <w:p>
            <w:r/>
            <w:r>
              <w:rPr>
                <w:sz w:val="18"/>
              </w:rPr>
              <w:t>No</w:t>
            </w:r>
          </w:p>
        </w:tc>
        <w:tc>
          <w:tcPr>
            <w:tcW w:type="dxa" w:w="1474"/>
          </w:tcPr>
          <w:p>
            <w:r/>
            <w:r>
              <w:rPr>
                <w:sz w:val="18"/>
              </w:rPr>
              <w:t>MAAC</w:t>
            </w:r>
          </w:p>
        </w:tc>
      </w:tr>
      <w:tr>
        <w:tc>
          <w:tcPr>
            <w:tcW w:type="dxa" w:w="1304"/>
          </w:tcPr>
          <w:p>
            <w:r/>
            <w:r>
              <w:rPr>
                <w:sz w:val="18"/>
              </w:rPr>
              <w:t>Global (ALL)</w:t>
            </w:r>
          </w:p>
        </w:tc>
        <w:tc>
          <w:tcPr>
            <w:tcW w:type="dxa" w:w="737"/>
          </w:tcPr>
          <w:p>
            <w:r/>
            <w:r>
              <w:rPr>
                <w:sz w:val="18"/>
              </w:rPr>
              <w:t>HG</w:t>
            </w:r>
          </w:p>
        </w:tc>
        <w:tc>
          <w:tcPr>
            <w:tcW w:type="dxa" w:w="737"/>
          </w:tcPr>
          <w:p>
            <w:r/>
            <w:r>
              <w:rPr>
                <w:sz w:val="18"/>
              </w:rPr>
              <w:t>3.723</w:t>
            </w:r>
          </w:p>
        </w:tc>
        <w:tc>
          <w:tcPr>
            <w:tcW w:type="dxa" w:w="850"/>
          </w:tcPr>
          <w:p>
            <w:r/>
            <w:r>
              <w:rPr>
                <w:sz w:val="18"/>
              </w:rPr>
              <w:t>0.1554</w:t>
            </w:r>
          </w:p>
        </w:tc>
        <w:tc>
          <w:tcPr>
            <w:tcW w:type="dxa" w:w="1134"/>
          </w:tcPr>
          <w:p>
            <w:r/>
            <w:r>
              <w:rPr>
                <w:sz w:val="18"/>
              </w:rPr>
              <w:t>No</w:t>
            </w:r>
          </w:p>
        </w:tc>
        <w:tc>
          <w:tcPr>
            <w:tcW w:type="dxa" w:w="1474"/>
          </w:tcPr>
          <w:p>
            <w:r/>
            <w:r>
              <w:rPr>
                <w:sz w:val="18"/>
              </w:rPr>
              <w:t>MATD3</w:t>
            </w:r>
          </w:p>
        </w:tc>
      </w:tr>
    </w:tbl>
    <w:p/>
    <w:p>
      <w:pPr>
        <w:jc w:val="both"/>
      </w:pPr>
      <w:r>
        <w:rPr>
          <w:b w:val="0"/>
          <w:i w:val="0"/>
        </w:rPr>
        <w:t>Ningun Kruskal-Wallis por eje alcanza alpha = 0,05 con una semilla (OE.1 p=0,281; OE.2 p=0,546; OE.3 p=0,388; ALL p=0,155). Por tanto, no se rechaza H0 de igualdad global entre algoritmos en los contrastes omnibus; las respuestas a HE.1–HE.3 y HG se sustentan principalmente en evidencia descriptiva (seccion 5.8 y Tablas 5.4–5.6).</w:t>
      </w:r>
    </w:p>
    <w:p>
      <w:pPr>
        <w:pStyle w:val="Heading3"/>
      </w:pPr>
      <w:r>
        <w:t>5.9.3 Comparaciones por pares independientes (Mann-Whitney U)</w:t>
      </w:r>
    </w:p>
    <w:p>
      <w:r>
        <w:rPr>
          <w:b/>
          <w:color w:val="595959"/>
          <w:sz w:val="19"/>
        </w:rPr>
        <w:t>Tabla 5.18. Mann-Whitney U por par de algoritmos (comparaciones_mwu_madrl.csv).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521.500</w:t>
            </w:r>
          </w:p>
        </w:tc>
        <w:tc>
          <w:tcPr>
            <w:tcW w:type="dxa" w:w="850"/>
          </w:tcPr>
          <w:p>
            <w:r/>
            <w:r>
              <w:rPr>
                <w:sz w:val="18"/>
              </w:rPr>
              <w:t>0.1543</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538.500</w:t>
            </w:r>
          </w:p>
        </w:tc>
        <w:tc>
          <w:tcPr>
            <w:tcW w:type="dxa" w:w="850"/>
          </w:tcPr>
          <w:p>
            <w:r/>
            <w:r>
              <w:rPr>
                <w:sz w:val="18"/>
              </w:rPr>
              <w:t>0.2179</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692.500</w:t>
            </w:r>
          </w:p>
        </w:tc>
        <w:tc>
          <w:tcPr>
            <w:tcW w:type="dxa" w:w="850"/>
          </w:tcPr>
          <w:p>
            <w:r/>
            <w:r>
              <w:rPr>
                <w:sz w:val="18"/>
              </w:rPr>
              <w:t>0.6193</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93.000</w:t>
            </w:r>
          </w:p>
        </w:tc>
        <w:tc>
          <w:tcPr>
            <w:tcW w:type="dxa" w:w="850"/>
          </w:tcPr>
          <w:p>
            <w:r/>
            <w:r>
              <w:rPr>
                <w:sz w:val="18"/>
              </w:rPr>
              <w:t>0.4154</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90.000</w:t>
            </w:r>
          </w:p>
        </w:tc>
        <w:tc>
          <w:tcPr>
            <w:tcW w:type="dxa" w:w="850"/>
          </w:tcPr>
          <w:p>
            <w:r/>
            <w:r>
              <w:rPr>
                <w:sz w:val="18"/>
              </w:rPr>
              <w:t>0.3457</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126.000</w:t>
            </w:r>
          </w:p>
        </w:tc>
        <w:tc>
          <w:tcPr>
            <w:tcW w:type="dxa" w:w="850"/>
          </w:tcPr>
          <w:p>
            <w:r/>
            <w:r>
              <w:rPr>
                <w:sz w:val="18"/>
              </w:rPr>
              <w:t>0.5774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276.000</w:t>
            </w:r>
          </w:p>
        </w:tc>
        <w:tc>
          <w:tcPr>
            <w:tcW w:type="dxa" w:w="850"/>
          </w:tcPr>
          <w:p>
            <w:r/>
            <w:r>
              <w:rPr>
                <w:sz w:val="18"/>
              </w:rPr>
              <w:t>0.2574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271.000</w:t>
            </w:r>
          </w:p>
        </w:tc>
        <w:tc>
          <w:tcPr>
            <w:tcW w:type="dxa" w:w="850"/>
          </w:tcPr>
          <w:p>
            <w:r/>
            <w:r>
              <w:rPr>
                <w:sz w:val="18"/>
              </w:rPr>
              <w:t>0.2207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339.000</w:t>
            </w:r>
          </w:p>
        </w:tc>
        <w:tc>
          <w:tcPr>
            <w:tcW w:type="dxa" w:w="850"/>
          </w:tcPr>
          <w:p>
            <w:r/>
            <w:r>
              <w:rPr>
                <w:sz w:val="18"/>
              </w:rPr>
              <w:t>0.9927</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2466.500</w:t>
            </w:r>
          </w:p>
        </w:tc>
        <w:tc>
          <w:tcPr>
            <w:tcW w:type="dxa" w:w="850"/>
          </w:tcPr>
          <w:p>
            <w:r/>
            <w:r>
              <w:rPr>
                <w:sz w:val="18"/>
              </w:rPr>
              <w:t>0.0701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2574.500</w:t>
            </w:r>
          </w:p>
        </w:tc>
        <w:tc>
          <w:tcPr>
            <w:tcW w:type="dxa" w:w="850"/>
          </w:tcPr>
          <w:p>
            <w:r/>
            <w:r>
              <w:rPr>
                <w:sz w:val="18"/>
              </w:rPr>
              <w:t>0.1561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3109.500</w:t>
            </w:r>
          </w:p>
        </w:tc>
        <w:tc>
          <w:tcPr>
            <w:tcW w:type="dxa" w:w="850"/>
          </w:tcPr>
          <w:p>
            <w:r/>
            <w:r>
              <w:rPr>
                <w:sz w:val="18"/>
              </w:rPr>
              <w:t>0.5992</w:t>
            </w:r>
          </w:p>
        </w:tc>
        <w:tc>
          <w:tcPr>
            <w:tcW w:type="dxa" w:w="737"/>
          </w:tcPr>
          <w:p>
            <w:r/>
            <w:r>
              <w:rPr>
                <w:sz w:val="18"/>
              </w:rPr>
              <w:t>No</w:t>
            </w:r>
          </w:p>
        </w:tc>
      </w:tr>
    </w:tbl>
    <w:p/>
    <w:p>
      <w:pPr>
        <w:jc w:val="both"/>
      </w:pPr>
      <w:r>
        <w:rPr>
          <w:b w:val="0"/>
          <w:i w:val="0"/>
        </w:rPr>
        <w:t>Ningun par Mann-Whitney U alcanza significancia global a alpha = 0,05 en los ejes OE.1–OE.3; en ALL, MASAC vs MATD3 (p = 0,070) tampoco alcanza el umbral. Estas pruebas complementan el Kruskal-Wallis sin sustituir la evidencia descriptiva.</w:t>
      </w:r>
    </w:p>
    <w:p>
      <w:pPr>
        <w:pStyle w:val="Heading3"/>
      </w:pPr>
      <w:r>
        <w:t>5.9.4 Comparaciones pareadas (Wilcoxon signed-rank)</w:t>
      </w:r>
    </w:p>
    <w:p>
      <w:r>
        <w:rPr>
          <w:b/>
          <w:color w:val="595959"/>
          <w:sz w:val="19"/>
        </w:rPr>
        <w:t>Tabla 5.19. Wilcoxon signed-rank por KPI pareado (comparaciones_wilcoxon_madrl.csv).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T</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123.000</w:t>
            </w:r>
          </w:p>
        </w:tc>
        <w:tc>
          <w:tcPr>
            <w:tcW w:type="dxa" w:w="850"/>
          </w:tcPr>
          <w:p>
            <w:r/>
            <w:r>
              <w:rPr>
                <w:sz w:val="18"/>
              </w:rPr>
              <w:t>0.0410</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69.000</w:t>
            </w:r>
          </w:p>
        </w:tc>
        <w:tc>
          <w:tcPr>
            <w:tcW w:type="dxa" w:w="850"/>
          </w:tcPr>
          <w:p>
            <w:r/>
            <w:r>
              <w:rPr>
                <w:sz w:val="18"/>
              </w:rPr>
              <w:t>0.0013</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138.000</w:t>
            </w:r>
          </w:p>
        </w:tc>
        <w:tc>
          <w:tcPr>
            <w:tcW w:type="dxa" w:w="850"/>
          </w:tcPr>
          <w:p>
            <w:r/>
            <w:r>
              <w:rPr>
                <w:sz w:val="18"/>
              </w:rPr>
              <w:t>0.2205</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8.000</w:t>
            </w:r>
          </w:p>
        </w:tc>
        <w:tc>
          <w:tcPr>
            <w:tcW w:type="dxa" w:w="850"/>
          </w:tcPr>
          <w:p>
            <w:r/>
            <w:r>
              <w:rPr>
                <w:sz w:val="18"/>
              </w:rPr>
              <w:t>0.0858</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0.000</w:t>
            </w:r>
          </w:p>
        </w:tc>
        <w:tc>
          <w:tcPr>
            <w:tcW w:type="dxa" w:w="850"/>
          </w:tcPr>
          <w:p>
            <w:r/>
            <w:r>
              <w:rPr>
                <w:sz w:val="18"/>
              </w:rPr>
              <w:t>0.0077</w:t>
            </w:r>
          </w:p>
        </w:tc>
        <w:tc>
          <w:tcPr>
            <w:tcW w:type="dxa" w:w="737"/>
          </w:tcPr>
          <w:p>
            <w:r/>
            <w:r>
              <w:rPr>
                <w:sz w:val="18"/>
              </w:rPr>
              <w:t>Si</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17.000</w:t>
            </w:r>
          </w:p>
        </w:tc>
        <w:tc>
          <w:tcPr>
            <w:tcW w:type="dxa" w:w="850"/>
          </w:tcPr>
          <w:p>
            <w:r/>
            <w:r>
              <w:rPr>
                <w:sz w:val="18"/>
              </w:rPr>
              <w:t>0.5147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78.000</w:t>
            </w:r>
          </w:p>
        </w:tc>
        <w:tc>
          <w:tcPr>
            <w:tcW w:type="dxa" w:w="850"/>
          </w:tcPr>
          <w:p>
            <w:r/>
            <w:r>
              <w:rPr>
                <w:sz w:val="18"/>
              </w:rPr>
              <w:t>0.3135</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48.000</w:t>
            </w:r>
          </w:p>
        </w:tc>
        <w:tc>
          <w:tcPr>
            <w:tcW w:type="dxa" w:w="850"/>
          </w:tcPr>
          <w:p>
            <w:r/>
            <w:r>
              <w:rPr>
                <w:sz w:val="18"/>
              </w:rPr>
              <w:t>0.0333</w:t>
            </w:r>
          </w:p>
        </w:tc>
        <w:tc>
          <w:tcPr>
            <w:tcW w:type="dxa" w:w="737"/>
          </w:tcPr>
          <w:p>
            <w:r/>
            <w:r>
              <w:rPr>
                <w:sz w:val="18"/>
              </w:rPr>
              <w:t>Si</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94.000</w:t>
            </w:r>
          </w:p>
        </w:tc>
        <w:tc>
          <w:tcPr>
            <w:tcW w:type="dxa" w:w="850"/>
          </w:tcPr>
          <w:p>
            <w:r/>
            <w:r>
              <w:rPr>
                <w:sz w:val="18"/>
              </w:rPr>
              <w:t>0.6813</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492.000</w:t>
            </w:r>
          </w:p>
        </w:tc>
        <w:tc>
          <w:tcPr>
            <w:tcW w:type="dxa" w:w="850"/>
          </w:tcPr>
          <w:p>
            <w:r/>
            <w:r>
              <w:rPr>
                <w:sz w:val="18"/>
              </w:rPr>
              <w:t>0.0049</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270.000</w:t>
            </w:r>
          </w:p>
        </w:tc>
        <w:tc>
          <w:tcPr>
            <w:tcW w:type="dxa" w:w="850"/>
          </w:tcPr>
          <w:p>
            <w:r/>
            <w:r>
              <w:rPr>
                <w:sz w:val="18"/>
              </w:rPr>
              <w:t>0.0000</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614.000</w:t>
            </w:r>
          </w:p>
        </w:tc>
        <w:tc>
          <w:tcPr>
            <w:tcW w:type="dxa" w:w="850"/>
          </w:tcPr>
          <w:p>
            <w:r/>
            <w:r>
              <w:rPr>
                <w:sz w:val="18"/>
              </w:rPr>
              <w:t>0.1334</w:t>
            </w:r>
          </w:p>
        </w:tc>
        <w:tc>
          <w:tcPr>
            <w:tcW w:type="dxa" w:w="737"/>
          </w:tcPr>
          <w:p>
            <w:r/>
            <w:r>
              <w:rPr>
                <w:sz w:val="18"/>
              </w:rPr>
              <w:t>No</w:t>
            </w:r>
          </w:p>
        </w:tc>
      </w:tr>
    </w:tbl>
    <w:p/>
    <w:p>
      <w:pPr>
        <w:jc w:val="both"/>
      </w:pPr>
      <w:r>
        <w:rPr>
          <w:b w:val="0"/>
          <w:i w:val="0"/>
        </w:rPr>
        <w:t>Wilcoxon pareado detecta diferencias sistematicas en pares especificos: ALL MASAC vs MATD3 (p = 0,0049) y MASAC vs MAAC (p &lt; 0,001); en OE.1, MASAC vs MAAC (p = 0,0013). Estos contrastes son exploratorios sobre KPI-gains pareados y no reemplazan replicacion multi-semilla ni el diseno factorial 4×3 completo.</w:t>
      </w:r>
    </w:p>
    <w:p>
      <w:pPr>
        <w:pStyle w:val="Heading3"/>
      </w:pPr>
      <w:r>
        <w:t>5.9.5 Decision por hipotesis (Capitulo 1)</w:t>
      </w:r>
    </w:p>
    <w:p>
      <w:r>
        <w:rPr>
          <w:b/>
          <w:color w:val="595959"/>
          <w:sz w:val="19"/>
        </w:rPr>
        <w:t>Tabla 5.20. Sintesis de contrastacion HG / HE.1–HE.3 (corrida canonica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Alcance</w:t>
            </w:r>
          </w:p>
        </w:tc>
        <w:tc>
          <w:tcPr>
            <w:tcW w:type="dxa" w:w="1417"/>
            <w:shd w:val="clear" w:color="auto" w:fill="1F4E79"/>
          </w:tcPr>
          <w:p>
            <w:r/>
            <w:r>
              <w:rPr>
                <w:b/>
                <w:color w:val="FFFFFF"/>
                <w:sz w:val="18"/>
              </w:rPr>
              <w:t>Prueba principal</w:t>
            </w:r>
          </w:p>
        </w:tc>
        <w:tc>
          <w:tcPr>
            <w:tcW w:type="dxa" w:w="1134"/>
            <w:shd w:val="clear" w:color="auto" w:fill="1F4E79"/>
          </w:tcPr>
          <w:p>
            <w:r/>
            <w:r>
              <w:rPr>
                <w:b/>
                <w:color w:val="FFFFFF"/>
                <w:sz w:val="18"/>
              </w:rPr>
              <w:t>H0 rechazada (KW)</w:t>
            </w:r>
          </w:p>
        </w:tc>
        <w:tc>
          <w:tcPr>
            <w:tcW w:type="dxa" w:w="1417"/>
            <w:shd w:val="clear" w:color="auto" w:fill="1F4E79"/>
          </w:tcPr>
          <w:p>
            <w:r/>
            <w:r>
              <w:rPr>
                <w:b/>
                <w:color w:val="FFFFFF"/>
                <w:sz w:val="18"/>
              </w:rPr>
              <w:t>Mejor (mediana gain)</w:t>
            </w:r>
          </w:p>
        </w:tc>
        <w:tc>
          <w:tcPr>
            <w:tcW w:type="dxa" w:w="1701"/>
            <w:shd w:val="clear" w:color="auto" w:fill="1F4E79"/>
          </w:tcPr>
          <w:p>
            <w:r/>
            <w:r>
              <w:rPr>
                <w:b/>
                <w:color w:val="FFFFFF"/>
                <w:sz w:val="18"/>
              </w:rPr>
              <w:t>Decision</w:t>
            </w:r>
          </w:p>
        </w:tc>
      </w:tr>
      <w:tr>
        <w:tc>
          <w:tcPr>
            <w:tcW w:type="dxa" w:w="850"/>
          </w:tcPr>
          <w:p>
            <w:r/>
            <w:r>
              <w:rPr>
                <w:sz w:val="18"/>
              </w:rPr>
              <w:t>HE.1</w:t>
            </w:r>
          </w:p>
        </w:tc>
        <w:tc>
          <w:tcPr>
            <w:tcW w:type="dxa" w:w="1134"/>
          </w:tcPr>
          <w:p>
            <w:r/>
            <w:r>
              <w:rPr>
                <w:sz w:val="18"/>
              </w:rPr>
              <w:t>OE.1 / E1</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MAAC</w:t>
            </w:r>
          </w:p>
        </w:tc>
        <w:tc>
          <w:tcPr>
            <w:tcW w:type="dxa" w:w="1701"/>
          </w:tcPr>
          <w:p>
            <w:r/>
            <w:r>
              <w:rPr>
                <w:sz w:val="18"/>
              </w:rPr>
              <w:t>Evidencia descriptiva + exploratoria KPI-gain</w:t>
            </w:r>
          </w:p>
        </w:tc>
      </w:tr>
      <w:tr>
        <w:tc>
          <w:tcPr>
            <w:tcW w:type="dxa" w:w="850"/>
          </w:tcPr>
          <w:p>
            <w:r/>
            <w:r>
              <w:rPr>
                <w:sz w:val="18"/>
              </w:rPr>
              <w:t>HE.2</w:t>
            </w:r>
          </w:p>
        </w:tc>
        <w:tc>
          <w:tcPr>
            <w:tcW w:type="dxa" w:w="1134"/>
          </w:tcPr>
          <w:p>
            <w:r/>
            <w:r>
              <w:rPr>
                <w:sz w:val="18"/>
              </w:rPr>
              <w:t>OE.2 / E2</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MATD3</w:t>
            </w:r>
          </w:p>
        </w:tc>
        <w:tc>
          <w:tcPr>
            <w:tcW w:type="dxa" w:w="1701"/>
          </w:tcPr>
          <w:p>
            <w:r/>
            <w:r>
              <w:rPr>
                <w:sz w:val="18"/>
              </w:rPr>
              <w:t>Evidencia descriptiva + exploratoria KPI-gain</w:t>
            </w:r>
          </w:p>
        </w:tc>
      </w:tr>
      <w:tr>
        <w:tc>
          <w:tcPr>
            <w:tcW w:type="dxa" w:w="850"/>
          </w:tcPr>
          <w:p>
            <w:r/>
            <w:r>
              <w:rPr>
                <w:sz w:val="18"/>
              </w:rPr>
              <w:t>HE.3</w:t>
            </w:r>
          </w:p>
        </w:tc>
        <w:tc>
          <w:tcPr>
            <w:tcW w:type="dxa" w:w="1134"/>
          </w:tcPr>
          <w:p>
            <w:r/>
            <w:r>
              <w:rPr>
                <w:sz w:val="18"/>
              </w:rPr>
              <w:t>OE.3 / E3</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MAAC</w:t>
            </w:r>
          </w:p>
        </w:tc>
        <w:tc>
          <w:tcPr>
            <w:tcW w:type="dxa" w:w="1701"/>
          </w:tcPr>
          <w:p>
            <w:r/>
            <w:r>
              <w:rPr>
                <w:sz w:val="18"/>
              </w:rPr>
              <w:t>Evidencia descriptiva + exploratoria KPI-gain</w:t>
            </w:r>
          </w:p>
        </w:tc>
      </w:tr>
      <w:tr>
        <w:tc>
          <w:tcPr>
            <w:tcW w:type="dxa" w:w="850"/>
          </w:tcPr>
          <w:p>
            <w:r/>
            <w:r>
              <w:rPr>
                <w:sz w:val="18"/>
              </w:rPr>
              <w:t>HG</w:t>
            </w:r>
          </w:p>
        </w:tc>
        <w:tc>
          <w:tcPr>
            <w:tcW w:type="dxa" w:w="1134"/>
          </w:tcPr>
          <w:p>
            <w:r/>
            <w:r>
              <w:rPr>
                <w:sz w:val="18"/>
              </w:rPr>
              <w:t>Global (ALL)</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MATD3</w:t>
            </w:r>
          </w:p>
        </w:tc>
        <w:tc>
          <w:tcPr>
            <w:tcW w:type="dxa" w:w="1701"/>
          </w:tcPr>
          <w:p>
            <w:r/>
            <w:r>
              <w:rPr>
                <w:sz w:val="18"/>
              </w:rPr>
              <w:t>Evidencia descriptiva + exploratoria KPI-gain</w:t>
            </w:r>
          </w:p>
        </w:tc>
      </w:tr>
    </w:tbl>
    <w:p/>
    <w:p>
      <w:pPr>
        <w:pStyle w:val="Heading2"/>
      </w:pPr>
      <w:r>
        <w:t>5.10 Discusion integrada alineada a objetivos</w:t>
      </w:r>
    </w:p>
    <w:p>
      <w:pPr>
        <w:jc w:val="both"/>
      </w:pPr>
      <w:r>
        <w:rPr>
          <w:b w:val="0"/>
          <w:i w:val="0"/>
        </w:rPr>
        <w:t>La lectura doctoral exige separar tres niveles. Nivel 1 (respuesta OE): MATD3 es el de mayor efecto en OE.1 (flexibilidad, E1) y OE.2 (CO2, E2); MAAC en OE.3 (costos, E3). Nivel 2 (integracion): MATD3 obtiene score global 0,6667 por liderar dos ejes, pero no domina costos. Nivel 3 (contraste externo): baseline RBC de CityLearn v2 supera globalmente a MADRL (seccion 5.6), coherente con Nweye et al. (2024). La coherencia vertical PG→OE→VD se cumple en estructura y evidencia descriptiva; la inferencia causal robusta requiere multi-semilla. HAPPO (49/50 ep) reduce el diseno factorial efectivo a 3×3 en inferencia. Los hallazgos convergen con benchmarks CityLearn que reportan trade-offs entre algoritmos off-policy y on-policy (arXiv:2602.19223) y la utilidad de controles RBC como referencia superior en algunos KPIs (Vazquez-Canteli et al., 2024).</w:t>
      </w:r>
    </w:p>
    <w:p>
      <w:pPr>
        <w:pStyle w:val="Heading2"/>
      </w:pPr>
      <w:r>
        <w:t>5.11 Veredicto de cumplimiento por objetivo especifico</w:t>
      </w:r>
    </w:p>
    <w:p>
      <w:pPr>
        <w:jc w:val="both"/>
      </w:pPr>
      <w:r>
        <w:rPr>
          <w:b w:val="0"/>
          <w:i w:val="0"/>
        </w:rPr>
        <w:t>Tabla 5.21 sintetiza el cumplimiento de cada OE en dos planos: descriptivo (KPI distrital y ranking normalizado) e inferencial (Kruskal-Wallis sobre KPI-gains, alpha = 0,05). Un OE se considera cumplido descriptivamente cuando se identifica el algoritmo de mayor efecto con datos auditados; inferencialmente cuando KW rechaza H0 (ninguno alcanza con una semilla). HE.1–HE.3 y HG se vinculan explicitamente.</w:t>
      </w:r>
    </w:p>
    <w:p>
      <w:r>
        <w:rPr>
          <w:b/>
          <w:color w:val="595959"/>
          <w:sz w:val="19"/>
        </w:rPr>
        <w:t>Tabla 5.21. Veredicto de cumplimiento OE.1–OE.3 y HG (corrida canonica 50 ep).</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680"/>
            <w:shd w:val="clear" w:color="auto" w:fill="1F4E79"/>
          </w:tcPr>
          <w:p>
            <w:r/>
            <w:r>
              <w:rPr>
                <w:b/>
                <w:color w:val="FFFFFF"/>
                <w:sz w:val="18"/>
              </w:rPr>
              <w:t>OE</w:t>
            </w:r>
          </w:p>
        </w:tc>
        <w:tc>
          <w:tcPr>
            <w:tcW w:type="dxa" w:w="1020"/>
            <w:shd w:val="clear" w:color="auto" w:fill="1F4E79"/>
          </w:tcPr>
          <w:p>
            <w:r/>
            <w:r>
              <w:rPr>
                <w:b/>
                <w:color w:val="FFFFFF"/>
                <w:sz w:val="18"/>
              </w:rPr>
              <w:t>VD / Esc.</w:t>
            </w:r>
          </w:p>
        </w:tc>
        <w:tc>
          <w:tcPr>
            <w:tcW w:type="dxa" w:w="567"/>
            <w:shd w:val="clear" w:color="auto" w:fill="1F4E79"/>
          </w:tcPr>
          <w:p>
            <w:r/>
            <w:r>
              <w:rPr>
                <w:b/>
                <w:color w:val="FFFFFF"/>
                <w:sz w:val="18"/>
              </w:rPr>
              <w:t>Hip.</w:t>
            </w:r>
          </w:p>
        </w:tc>
        <w:tc>
          <w:tcPr>
            <w:tcW w:type="dxa" w:w="850"/>
            <w:shd w:val="clear" w:color="auto" w:fill="1F4E79"/>
          </w:tcPr>
          <w:p>
            <w:r/>
            <w:r>
              <w:rPr>
                <w:b/>
                <w:color w:val="FFFFFF"/>
                <w:sz w:val="18"/>
              </w:rPr>
              <w:t>Mejor VI</w:t>
            </w:r>
          </w:p>
        </w:tc>
        <w:tc>
          <w:tcPr>
            <w:tcW w:type="dxa" w:w="1587"/>
            <w:shd w:val="clear" w:color="auto" w:fill="1F4E79"/>
          </w:tcPr>
          <w:p>
            <w:r/>
            <w:r>
              <w:rPr>
                <w:b/>
                <w:color w:val="FFFFFF"/>
                <w:sz w:val="18"/>
              </w:rPr>
              <w:t>Evidencia KPI</w:t>
            </w:r>
          </w:p>
        </w:tc>
        <w:tc>
          <w:tcPr>
            <w:tcW w:type="dxa" w:w="850"/>
            <w:shd w:val="clear" w:color="auto" w:fill="1F4E79"/>
          </w:tcPr>
          <w:p>
            <w:r/>
            <w:r>
              <w:rPr>
                <w:b/>
                <w:color w:val="FFFFFF"/>
                <w:sz w:val="18"/>
              </w:rPr>
              <w:t>Desc.</w:t>
            </w:r>
          </w:p>
        </w:tc>
        <w:tc>
          <w:tcPr>
            <w:tcW w:type="dxa" w:w="1020"/>
            <w:shd w:val="clear" w:color="auto" w:fill="1F4E79"/>
          </w:tcPr>
          <w:p>
            <w:r/>
            <w:r>
              <w:rPr>
                <w:b/>
                <w:color w:val="FFFFFF"/>
                <w:sz w:val="18"/>
              </w:rPr>
              <w:t>Infer.</w:t>
            </w:r>
          </w:p>
        </w:tc>
        <w:tc>
          <w:tcPr>
            <w:tcW w:type="dxa" w:w="1417"/>
            <w:shd w:val="clear" w:color="auto" w:fill="1F4E79"/>
          </w:tcPr>
          <w:p>
            <w:r/>
            <w:r>
              <w:rPr>
                <w:b/>
                <w:color w:val="FFFFFF"/>
                <w:sz w:val="18"/>
              </w:rPr>
              <w:t>Veredicto</w:t>
            </w:r>
          </w:p>
        </w:tc>
      </w:tr>
      <w:tr>
        <w:tc>
          <w:tcPr>
            <w:tcW w:type="dxa" w:w="680"/>
          </w:tcPr>
          <w:p>
            <w:r/>
            <w:r>
              <w:rPr>
                <w:sz w:val="18"/>
              </w:rPr>
              <w:t>OE.1</w:t>
            </w:r>
          </w:p>
        </w:tc>
        <w:tc>
          <w:tcPr>
            <w:tcW w:type="dxa" w:w="1020"/>
          </w:tcPr>
          <w:p>
            <w:r/>
            <w:r>
              <w:rPr>
                <w:sz w:val="18"/>
              </w:rPr>
              <w:t>D-VD.1 / E1</w:t>
            </w:r>
          </w:p>
        </w:tc>
        <w:tc>
          <w:tcPr>
            <w:tcW w:type="dxa" w:w="567"/>
          </w:tcPr>
          <w:p>
            <w:r/>
            <w:r>
              <w:rPr>
                <w:sz w:val="18"/>
              </w:rPr>
              <w:t>HE.1</w:t>
            </w:r>
          </w:p>
        </w:tc>
        <w:tc>
          <w:tcPr>
            <w:tcW w:type="dxa" w:w="850"/>
          </w:tcPr>
          <w:p>
            <w:r/>
            <w:r>
              <w:rPr>
                <w:sz w:val="18"/>
              </w:rPr>
              <w:t>MATD3</w:t>
            </w:r>
          </w:p>
        </w:tc>
        <w:tc>
          <w:tcPr>
            <w:tcW w:type="dxa" w:w="1587"/>
          </w:tcPr>
          <w:p>
            <w:r/>
            <w:r>
              <w:rPr>
                <w:sz w:val="18"/>
              </w:rPr>
              <w:t>flex_composite = 1,0009; score = 1,0000</w:t>
            </w:r>
          </w:p>
        </w:tc>
        <w:tc>
          <w:tcPr>
            <w:tcW w:type="dxa" w:w="850"/>
          </w:tcPr>
          <w:p>
            <w:r/>
            <w:r>
              <w:rPr>
                <w:sz w:val="18"/>
              </w:rPr>
              <w:t>Si (descriptivo)</w:t>
            </w:r>
          </w:p>
        </w:tc>
        <w:tc>
          <w:tcPr>
            <w:tcW w:type="dxa" w:w="1020"/>
          </w:tcPr>
          <w:p>
            <w:r/>
            <w:r>
              <w:rPr>
                <w:sz w:val="18"/>
              </w:rPr>
              <w:t>No (KW p = 0,281)</w:t>
            </w:r>
          </w:p>
        </w:tc>
        <w:tc>
          <w:tcPr>
            <w:tcW w:type="dxa" w:w="1417"/>
          </w:tcPr>
          <w:p>
            <w:r/>
            <w:r>
              <w:rPr>
                <w:sz w:val="18"/>
              </w:rPr>
              <w:t>Cumplido parcialmente: lider identificado; inferencia no confirmatoria</w:t>
            </w:r>
          </w:p>
        </w:tc>
      </w:tr>
      <w:tr>
        <w:tc>
          <w:tcPr>
            <w:tcW w:type="dxa" w:w="680"/>
          </w:tcPr>
          <w:p>
            <w:r/>
            <w:r>
              <w:rPr>
                <w:sz w:val="18"/>
              </w:rPr>
              <w:t>OE.2</w:t>
            </w:r>
          </w:p>
        </w:tc>
        <w:tc>
          <w:tcPr>
            <w:tcW w:type="dxa" w:w="1020"/>
          </w:tcPr>
          <w:p>
            <w:r/>
            <w:r>
              <w:rPr>
                <w:sz w:val="18"/>
              </w:rPr>
              <w:t>D-VD.2 / E2</w:t>
            </w:r>
          </w:p>
        </w:tc>
        <w:tc>
          <w:tcPr>
            <w:tcW w:type="dxa" w:w="567"/>
          </w:tcPr>
          <w:p>
            <w:r/>
            <w:r>
              <w:rPr>
                <w:sz w:val="18"/>
              </w:rPr>
              <w:t>HE.2</w:t>
            </w:r>
          </w:p>
        </w:tc>
        <w:tc>
          <w:tcPr>
            <w:tcW w:type="dxa" w:w="850"/>
          </w:tcPr>
          <w:p>
            <w:r/>
            <w:r>
              <w:rPr>
                <w:sz w:val="18"/>
              </w:rPr>
              <w:t>MATD3</w:t>
            </w:r>
          </w:p>
        </w:tc>
        <w:tc>
          <w:tcPr>
            <w:tcW w:type="dxa" w:w="1587"/>
          </w:tcPr>
          <w:p>
            <w:r/>
            <w:r>
              <w:rPr>
                <w:sz w:val="18"/>
              </w:rPr>
              <w:t>delta CO2 = 23 070 kg; score = 1,0000</w:t>
            </w:r>
          </w:p>
        </w:tc>
        <w:tc>
          <w:tcPr>
            <w:tcW w:type="dxa" w:w="850"/>
          </w:tcPr>
          <w:p>
            <w:r/>
            <w:r>
              <w:rPr>
                <w:sz w:val="18"/>
              </w:rPr>
              <w:t>Si (descriptivo)</w:t>
            </w:r>
          </w:p>
        </w:tc>
        <w:tc>
          <w:tcPr>
            <w:tcW w:type="dxa" w:w="1020"/>
          </w:tcPr>
          <w:p>
            <w:r/>
            <w:r>
              <w:rPr>
                <w:sz w:val="18"/>
              </w:rPr>
              <w:t>No (KW p = 0,546)</w:t>
            </w:r>
          </w:p>
        </w:tc>
        <w:tc>
          <w:tcPr>
            <w:tcW w:type="dxa" w:w="1417"/>
          </w:tcPr>
          <w:p>
            <w:r/>
            <w:r>
              <w:rPr>
                <w:sz w:val="18"/>
              </w:rPr>
              <w:t>Cumplido parcialmente: menor emision entre MADRL; RBC supera globalmente</w:t>
            </w:r>
          </w:p>
        </w:tc>
      </w:tr>
      <w:tr>
        <w:tc>
          <w:tcPr>
            <w:tcW w:type="dxa" w:w="680"/>
          </w:tcPr>
          <w:p>
            <w:r/>
            <w:r>
              <w:rPr>
                <w:sz w:val="18"/>
              </w:rPr>
              <w:t>OE.3</w:t>
            </w:r>
          </w:p>
        </w:tc>
        <w:tc>
          <w:tcPr>
            <w:tcW w:type="dxa" w:w="1020"/>
          </w:tcPr>
          <w:p>
            <w:r/>
            <w:r>
              <w:rPr>
                <w:sz w:val="18"/>
              </w:rPr>
              <w:t>D-VD.3 / E3</w:t>
            </w:r>
          </w:p>
        </w:tc>
        <w:tc>
          <w:tcPr>
            <w:tcW w:type="dxa" w:w="567"/>
          </w:tcPr>
          <w:p>
            <w:r/>
            <w:r>
              <w:rPr>
                <w:sz w:val="18"/>
              </w:rPr>
              <w:t>HE.3</w:t>
            </w:r>
          </w:p>
        </w:tc>
        <w:tc>
          <w:tcPr>
            <w:tcW w:type="dxa" w:w="850"/>
          </w:tcPr>
          <w:p>
            <w:r/>
            <w:r>
              <w:rPr>
                <w:sz w:val="18"/>
              </w:rPr>
              <w:t>MAAC</w:t>
            </w:r>
          </w:p>
        </w:tc>
        <w:tc>
          <w:tcPr>
            <w:tcW w:type="dxa" w:w="1587"/>
          </w:tcPr>
          <w:p>
            <w:r/>
            <w:r>
              <w:rPr>
                <w:sz w:val="18"/>
              </w:rPr>
              <w:t>delta costo = 9 515 EUR; score = 1,0000</w:t>
            </w:r>
          </w:p>
        </w:tc>
        <w:tc>
          <w:tcPr>
            <w:tcW w:type="dxa" w:w="850"/>
          </w:tcPr>
          <w:p>
            <w:r/>
            <w:r>
              <w:rPr>
                <w:sz w:val="18"/>
              </w:rPr>
              <w:t>Si (descriptivo)</w:t>
            </w:r>
          </w:p>
        </w:tc>
        <w:tc>
          <w:tcPr>
            <w:tcW w:type="dxa" w:w="1020"/>
          </w:tcPr>
          <w:p>
            <w:r/>
            <w:r>
              <w:rPr>
                <w:sz w:val="18"/>
              </w:rPr>
              <w:t>No (KW p = 0,388)</w:t>
            </w:r>
          </w:p>
        </w:tc>
        <w:tc>
          <w:tcPr>
            <w:tcW w:type="dxa" w:w="1417"/>
          </w:tcPr>
          <w:p>
            <w:r/>
            <w:r>
              <w:rPr>
                <w:sz w:val="18"/>
              </w:rPr>
              <w:t>Cumplido parcialmente: lider costos identificado; hour_rbc supera en score eje</w:t>
            </w:r>
          </w:p>
        </w:tc>
      </w:tr>
      <w:tr>
        <w:tc>
          <w:tcPr>
            <w:tcW w:type="dxa" w:w="680"/>
          </w:tcPr>
          <w:p>
            <w:r/>
            <w:r>
              <w:rPr>
                <w:sz w:val="18"/>
              </w:rPr>
              <w:t>OG</w:t>
            </w:r>
          </w:p>
        </w:tc>
        <w:tc>
          <w:tcPr>
            <w:tcW w:type="dxa" w:w="1020"/>
          </w:tcPr>
          <w:p>
            <w:r/>
            <w:r>
              <w:rPr>
                <w:sz w:val="18"/>
              </w:rPr>
              <w:t>ALL</w:t>
            </w:r>
          </w:p>
        </w:tc>
        <w:tc>
          <w:tcPr>
            <w:tcW w:type="dxa" w:w="567"/>
          </w:tcPr>
          <w:p>
            <w:r/>
            <w:r>
              <w:rPr>
                <w:sz w:val="18"/>
              </w:rPr>
              <w:t>HG</w:t>
            </w:r>
          </w:p>
        </w:tc>
        <w:tc>
          <w:tcPr>
            <w:tcW w:type="dxa" w:w="850"/>
          </w:tcPr>
          <w:p>
            <w:r/>
            <w:r>
              <w:rPr>
                <w:sz w:val="18"/>
              </w:rPr>
              <w:t>MATD3</w:t>
            </w:r>
          </w:p>
        </w:tc>
        <w:tc>
          <w:tcPr>
            <w:tcW w:type="dxa" w:w="1587"/>
          </w:tcPr>
          <w:p>
            <w:r/>
            <w:r>
              <w:rPr>
                <w:sz w:val="18"/>
              </w:rPr>
              <w:t>score global = 0,6667 (2/3 ejes)</w:t>
            </w:r>
          </w:p>
        </w:tc>
        <w:tc>
          <w:tcPr>
            <w:tcW w:type="dxa" w:w="850"/>
          </w:tcPr>
          <w:p>
            <w:r/>
            <w:r>
              <w:rPr>
                <w:sz w:val="18"/>
              </w:rPr>
              <w:t>Si (descriptivo)</w:t>
            </w:r>
          </w:p>
        </w:tc>
        <w:tc>
          <w:tcPr>
            <w:tcW w:type="dxa" w:w="1020"/>
          </w:tcPr>
          <w:p>
            <w:r/>
            <w:r>
              <w:rPr>
                <w:sz w:val="18"/>
              </w:rPr>
              <w:t>No (KW p = 0,155)</w:t>
            </w:r>
          </w:p>
        </w:tc>
        <w:tc>
          <w:tcPr>
            <w:tcW w:type="dxa" w:w="1417"/>
          </w:tcPr>
          <w:p>
            <w:r/>
            <w:r>
              <w:rPr>
                <w:sz w:val="18"/>
              </w:rPr>
              <w:t>Cumplido parcialmente: mejor integracion MADRL; sin dominancia universal</w:t>
            </w:r>
          </w:p>
        </w:tc>
      </w:tr>
    </w:tbl>
    <w:p/>
    <w:p>
      <w:pPr>
        <w:jc w:val="both"/>
      </w:pPr>
      <w:r>
        <w:rPr>
          <w:b w:val="0"/>
          <w:i w:val="0"/>
        </w:rPr>
        <w:t>Conclusion operativa: los tres objetivos especificos se cumplen en el sentido descriptivo exigido por la tesis (identificacion del algoritmo de mayor efecto por eje), pero ninguno alcanza significancia inferencial omnibus con una semilla. La hipotesis global HG se sustenta descriptivamente en MATD3; Wilcoxon ALL (MASAC vs MATD3, p = 0,0049) sugiere diferencias exploratorias en KPI-gains pareados que requieren replicacion multi-semilla.</w:t>
      </w:r>
    </w:p>
    <w:p>
      <w:r>
        <w:br w:type="page"/>
      </w:r>
    </w:p>
    <w:p>
      <w:pPr>
        <w:pStyle w:val="Heading1"/>
      </w:pPr>
      <w:r>
        <w:t>Capitulo 6. Conclusiones y trabajo futuro</w:t>
      </w:r>
    </w:p>
    <w:p>
      <w:pPr>
        <w:pStyle w:val="Heading2"/>
      </w:pPr>
      <w:r>
        <w:t>6.1 Conclusiones por objetivo especifico</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MATD3 obtiene score global 0,6667 por liderar OE.1 y OE.2, pero no OE.3. Ningun Kruskal-Wallis por eje alcanza alpha=0,05 (Tabla 5.17); las respuestas OE se sustentan en evidencia descriptiva trazable. La comparacion con baseline CityLearn v2 (seccion 5.6) muestra que controles RBC superan globalmente a MADRL, matizando la generalizacion causal pero no invalidando el benchmark inter-algoritmico.</w:t>
      </w:r>
    </w:p>
    <w:p>
      <w:pPr>
        <w:pStyle w:val="Heading2"/>
      </w:pPr>
      <w:r>
        <w:t>6.2 Limitaciones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 inferencia Colab por OE se reporta en seccion 5.9 y Tabla 5.21.</w:t>
      </w:r>
    </w:p>
    <w:p>
      <w:pPr>
        <w:pStyle w:val="Heading2"/>
      </w:pPr>
      <w:r>
        <w:t>6.3 Trabajo futuro</w:t>
      </w:r>
    </w:p>
    <w:p>
      <w:pPr>
        <w:jc w:val="both"/>
      </w:pPr>
      <w:r>
        <w:rPr>
          <w:b w:val="0"/>
          <w:i w:val="0"/>
        </w:rPr>
        <w:t>Se propone: re-evaluacion de HAPPO tras corregir VecEnvWrapper; corrida multi-semilla (≥5, ideal ≥20) con post-hoc Dunn y correccion Bonferroni; optimizacion con Optuna; analisis de frontera de Pareto por eje; y transferencia del benchmark a otros sistemas aislados de la Amazonia peruana. La comparacion con SB3 (PPO/SAC/A2C) y el benchmark hour_rbc E2 completado en segundo plano enriqueceran el contraste con literatura.</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