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2.2b resume la notacion formal; la operacionalizacion computacional se desarrolla en el Capitulo 4 sin alterar esta definicion teorica.</w:t>
      </w:r>
    </w:p>
    <w:p>
      <w:r>
        <w:rPr>
          <w:b/>
          <w:color w:val="595959"/>
          <w:sz w:val="19"/>
        </w:rPr>
        <w:t>Tabla 2.2b.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Estado global y observaciones locales. El estado global S se construye como la concatenacion de observaciones locales (ctde_state = concatenated_local_observations). Cada observacion o_i combina variables temporales (mes, hora, day_type), fisica del edificio (non_shiftable_load, dhw_demand, cooling_demand, solar_generation), estado del BESS (SOC, potencia nominal, acciones previas), estado de cada cargador EV (SOC_k, hora de salida_k, SOC requerido_k, llegada estimada_k, estado_k) y senales globales (carbon_intensity, electricity_pricing, outdoor_dry_bulb_temperature, diffuse_solar_irradiance, direct_solar_irradiance). La heterogeneidad dimensional refleja la diversidad operativa del distrito: edificios con flotas EV extensas (p. ej. B06 con 32 cargadores, B07 con 42) concentran observaciones y acciones de mayor dimension.</w:t>
      </w:r>
    </w:p>
    <w:p>
      <w:pPr>
        <w:spacing w:after="120" w:line="276" w:lineRule="auto"/>
        <w:jc w:val="both"/>
      </w:pPr>
      <w:r>
        <w:t>Espacios de accion. Cada accion a_i controla recursos flexibles del edificio i: potencia de carga/descarga del BESS (electrical_storage), potencia de carga de cada cargador EV (electric_vehicle_storage_charger_k) y control de carga desplazable (washing_machine). Las cargas no controlables permanecen como referencia de demanda base. La transicion T incorpora el balance energetico del distrito, el modelo RC de temperatura, la dinamica del almacenamiento con eficiencia round-trip 0.9025 y los perfiles estocasticos de llegada/salida de vehiculos electricos.</w:t>
      </w:r>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Los valores numericos del perfil unificado comparable v4 (peak_weight = 0.45, ramp_weight = 0.35, ev_weight = 0.25, reward_scale = 1.00) y la implementacion exacta de cada termino se documentan en las Secciones 4.2-4.5, evitando duplicar aqui el detalle de codigo.</w:t>
      </w:r>
    </w:p>
    <w:p>
      <w:pPr>
        <w:spacing w:after="120" w:line="276" w:lineRule="auto"/>
        <w:jc w:val="both"/>
      </w:pPr>
      <w:r>
        <w:t>Condicion de observabilidad parcial estricta. Durante la ejecucion descentralizada, cada politica pi_i(a_i | o_i) actua solo con o_i; el estado global s solo es accesible durante el entrenamiento bajo CTDE (Seccion 2.2.4). Esta separacion es coherente con el paradigma Dec-POMDP: la informacion completa del distrito no esta disponible en operacion, pero puede usarse para aprender coordinacion. El Capitulo 4 desarrolla wrappers PettingZoo, espacios de estado/accion y la clase CityLearnV3MADRLRewardFunction que instancian esta formalizacion sobre CityLearn v2 extendido (CityLearn v3 propuesto).</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