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Results are grounded in audited Drive artifacts; inferential tests on the canonical run remain pending.</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pStyle w:val="Heading2"/>
      </w:pPr>
      <w:r>
        <w:t>2.1 Antecedentes de la investigacion</w:t>
      </w:r>
    </w:p>
    <w:p>
      <w:pPr>
        <w:spacing w:after="120" w:line="276" w:lineRule="auto"/>
        <w:jc w:val="both"/>
      </w:pPr>
      <w:r>
        <w:rPr>
          <w:b w:val="0"/>
          <w:i w:val="0"/>
        </w:rPr>
        <w:t>Los antecedentes se organizan en cuatro ejes: flexibilidad energetica, emisiones de CO2, costos energeticos y marco tecnico MADRL. CityLearn v2 aporta el entorno base para comunidades energeticas grid-interactive; Dec-POMDP y CTDE aportan la estructura de decision multiagente; HAPPO, MASAC, MATD3 y MAAC representan familias diferentes de algoritmos MADRL. La tesis no presenta CityLearn v3 como version oficial, sino como CityLearn v3 propuesto, extension experimental del proyecto.</w:t>
      </w:r>
    </w:p>
    <w:p>
      <w:pPr>
        <w:pStyle w:val="Heading3"/>
      </w:pPr>
      <w:r>
        <w:t>2.1.1 Flexibilidad energetica con MADRL</w:t>
      </w:r>
    </w:p>
    <w:p>
      <w:pPr>
        <w:spacing w:after="120" w:line="276" w:lineRule="auto"/>
        <w:jc w:val="both"/>
      </w:pPr>
      <w:r>
        <w:rPr>
          <w:b w:val="0"/>
          <w:i w:val="0"/>
        </w:rPr>
        <w:t>La literatura sobre CityLearn y respuesta a la demanda muestra que los edificios grid-interactive pueden reducir picos, rampas y mejorar autoconsumo mediante control aprendido. Sin embargo, la mayoria de antecedentes evalua algoritmos aislados o un eje dominante. Esta tesis traslada esos antecedentes a un benchmark unificado para 17 edificios del SEAI Iquitos.</w:t>
      </w:r>
    </w:p>
    <w:p>
      <w:pPr>
        <w:pStyle w:val="Heading3"/>
      </w:pPr>
      <w:r>
        <w:t>2.1.2 Emisiones de carbono con MADRL</w:t>
      </w:r>
    </w:p>
    <w:p>
      <w:pPr>
        <w:spacing w:after="120" w:line="276" w:lineRule="auto"/>
        <w:jc w:val="both"/>
      </w:pPr>
      <w:r>
        <w:rPr>
          <w:b w:val="0"/>
          <w:i w:val="0"/>
        </w:rPr>
        <w:t>Los estudios de control consciente de carbono muestran que desplazar consumo hacia horas de menor intensidad puede reducir emisiones. En el SEAI Iquitos, la senal CI(t) permite operacionalizar este eje con una intensidad variable derivada de generacion diesel y aporte solar.</w:t>
      </w:r>
    </w:p>
    <w:p>
      <w:pPr>
        <w:pStyle w:val="Heading3"/>
      </w:pPr>
      <w:r>
        <w:t>2.1.3 Costos energeticos con MADRL</w:t>
      </w:r>
    </w:p>
    <w:p>
      <w:pPr>
        <w:spacing w:after="120" w:line="276" w:lineRule="auto"/>
        <w:jc w:val="both"/>
      </w:pPr>
      <w:r>
        <w:rPr>
          <w:b w:val="0"/>
          <w:i w:val="0"/>
        </w:rPr>
        <w:t>Los antecedentes de respuesta a precios y tarifas por uso horario justifican el escenario E3. La coordinacion multiagente puede aprovechar almacenamiento, EV y cargas desplazables para modificar el perfil de consumo frente a senales de costo.</w:t>
      </w:r>
    </w:p>
    <w:p>
      <w:pPr>
        <w:pStyle w:val="Heading3"/>
      </w:pPr>
      <w:r>
        <w:t>2.1.4 Marco tecnico MADRL y sistemas aislados</w:t>
      </w:r>
    </w:p>
    <w:p>
      <w:pPr>
        <w:spacing w:after="120" w:line="276" w:lineRule="auto"/>
        <w:jc w:val="both"/>
      </w:pPr>
      <w:r>
        <w:rPr>
          <w:b w:val="0"/>
          <w:i w:val="0"/>
        </w:rPr>
        <w:t>El marco tecnico combina aprendizaje por refuerzo profundo, sistemas multiagente, Dec-POMDP, CTDE, recompensa cooperativa y comparacion estadistica de algoritmos. La tesis usa MADRL como termino principal y reserva MARLlib unicamente como nombre propio de biblioteca o referencia tecnica.</w:t>
      </w:r>
    </w:p>
    <w:p>
      <w:pPr>
        <w:pStyle w:val="Heading2"/>
      </w:pPr>
      <w:r>
        <w:t>2.2 Bases teoricas</w:t>
      </w:r>
    </w:p>
    <w:p>
      <w:pPr>
        <w:spacing w:after="120" w:line="276" w:lineRule="auto"/>
        <w:jc w:val="both"/>
      </w:pPr>
      <w:r>
        <w:rPr>
          <w:b w:val="0"/>
          <w:i w:val="0"/>
        </w:rPr>
        <w:t>La flexibilidad energetica se define como la capacidad de modificar temporalmente demanda, importacion, exportacion y uso de DER. Las emisiones de CO2 se modelan mediante intensidad de carbono horaria y consumo electrico. Los costos energeticos se evalúan con precio TOU/RTP y deltas de costo. El Marco_metodologico_MADRL articula estas dimensiones con la variable independiente y la variable dependiente.</w:t>
      </w:r>
    </w:p>
    <w:p>
      <w:pPr>
        <w:pStyle w:val="Heading3"/>
      </w:pPr>
      <w:r>
        <w:t>2.2.4 Dec-POMDP, CTDE y los cuatro algoritmos</w:t>
      </w:r>
    </w:p>
    <w:p>
      <w:r>
        <w:rPr>
          <w:b/>
          <w:color w:val="595959"/>
          <w:sz w:val="19"/>
        </w:rPr>
        <w:t>Tabla 2.1. Comparacion conceptual de algoritmos MADRL evaluados.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Algoritmo</w:t>
            </w:r>
          </w:p>
        </w:tc>
        <w:tc>
          <w:tcPr>
            <w:tcW w:type="dxa" w:w="2280"/>
            <w:shd w:val="clear" w:color="auto" w:fill="1F4E79"/>
          </w:tcPr>
          <w:p>
            <w:r/>
            <w:r>
              <w:rPr>
                <w:b/>
                <w:color w:val="FFFFFF"/>
                <w:sz w:val="16"/>
              </w:rPr>
              <w:t>Familia</w:t>
            </w:r>
          </w:p>
        </w:tc>
        <w:tc>
          <w:tcPr>
            <w:tcW w:type="dxa" w:w="2280"/>
            <w:shd w:val="clear" w:color="auto" w:fill="1F4E79"/>
          </w:tcPr>
          <w:p>
            <w:r/>
            <w:r>
              <w:rPr>
                <w:b/>
                <w:color w:val="FFFFFF"/>
                <w:sz w:val="16"/>
              </w:rPr>
              <w:t>Mecanismo principal</w:t>
            </w:r>
          </w:p>
        </w:tc>
        <w:tc>
          <w:tcPr>
            <w:tcW w:type="dxa" w:w="2280"/>
            <w:shd w:val="clear" w:color="auto" w:fill="1F4E79"/>
          </w:tcPr>
          <w:p>
            <w:r/>
            <w:r>
              <w:rPr>
                <w:b/>
                <w:color w:val="FFFFFF"/>
                <w:sz w:val="16"/>
              </w:rPr>
              <w:t>Rol en la tesis</w:t>
            </w:r>
          </w:p>
        </w:tc>
      </w:tr>
      <w:tr>
        <w:tc>
          <w:tcPr>
            <w:tcW w:type="dxa" w:w="2280"/>
          </w:tcPr>
          <w:p>
            <w:r/>
            <w:r>
              <w:rPr>
                <w:sz w:val="16"/>
              </w:rPr>
              <w:t>HAPPO</w:t>
            </w:r>
          </w:p>
        </w:tc>
        <w:tc>
          <w:tcPr>
            <w:tcW w:type="dxa" w:w="2280"/>
          </w:tcPr>
          <w:p>
            <w:r/>
            <w:r>
              <w:rPr>
                <w:sz w:val="16"/>
              </w:rPr>
              <w:t>On-policy cooperativo</w:t>
            </w:r>
          </w:p>
        </w:tc>
        <w:tc>
          <w:tcPr>
            <w:tcW w:type="dxa" w:w="2280"/>
          </w:tcPr>
          <w:p>
            <w:r/>
            <w:r>
              <w:rPr>
                <w:sz w:val="16"/>
              </w:rPr>
              <w:t>Actualizacion secuencial con politicas heterogeneas</w:t>
            </w:r>
          </w:p>
        </w:tc>
        <w:tc>
          <w:tcPr>
            <w:tcW w:type="dxa" w:w="2280"/>
          </w:tcPr>
          <w:p>
            <w:r/>
            <w:r>
              <w:rPr>
                <w:sz w:val="16"/>
              </w:rPr>
              <w:t>Tratamiento VI; incluido distrital/trace, parcial en edificio/checkpoint por falta de artefactos.</w:t>
            </w:r>
          </w:p>
        </w:tc>
      </w:tr>
      <w:tr>
        <w:tc>
          <w:tcPr>
            <w:tcW w:type="dxa" w:w="2280"/>
          </w:tcPr>
          <w:p>
            <w:r/>
            <w:r>
              <w:rPr>
                <w:sz w:val="16"/>
              </w:rPr>
              <w:t>MASAC</w:t>
            </w:r>
          </w:p>
        </w:tc>
        <w:tc>
          <w:tcPr>
            <w:tcW w:type="dxa" w:w="2280"/>
          </w:tcPr>
          <w:p>
            <w:r/>
            <w:r>
              <w:rPr>
                <w:sz w:val="16"/>
              </w:rPr>
              <w:t>Off-policy entropia</w:t>
            </w:r>
          </w:p>
        </w:tc>
        <w:tc>
          <w:tcPr>
            <w:tcW w:type="dxa" w:w="2280"/>
          </w:tcPr>
          <w:p>
            <w:r/>
            <w:r>
              <w:rPr>
                <w:sz w:val="16"/>
              </w:rPr>
              <w:t>SAC multiagente con exploracion regularizada</w:t>
            </w:r>
          </w:p>
        </w:tc>
        <w:tc>
          <w:tcPr>
            <w:tcW w:type="dxa" w:w="2280"/>
          </w:tcPr>
          <w:p>
            <w:r/>
            <w:r>
              <w:rPr>
                <w:sz w:val="16"/>
              </w:rPr>
              <w:t>Tratamiento VI completo en KPIs edificio y checkpoints.</w:t>
            </w:r>
          </w:p>
        </w:tc>
      </w:tr>
      <w:tr>
        <w:tc>
          <w:tcPr>
            <w:tcW w:type="dxa" w:w="2280"/>
          </w:tcPr>
          <w:p>
            <w:r/>
            <w:r>
              <w:rPr>
                <w:sz w:val="16"/>
              </w:rPr>
              <w:t>MATD3</w:t>
            </w:r>
          </w:p>
        </w:tc>
        <w:tc>
          <w:tcPr>
            <w:tcW w:type="dxa" w:w="2280"/>
          </w:tcPr>
          <w:p>
            <w:r/>
            <w:r>
              <w:rPr>
                <w:sz w:val="16"/>
              </w:rPr>
              <w:t>Off-policy deterministico</w:t>
            </w:r>
          </w:p>
        </w:tc>
        <w:tc>
          <w:tcPr>
            <w:tcW w:type="dxa" w:w="2280"/>
          </w:tcPr>
          <w:p>
            <w:r/>
            <w:r>
              <w:rPr>
                <w:sz w:val="16"/>
              </w:rPr>
              <w:t>Doble critico y retardo de politica</w:t>
            </w:r>
          </w:p>
        </w:tc>
        <w:tc>
          <w:tcPr>
            <w:tcW w:type="dxa" w:w="2280"/>
          </w:tcPr>
          <w:p>
            <w:r/>
            <w:r>
              <w:rPr>
                <w:sz w:val="16"/>
              </w:rPr>
              <w:t>Hipotesis direccional de mayor efecto coordinado segun skill.</w:t>
            </w:r>
          </w:p>
        </w:tc>
      </w:tr>
      <w:tr>
        <w:tc>
          <w:tcPr>
            <w:tcW w:type="dxa" w:w="2280"/>
          </w:tcPr>
          <w:p>
            <w:r/>
            <w:r>
              <w:rPr>
                <w:sz w:val="16"/>
              </w:rPr>
              <w:t>MAAC</w:t>
            </w:r>
          </w:p>
        </w:tc>
        <w:tc>
          <w:tcPr>
            <w:tcW w:type="dxa" w:w="2280"/>
          </w:tcPr>
          <w:p>
            <w:r/>
            <w:r>
              <w:rPr>
                <w:sz w:val="16"/>
              </w:rPr>
              <w:t>Off-policy con atencion</w:t>
            </w:r>
          </w:p>
        </w:tc>
        <w:tc>
          <w:tcPr>
            <w:tcW w:type="dxa" w:w="2280"/>
          </w:tcPr>
          <w:p>
            <w:r/>
            <w:r>
              <w:rPr>
                <w:sz w:val="16"/>
              </w:rPr>
              <w:t>Critico con atencion entre agentes</w:t>
            </w:r>
          </w:p>
        </w:tc>
        <w:tc>
          <w:tcPr>
            <w:tcW w:type="dxa" w:w="2280"/>
          </w:tcPr>
          <w:p>
            <w:r/>
            <w:r>
              <w:rPr>
                <w:sz w:val="16"/>
              </w:rPr>
              <w:t>Tratamiento VI completo, relevante para coordinacion selectiva.</w:t>
            </w:r>
          </w:p>
        </w:tc>
      </w:tr>
    </w:tbl>
    <w:p/>
    <w:p>
      <w:pPr>
        <w:pStyle w:val="Heading2"/>
      </w:pPr>
      <w:r>
        <w:t>2.3 Definicion de terminos</w:t>
      </w:r>
    </w:p>
    <w:p>
      <w:pPr>
        <w:spacing w:after="120" w:line="276" w:lineRule="auto"/>
        <w:jc w:val="both"/>
      </w:pPr>
      <w:r>
        <w:rPr>
          <w:b w:val="0"/>
          <w:i w:val="0"/>
        </w:rPr>
        <w:t>Se emplean las siguientes definiciones operativas: comunidad inteligente, DER, BESS, PV, EV, KPI, tratamiento experimental, MADRL, CityLearn v2, CityLearn v3 propuesto, Dec-POMDP, CTDE, observacion local, estado global, accion controlada, carga no controlada, recompensa cooperativa, flexibilidad energetica, emisiones de CO2 y costos energeticos.</w:t>
      </w:r>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jc w:val="both"/>
      </w:pPr>
      <w:r>
        <w:rPr>
          <w:b w:val="0"/>
          <w:i w:val="0"/>
        </w:rPr>
        <w:t>Este capitulo reporta la corrida canonica Colab/Drive (madrl_v3_20260627_164047) como evidencia principal y la corrida local v4 (5 episodios) como referencia historica. Los KPIs por edificio provienen del analisis multiobjetivo integrado (17 edificios × 3 algoritmos × 3 escenarios).</w:t>
      </w:r>
    </w:p>
    <w:p>
      <w:pPr>
        <w:pStyle w:val="Heading2"/>
      </w:pPr>
      <w:r>
        <w:t>5.1 Experimentos realizados</w:t>
      </w:r>
    </w:p>
    <w:p>
      <w:r>
        <w:rPr>
          <w:b/>
          <w:color w:val="595959"/>
          <w:sz w:val="19"/>
        </w:rPr>
        <w:t>Tabla 5.1. Cobertura de episodios auditada (episodes_recorded).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701"/>
            <w:shd w:val="clear" w:color="auto" w:fill="1F4E79"/>
          </w:tcPr>
          <w:p>
            <w:r/>
            <w:r>
              <w:rPr>
                <w:b/>
                <w:color w:val="FFFFFF"/>
                <w:sz w:val="18"/>
              </w:rPr>
              <w:t>Algoritmo</w:t>
            </w:r>
          </w:p>
        </w:tc>
        <w:tc>
          <w:tcPr>
            <w:tcW w:type="dxa" w:w="1247"/>
            <w:shd w:val="clear" w:color="auto" w:fill="1F4E79"/>
          </w:tcPr>
          <w:p>
            <w:r/>
            <w:r>
              <w:rPr>
                <w:b/>
                <w:color w:val="FFFFFF"/>
                <w:sz w:val="18"/>
              </w:rPr>
              <w:t>E1 ep.</w:t>
            </w:r>
          </w:p>
        </w:tc>
        <w:tc>
          <w:tcPr>
            <w:tcW w:type="dxa" w:w="1247"/>
            <w:shd w:val="clear" w:color="auto" w:fill="1F4E79"/>
          </w:tcPr>
          <w:p>
            <w:r/>
            <w:r>
              <w:rPr>
                <w:b/>
                <w:color w:val="FFFFFF"/>
                <w:sz w:val="18"/>
              </w:rPr>
              <w:t>E2 ep.</w:t>
            </w:r>
          </w:p>
        </w:tc>
        <w:tc>
          <w:tcPr>
            <w:tcW w:type="dxa" w:w="1247"/>
            <w:shd w:val="clear" w:color="auto" w:fill="1F4E79"/>
          </w:tcPr>
          <w:p>
            <w:r/>
            <w:r>
              <w:rPr>
                <w:b/>
                <w:color w:val="FFFFFF"/>
                <w:sz w:val="18"/>
              </w:rPr>
              <w:t>E3 ep.</w:t>
            </w:r>
          </w:p>
        </w:tc>
        <w:tc>
          <w:tcPr>
            <w:tcW w:type="dxa" w:w="3061"/>
            <w:shd w:val="clear" w:color="auto" w:fill="1F4E79"/>
          </w:tcPr>
          <w:p>
            <w:r/>
            <w:r>
              <w:rPr>
                <w:b/>
                <w:color w:val="FFFFFF"/>
                <w:sz w:val="18"/>
              </w:rPr>
              <w:t>KPIs finales</w:t>
            </w:r>
          </w:p>
        </w:tc>
      </w:tr>
      <w:tr>
        <w:tc>
          <w:tcPr>
            <w:tcW w:type="dxa" w:w="1701"/>
          </w:tcPr>
          <w:p>
            <w:r/>
            <w:r>
              <w:rPr>
                <w:sz w:val="18"/>
              </w:rPr>
              <w:t>MATD3</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MASAC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HAPPO</w:t>
            </w:r>
          </w:p>
        </w:tc>
        <w:tc>
          <w:tcPr>
            <w:tcW w:type="dxa" w:w="1247"/>
          </w:tcPr>
          <w:p>
            <w:r/>
            <w:r>
              <w:rPr>
                <w:sz w:val="18"/>
              </w:rPr>
              <w:t>49</w:t>
            </w:r>
          </w:p>
        </w:tc>
        <w:tc>
          <w:tcPr>
            <w:tcW w:type="dxa" w:w="1247"/>
          </w:tcPr>
          <w:p>
            <w:r/>
            <w:r>
              <w:rPr>
                <w:sz w:val="18"/>
              </w:rPr>
              <w:t>49</w:t>
            </w:r>
          </w:p>
        </w:tc>
        <w:tc>
          <w:tcPr>
            <w:tcW w:type="dxa" w:w="1247"/>
          </w:tcPr>
          <w:p>
            <w:r/>
            <w:r>
              <w:rPr>
                <w:sz w:val="18"/>
              </w:rPr>
              <w:t>49</w:t>
            </w:r>
          </w:p>
        </w:tc>
        <w:tc>
          <w:tcPr>
            <w:tcW w:type="dxa" w:w="3061"/>
          </w:tcPr>
          <w:p>
            <w:r/>
            <w:r>
              <w:rPr>
                <w:sz w:val="18"/>
              </w:rPr>
              <w:t>No (error VecEnvWrapper)</w:t>
            </w:r>
          </w:p>
        </w:tc>
      </w:tr>
    </w:tbl>
    <w:p/>
    <w:p>
      <w:pPr>
        <w:pStyle w:val="Heading2"/>
      </w:pPr>
      <w:r>
        <w:t>5.2 Seleccion del mejor MADRL (distrito)</w:t>
      </w:r>
    </w:p>
    <w:p>
      <w:pPr>
        <w:jc w:val="both"/>
      </w:pPr>
      <w:r>
        <w:rPr>
          <w:b/>
          <w:i w:val="0"/>
        </w:rPr>
        <w:t>Mejor algoritmo MADRL seleccionado: MATD3.</w:t>
      </w:r>
    </w:p>
    <w:p>
      <w:r>
        <w:rPr>
          <w:b/>
          <w:color w:val="595959"/>
          <w:sz w:val="19"/>
        </w:rPr>
        <w:t>Tabla 5.2. Ranking global Colab/Drive (best_madrl_report.json).</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417"/>
            <w:shd w:val="clear" w:color="auto" w:fill="1F4E79"/>
          </w:tcPr>
          <w:p>
            <w:r/>
            <w:r>
              <w:rPr>
                <w:b/>
                <w:color w:val="FFFFFF"/>
                <w:sz w:val="18"/>
              </w:rPr>
              <w:t>Score global</w:t>
            </w:r>
          </w:p>
        </w:tc>
        <w:tc>
          <w:tcPr>
            <w:tcW w:type="dxa" w:w="1020"/>
            <w:shd w:val="clear" w:color="auto" w:fill="1F4E79"/>
          </w:tcPr>
          <w:p>
            <w:r/>
            <w:r>
              <w:rPr>
                <w:b/>
                <w:color w:val="FFFFFF"/>
                <w:sz w:val="18"/>
              </w:rPr>
              <w:t>OE1</w:t>
            </w:r>
          </w:p>
        </w:tc>
        <w:tc>
          <w:tcPr>
            <w:tcW w:type="dxa" w:w="1020"/>
            <w:shd w:val="clear" w:color="auto" w:fill="1F4E79"/>
          </w:tcPr>
          <w:p>
            <w:r/>
            <w:r>
              <w:rPr>
                <w:b/>
                <w:color w:val="FFFFFF"/>
                <w:sz w:val="18"/>
              </w:rPr>
              <w:t>OE2</w:t>
            </w:r>
          </w:p>
        </w:tc>
        <w:tc>
          <w:tcPr>
            <w:tcW w:type="dxa" w:w="1020"/>
            <w:shd w:val="clear" w:color="auto" w:fill="1F4E79"/>
          </w:tcPr>
          <w:p>
            <w:r/>
            <w:r>
              <w:rPr>
                <w:b/>
                <w:color w:val="FFFFFF"/>
                <w:sz w:val="18"/>
              </w:rPr>
              <w:t>OE3</w:t>
            </w:r>
          </w:p>
        </w:tc>
        <w:tc>
          <w:tcPr>
            <w:tcW w:type="dxa" w:w="1417"/>
            <w:shd w:val="clear" w:color="auto" w:fill="1F4E79"/>
          </w:tcPr>
          <w:p>
            <w:r/>
            <w:r>
              <w:rPr>
                <w:b/>
                <w:color w:val="FFFFFF"/>
                <w:sz w:val="18"/>
              </w:rPr>
              <w:t>Seleccionado</w:t>
            </w:r>
          </w:p>
        </w:tc>
      </w:tr>
      <w:tr>
        <w:tc>
          <w:tcPr>
            <w:tcW w:type="dxa" w:w="850"/>
          </w:tcPr>
          <w:p>
            <w:r/>
            <w:r>
              <w:rPr>
                <w:sz w:val="18"/>
              </w:rPr>
              <w:t>1</w:t>
            </w:r>
          </w:p>
        </w:tc>
        <w:tc>
          <w:tcPr>
            <w:tcW w:type="dxa" w:w="1417"/>
          </w:tcPr>
          <w:p>
            <w:r/>
            <w:r>
              <w:rPr>
                <w:sz w:val="18"/>
              </w:rPr>
              <w:t>MATD3</w:t>
            </w:r>
          </w:p>
        </w:tc>
        <w:tc>
          <w:tcPr>
            <w:tcW w:type="dxa" w:w="1417"/>
          </w:tcPr>
          <w:p>
            <w:r/>
            <w:r>
              <w:rPr>
                <w:sz w:val="18"/>
              </w:rPr>
              <w:t>0.6667</w:t>
            </w:r>
          </w:p>
        </w:tc>
        <w:tc>
          <w:tcPr>
            <w:tcW w:type="dxa" w:w="1020"/>
          </w:tcPr>
          <w:p>
            <w:r/>
            <w:r>
              <w:rPr>
                <w:sz w:val="18"/>
              </w:rPr>
              <w:t>1.0000</w:t>
            </w:r>
          </w:p>
        </w:tc>
        <w:tc>
          <w:tcPr>
            <w:tcW w:type="dxa" w:w="1020"/>
          </w:tcPr>
          <w:p>
            <w:r/>
            <w:r>
              <w:rPr>
                <w:sz w:val="18"/>
              </w:rPr>
              <w:t>1.0000</w:t>
            </w:r>
          </w:p>
        </w:tc>
        <w:tc>
          <w:tcPr>
            <w:tcW w:type="dxa" w:w="1020"/>
          </w:tcPr>
          <w:p>
            <w:r/>
            <w:r>
              <w:rPr>
                <w:sz w:val="18"/>
              </w:rPr>
              <w:t>0.0000</w:t>
            </w:r>
          </w:p>
        </w:tc>
        <w:tc>
          <w:tcPr>
            <w:tcW w:type="dxa" w:w="1417"/>
          </w:tcPr>
          <w:p>
            <w:r/>
            <w:r>
              <w:rPr>
                <w:sz w:val="18"/>
              </w:rPr>
              <w:t>Si</w:t>
            </w:r>
          </w:p>
        </w:tc>
      </w:tr>
      <w:tr>
        <w:tc>
          <w:tcPr>
            <w:tcW w:type="dxa" w:w="850"/>
          </w:tcPr>
          <w:p>
            <w:r/>
            <w:r>
              <w:rPr>
                <w:sz w:val="18"/>
              </w:rPr>
              <w:t>2</w:t>
            </w:r>
          </w:p>
        </w:tc>
        <w:tc>
          <w:tcPr>
            <w:tcW w:type="dxa" w:w="1417"/>
          </w:tcPr>
          <w:p>
            <w:r/>
            <w:r>
              <w:rPr>
                <w:sz w:val="18"/>
              </w:rPr>
              <w:t>MAAC</w:t>
            </w:r>
          </w:p>
        </w:tc>
        <w:tc>
          <w:tcPr>
            <w:tcW w:type="dxa" w:w="1417"/>
          </w:tcPr>
          <w:p>
            <w:r/>
            <w:r>
              <w:rPr>
                <w:sz w:val="18"/>
              </w:rPr>
              <w:t>0.5706</w:t>
            </w:r>
          </w:p>
        </w:tc>
        <w:tc>
          <w:tcPr>
            <w:tcW w:type="dxa" w:w="1020"/>
          </w:tcPr>
          <w:p>
            <w:r/>
            <w:r>
              <w:rPr>
                <w:sz w:val="18"/>
              </w:rPr>
              <w:t>0.5837</w:t>
            </w:r>
          </w:p>
        </w:tc>
        <w:tc>
          <w:tcPr>
            <w:tcW w:type="dxa" w:w="1020"/>
          </w:tcPr>
          <w:p>
            <w:r/>
            <w:r>
              <w:rPr>
                <w:sz w:val="18"/>
              </w:rPr>
              <w:t>0.1282</w:t>
            </w:r>
          </w:p>
        </w:tc>
        <w:tc>
          <w:tcPr>
            <w:tcW w:type="dxa" w:w="1020"/>
          </w:tcPr>
          <w:p>
            <w:r/>
            <w:r>
              <w:rPr>
                <w:sz w:val="18"/>
              </w:rPr>
              <w:t>1.0000</w:t>
            </w:r>
          </w:p>
        </w:tc>
        <w:tc>
          <w:tcPr>
            <w:tcW w:type="dxa" w:w="1417"/>
          </w:tcPr>
          <w:p>
            <w:r/>
            <w:r>
              <w:rPr>
                <w:sz w:val="18"/>
              </w:rPr>
              <w:t>No</w:t>
            </w:r>
          </w:p>
        </w:tc>
      </w:tr>
      <w:tr>
        <w:tc>
          <w:tcPr>
            <w:tcW w:type="dxa" w:w="850"/>
          </w:tcPr>
          <w:p>
            <w:r/>
            <w:r>
              <w:rPr>
                <w:sz w:val="18"/>
              </w:rPr>
              <w:t>3</w:t>
            </w:r>
          </w:p>
        </w:tc>
        <w:tc>
          <w:tcPr>
            <w:tcW w:type="dxa" w:w="1417"/>
          </w:tcPr>
          <w:p>
            <w:r/>
            <w:r>
              <w:rPr>
                <w:sz w:val="18"/>
              </w:rPr>
              <w:t>MASAC</w:t>
            </w:r>
          </w:p>
        </w:tc>
        <w:tc>
          <w:tcPr>
            <w:tcW w:type="dxa" w:w="1417"/>
          </w:tcPr>
          <w:p>
            <w:r/>
            <w:r>
              <w:rPr>
                <w:sz w:val="18"/>
              </w:rPr>
              <w:t>0.2351</w:t>
            </w:r>
          </w:p>
        </w:tc>
        <w:tc>
          <w:tcPr>
            <w:tcW w:type="dxa" w:w="1020"/>
          </w:tcPr>
          <w:p>
            <w:r/>
            <w:r>
              <w:rPr>
                <w:sz w:val="18"/>
              </w:rPr>
              <w:t>0.0000</w:t>
            </w:r>
          </w:p>
        </w:tc>
        <w:tc>
          <w:tcPr>
            <w:tcW w:type="dxa" w:w="1020"/>
          </w:tcPr>
          <w:p>
            <w:r/>
            <w:r>
              <w:rPr>
                <w:sz w:val="18"/>
              </w:rPr>
              <w:t>0.0000</w:t>
            </w:r>
          </w:p>
        </w:tc>
        <w:tc>
          <w:tcPr>
            <w:tcW w:type="dxa" w:w="1020"/>
          </w:tcPr>
          <w:p>
            <w:r/>
            <w:r>
              <w:rPr>
                <w:sz w:val="18"/>
              </w:rPr>
              <w:t>0.7054</w:t>
            </w:r>
          </w:p>
        </w:tc>
        <w:tc>
          <w:tcPr>
            <w:tcW w:type="dxa" w:w="1417"/>
          </w:tcPr>
          <w:p>
            <w:r/>
            <w:r>
              <w:rPr>
                <w:sz w:val="18"/>
              </w:rPr>
              <w:t>No</w:t>
            </w:r>
          </w:p>
        </w:tc>
      </w:tr>
    </w:tbl>
    <w:p/>
    <w:p>
      <w:pPr>
        <w:pStyle w:val="Heading2"/>
      </w:pPr>
      <w:r>
        <w:t>5.3 KPIs fisicos por objetivo (distrito)</w:t>
      </w:r>
    </w:p>
    <w:p>
      <w:r>
        <w:rPr>
          <w:b/>
          <w:color w:val="595959"/>
          <w:sz w:val="19"/>
        </w:rPr>
        <w:t>Tabla 5.3. KPIs fisicos agregados de distrito.</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417"/>
            <w:shd w:val="clear" w:color="auto" w:fill="1F4E79"/>
          </w:tcPr>
          <w:p>
            <w:r/>
            <w:r>
              <w:rPr>
                <w:b/>
                <w:color w:val="FFFFFF"/>
                <w:sz w:val="18"/>
              </w:rPr>
              <w:t>Algoritmo</w:t>
            </w:r>
          </w:p>
        </w:tc>
        <w:tc>
          <w:tcPr>
            <w:tcW w:type="dxa" w:w="850"/>
            <w:shd w:val="clear" w:color="auto" w:fill="1F4E79"/>
          </w:tcPr>
          <w:p>
            <w:r/>
            <w:r>
              <w:rPr>
                <w:b/>
                <w:color w:val="FFFFFF"/>
                <w:sz w:val="18"/>
              </w:rPr>
              <w:t>Esc.</w:t>
            </w:r>
          </w:p>
        </w:tc>
        <w:tc>
          <w:tcPr>
            <w:tcW w:type="dxa" w:w="1417"/>
            <w:shd w:val="clear" w:color="auto" w:fill="1F4E79"/>
          </w:tcPr>
          <w:p>
            <w:r/>
            <w:r>
              <w:rPr>
                <w:b/>
                <w:color w:val="FFFFFF"/>
                <w:sz w:val="18"/>
              </w:rPr>
              <w:t>Flex comp.</w:t>
            </w:r>
          </w:p>
        </w:tc>
        <w:tc>
          <w:tcPr>
            <w:tcW w:type="dxa" w:w="1701"/>
            <w:shd w:val="clear" w:color="auto" w:fill="1F4E79"/>
          </w:tcPr>
          <w:p>
            <w:r/>
            <w:r>
              <w:rPr>
                <w:b/>
                <w:color w:val="FFFFFF"/>
                <w:sz w:val="18"/>
              </w:rPr>
              <w:t>Delta CO2 (kg)</w:t>
            </w:r>
          </w:p>
        </w:tc>
        <w:tc>
          <w:tcPr>
            <w:tcW w:type="dxa" w:w="1701"/>
            <w:shd w:val="clear" w:color="auto" w:fill="1F4E79"/>
          </w:tcPr>
          <w:p>
            <w:r/>
            <w:r>
              <w:rPr>
                <w:b/>
                <w:color w:val="FFFFFF"/>
                <w:sz w:val="18"/>
              </w:rPr>
              <w:t>Delta costo (EUR)</w:t>
            </w:r>
          </w:p>
        </w:tc>
        <w:tc>
          <w:tcPr>
            <w:tcW w:type="dxa" w:w="1417"/>
            <w:shd w:val="clear" w:color="auto" w:fill="1F4E79"/>
          </w:tcPr>
          <w:p>
            <w:r/>
            <w:r>
              <w:rPr>
                <w:b/>
                <w:color w:val="FFFFFF"/>
                <w:sz w:val="18"/>
              </w:rPr>
              <w:t>EV exito</w:t>
            </w:r>
          </w:p>
        </w:tc>
      </w:tr>
      <w:tr>
        <w:tc>
          <w:tcPr>
            <w:tcW w:type="dxa" w:w="1417"/>
          </w:tcPr>
          <w:p>
            <w:r/>
            <w:r>
              <w:rPr>
                <w:sz w:val="18"/>
              </w:rPr>
              <w:t>MASAC</w:t>
            </w:r>
          </w:p>
        </w:tc>
        <w:tc>
          <w:tcPr>
            <w:tcW w:type="dxa" w:w="850"/>
          </w:tcPr>
          <w:p>
            <w:r/>
            <w:r>
              <w:rPr>
                <w:sz w:val="18"/>
              </w:rPr>
              <w:t>E1</w:t>
            </w:r>
          </w:p>
        </w:tc>
        <w:tc>
          <w:tcPr>
            <w:tcW w:type="dxa" w:w="1417"/>
          </w:tcPr>
          <w:p>
            <w:r/>
            <w:r>
              <w:rPr>
                <w:sz w:val="18"/>
              </w:rPr>
              <w:t>1.0286</w:t>
            </w:r>
          </w:p>
        </w:tc>
        <w:tc>
          <w:tcPr>
            <w:tcW w:type="dxa" w:w="1701"/>
          </w:tcPr>
          <w:p>
            <w:r/>
            <w:r>
              <w:rPr>
                <w:sz w:val="18"/>
              </w:rPr>
              <w:t>81,227</w:t>
            </w:r>
          </w:p>
        </w:tc>
        <w:tc>
          <w:tcPr>
            <w:tcW w:type="dxa" w:w="1701"/>
          </w:tcPr>
          <w:p>
            <w:r/>
            <w:r>
              <w:rPr>
                <w:sz w:val="18"/>
              </w:rPr>
              <w:t>14,672</w:t>
            </w:r>
          </w:p>
        </w:tc>
        <w:tc>
          <w:tcPr>
            <w:tcW w:type="dxa" w:w="1417"/>
          </w:tcPr>
          <w:p>
            <w:r/>
            <w:r>
              <w:rPr>
                <w:sz w:val="18"/>
              </w:rPr>
              <w:t>3.9%</w:t>
            </w:r>
          </w:p>
        </w:tc>
      </w:tr>
      <w:tr>
        <w:tc>
          <w:tcPr>
            <w:tcW w:type="dxa" w:w="1417"/>
          </w:tcPr>
          <w:p>
            <w:r/>
            <w:r>
              <w:rPr>
                <w:sz w:val="18"/>
              </w:rPr>
              <w:t>MASAC</w:t>
            </w:r>
          </w:p>
        </w:tc>
        <w:tc>
          <w:tcPr>
            <w:tcW w:type="dxa" w:w="850"/>
          </w:tcPr>
          <w:p>
            <w:r/>
            <w:r>
              <w:rPr>
                <w:sz w:val="18"/>
              </w:rPr>
              <w:t>E2</w:t>
            </w:r>
          </w:p>
        </w:tc>
        <w:tc>
          <w:tcPr>
            <w:tcW w:type="dxa" w:w="1417"/>
          </w:tcPr>
          <w:p>
            <w:r/>
            <w:r>
              <w:rPr>
                <w:sz w:val="18"/>
              </w:rPr>
              <w:t>1.0318</w:t>
            </w:r>
          </w:p>
        </w:tc>
        <w:tc>
          <w:tcPr>
            <w:tcW w:type="dxa" w:w="1701"/>
          </w:tcPr>
          <w:p>
            <w:r/>
            <w:r>
              <w:rPr>
                <w:sz w:val="18"/>
              </w:rPr>
              <w:t>77,649</w:t>
            </w:r>
          </w:p>
        </w:tc>
        <w:tc>
          <w:tcPr>
            <w:tcW w:type="dxa" w:w="1701"/>
          </w:tcPr>
          <w:p>
            <w:r/>
            <w:r>
              <w:rPr>
                <w:sz w:val="18"/>
              </w:rPr>
              <w:t>15,020</w:t>
            </w:r>
          </w:p>
        </w:tc>
        <w:tc>
          <w:tcPr>
            <w:tcW w:type="dxa" w:w="1417"/>
          </w:tcPr>
          <w:p>
            <w:r/>
            <w:r>
              <w:rPr>
                <w:sz w:val="18"/>
              </w:rPr>
              <w:t>4.1%</w:t>
            </w:r>
          </w:p>
        </w:tc>
      </w:tr>
      <w:tr>
        <w:tc>
          <w:tcPr>
            <w:tcW w:type="dxa" w:w="1417"/>
          </w:tcPr>
          <w:p>
            <w:r/>
            <w:r>
              <w:rPr>
                <w:sz w:val="18"/>
              </w:rPr>
              <w:t>MASAC</w:t>
            </w:r>
          </w:p>
        </w:tc>
        <w:tc>
          <w:tcPr>
            <w:tcW w:type="dxa" w:w="850"/>
          </w:tcPr>
          <w:p>
            <w:r/>
            <w:r>
              <w:rPr>
                <w:sz w:val="18"/>
              </w:rPr>
              <w:t>E3</w:t>
            </w:r>
          </w:p>
        </w:tc>
        <w:tc>
          <w:tcPr>
            <w:tcW w:type="dxa" w:w="1417"/>
          </w:tcPr>
          <w:p>
            <w:r/>
            <w:r>
              <w:rPr>
                <w:sz w:val="18"/>
              </w:rPr>
              <w:t>1.0297</w:t>
            </w:r>
          </w:p>
        </w:tc>
        <w:tc>
          <w:tcPr>
            <w:tcW w:type="dxa" w:w="1701"/>
          </w:tcPr>
          <w:p>
            <w:r/>
            <w:r>
              <w:rPr>
                <w:sz w:val="18"/>
              </w:rPr>
              <w:t>90,900</w:t>
            </w:r>
          </w:p>
        </w:tc>
        <w:tc>
          <w:tcPr>
            <w:tcW w:type="dxa" w:w="1701"/>
          </w:tcPr>
          <w:p>
            <w:r/>
            <w:r>
              <w:rPr>
                <w:sz w:val="18"/>
              </w:rPr>
              <w:t>19,793</w:t>
            </w:r>
          </w:p>
        </w:tc>
        <w:tc>
          <w:tcPr>
            <w:tcW w:type="dxa" w:w="1417"/>
          </w:tcPr>
          <w:p>
            <w:r/>
            <w:r>
              <w:rPr>
                <w:sz w:val="18"/>
              </w:rPr>
              <w:t>4.1%</w:t>
            </w:r>
          </w:p>
        </w:tc>
      </w:tr>
      <w:tr>
        <w:tc>
          <w:tcPr>
            <w:tcW w:type="dxa" w:w="1417"/>
          </w:tcPr>
          <w:p>
            <w:r/>
            <w:r>
              <w:rPr>
                <w:sz w:val="18"/>
              </w:rPr>
              <w:t>MATD3</w:t>
            </w:r>
          </w:p>
        </w:tc>
        <w:tc>
          <w:tcPr>
            <w:tcW w:type="dxa" w:w="850"/>
          </w:tcPr>
          <w:p>
            <w:r/>
            <w:r>
              <w:rPr>
                <w:sz w:val="18"/>
              </w:rPr>
              <w:t>E1</w:t>
            </w:r>
          </w:p>
        </w:tc>
        <w:tc>
          <w:tcPr>
            <w:tcW w:type="dxa" w:w="1417"/>
          </w:tcPr>
          <w:p>
            <w:r/>
            <w:r>
              <w:rPr>
                <w:sz w:val="18"/>
              </w:rPr>
              <w:t>1.0009</w:t>
            </w:r>
          </w:p>
        </w:tc>
        <w:tc>
          <w:tcPr>
            <w:tcW w:type="dxa" w:w="1701"/>
          </w:tcPr>
          <w:p>
            <w:r/>
            <w:r>
              <w:rPr>
                <w:sz w:val="18"/>
              </w:rPr>
              <w:t>36,723</w:t>
            </w:r>
          </w:p>
        </w:tc>
        <w:tc>
          <w:tcPr>
            <w:tcW w:type="dxa" w:w="1701"/>
          </w:tcPr>
          <w:p>
            <w:r/>
            <w:r>
              <w:rPr>
                <w:sz w:val="18"/>
              </w:rPr>
              <w:t>33,075</w:t>
            </w:r>
          </w:p>
        </w:tc>
        <w:tc>
          <w:tcPr>
            <w:tcW w:type="dxa" w:w="1417"/>
          </w:tcPr>
          <w:p>
            <w:r/>
            <w:r>
              <w:rPr>
                <w:sz w:val="18"/>
              </w:rPr>
              <w:t>43.9%</w:t>
            </w:r>
          </w:p>
        </w:tc>
      </w:tr>
      <w:tr>
        <w:tc>
          <w:tcPr>
            <w:tcW w:type="dxa" w:w="1417"/>
          </w:tcPr>
          <w:p>
            <w:r/>
            <w:r>
              <w:rPr>
                <w:sz w:val="18"/>
              </w:rPr>
              <w:t>MATD3</w:t>
            </w:r>
          </w:p>
        </w:tc>
        <w:tc>
          <w:tcPr>
            <w:tcW w:type="dxa" w:w="850"/>
          </w:tcPr>
          <w:p>
            <w:r/>
            <w:r>
              <w:rPr>
                <w:sz w:val="18"/>
              </w:rPr>
              <w:t>E2</w:t>
            </w:r>
          </w:p>
        </w:tc>
        <w:tc>
          <w:tcPr>
            <w:tcW w:type="dxa" w:w="1417"/>
          </w:tcPr>
          <w:p>
            <w:r/>
            <w:r>
              <w:rPr>
                <w:sz w:val="18"/>
              </w:rPr>
              <w:t>1.0007</w:t>
            </w:r>
          </w:p>
        </w:tc>
        <w:tc>
          <w:tcPr>
            <w:tcW w:type="dxa" w:w="1701"/>
          </w:tcPr>
          <w:p>
            <w:r/>
            <w:r>
              <w:rPr>
                <w:sz w:val="18"/>
              </w:rPr>
              <w:t>23,070</w:t>
            </w:r>
          </w:p>
        </w:tc>
        <w:tc>
          <w:tcPr>
            <w:tcW w:type="dxa" w:w="1701"/>
          </w:tcPr>
          <w:p>
            <w:r/>
            <w:r>
              <w:rPr>
                <w:sz w:val="18"/>
              </w:rPr>
              <w:t>13,935</w:t>
            </w:r>
          </w:p>
        </w:tc>
        <w:tc>
          <w:tcPr>
            <w:tcW w:type="dxa" w:w="1417"/>
          </w:tcPr>
          <w:p>
            <w:r/>
            <w:r>
              <w:rPr>
                <w:sz w:val="18"/>
              </w:rPr>
              <w:t>36.4%</w:t>
            </w:r>
          </w:p>
        </w:tc>
      </w:tr>
      <w:tr>
        <w:tc>
          <w:tcPr>
            <w:tcW w:type="dxa" w:w="1417"/>
          </w:tcPr>
          <w:p>
            <w:r/>
            <w:r>
              <w:rPr>
                <w:sz w:val="18"/>
              </w:rPr>
              <w:t>MATD3</w:t>
            </w:r>
          </w:p>
        </w:tc>
        <w:tc>
          <w:tcPr>
            <w:tcW w:type="dxa" w:w="850"/>
          </w:tcPr>
          <w:p>
            <w:r/>
            <w:r>
              <w:rPr>
                <w:sz w:val="18"/>
              </w:rPr>
              <w:t>E3</w:t>
            </w:r>
          </w:p>
        </w:tc>
        <w:tc>
          <w:tcPr>
            <w:tcW w:type="dxa" w:w="1417"/>
          </w:tcPr>
          <w:p>
            <w:r/>
            <w:r>
              <w:rPr>
                <w:sz w:val="18"/>
              </w:rPr>
              <w:t>1.0006</w:t>
            </w:r>
          </w:p>
        </w:tc>
        <w:tc>
          <w:tcPr>
            <w:tcW w:type="dxa" w:w="1701"/>
          </w:tcPr>
          <w:p>
            <w:r/>
            <w:r>
              <w:rPr>
                <w:sz w:val="18"/>
              </w:rPr>
              <w:t>41,293</w:t>
            </w:r>
          </w:p>
        </w:tc>
        <w:tc>
          <w:tcPr>
            <w:tcW w:type="dxa" w:w="1701"/>
          </w:tcPr>
          <w:p>
            <w:r/>
            <w:r>
              <w:rPr>
                <w:sz w:val="18"/>
              </w:rPr>
              <w:t>44,399</w:t>
            </w:r>
          </w:p>
        </w:tc>
        <w:tc>
          <w:tcPr>
            <w:tcW w:type="dxa" w:w="1417"/>
          </w:tcPr>
          <w:p>
            <w:r/>
            <w:r>
              <w:rPr>
                <w:sz w:val="18"/>
              </w:rPr>
              <w:t>48.2%</w:t>
            </w:r>
          </w:p>
        </w:tc>
      </w:tr>
      <w:tr>
        <w:tc>
          <w:tcPr>
            <w:tcW w:type="dxa" w:w="1417"/>
          </w:tcPr>
          <w:p>
            <w:r/>
            <w:r>
              <w:rPr>
                <w:sz w:val="18"/>
              </w:rPr>
              <w:t>MAAC</w:t>
            </w:r>
          </w:p>
        </w:tc>
        <w:tc>
          <w:tcPr>
            <w:tcW w:type="dxa" w:w="850"/>
          </w:tcPr>
          <w:p>
            <w:r/>
            <w:r>
              <w:rPr>
                <w:sz w:val="18"/>
              </w:rPr>
              <w:t>E1</w:t>
            </w:r>
          </w:p>
        </w:tc>
        <w:tc>
          <w:tcPr>
            <w:tcW w:type="dxa" w:w="1417"/>
          </w:tcPr>
          <w:p>
            <w:r/>
            <w:r>
              <w:rPr>
                <w:sz w:val="18"/>
              </w:rPr>
              <w:t>1.0124</w:t>
            </w:r>
          </w:p>
        </w:tc>
        <w:tc>
          <w:tcPr>
            <w:tcW w:type="dxa" w:w="1701"/>
          </w:tcPr>
          <w:p>
            <w:r/>
            <w:r>
              <w:rPr>
                <w:sz w:val="18"/>
              </w:rPr>
              <w:t>38,566</w:t>
            </w:r>
          </w:p>
        </w:tc>
        <w:tc>
          <w:tcPr>
            <w:tcW w:type="dxa" w:w="1701"/>
          </w:tcPr>
          <w:p>
            <w:r/>
            <w:r>
              <w:rPr>
                <w:sz w:val="18"/>
              </w:rPr>
              <w:t>3,628</w:t>
            </w:r>
          </w:p>
        </w:tc>
        <w:tc>
          <w:tcPr>
            <w:tcW w:type="dxa" w:w="1417"/>
          </w:tcPr>
          <w:p>
            <w:r/>
            <w:r>
              <w:rPr>
                <w:sz w:val="18"/>
              </w:rPr>
              <w:t>4.2%</w:t>
            </w:r>
          </w:p>
        </w:tc>
      </w:tr>
      <w:tr>
        <w:tc>
          <w:tcPr>
            <w:tcW w:type="dxa" w:w="1417"/>
          </w:tcPr>
          <w:p>
            <w:r/>
            <w:r>
              <w:rPr>
                <w:sz w:val="18"/>
              </w:rPr>
              <w:t>MAAC</w:t>
            </w:r>
          </w:p>
        </w:tc>
        <w:tc>
          <w:tcPr>
            <w:tcW w:type="dxa" w:w="850"/>
          </w:tcPr>
          <w:p>
            <w:r/>
            <w:r>
              <w:rPr>
                <w:sz w:val="18"/>
              </w:rPr>
              <w:t>E2</w:t>
            </w:r>
          </w:p>
        </w:tc>
        <w:tc>
          <w:tcPr>
            <w:tcW w:type="dxa" w:w="1417"/>
          </w:tcPr>
          <w:p>
            <w:r/>
            <w:r>
              <w:rPr>
                <w:sz w:val="18"/>
              </w:rPr>
              <w:t>1.0172</w:t>
            </w:r>
          </w:p>
        </w:tc>
        <w:tc>
          <w:tcPr>
            <w:tcW w:type="dxa" w:w="1701"/>
          </w:tcPr>
          <w:p>
            <w:r/>
            <w:r>
              <w:rPr>
                <w:sz w:val="18"/>
              </w:rPr>
              <w:t>70,654</w:t>
            </w:r>
          </w:p>
        </w:tc>
        <w:tc>
          <w:tcPr>
            <w:tcW w:type="dxa" w:w="1701"/>
          </w:tcPr>
          <w:p>
            <w:r/>
            <w:r>
              <w:rPr>
                <w:sz w:val="18"/>
              </w:rPr>
              <w:t>13,275</w:t>
            </w:r>
          </w:p>
        </w:tc>
        <w:tc>
          <w:tcPr>
            <w:tcW w:type="dxa" w:w="1417"/>
          </w:tcPr>
          <w:p>
            <w:r/>
            <w:r>
              <w:rPr>
                <w:sz w:val="18"/>
              </w:rPr>
              <w:t>4.1%</w:t>
            </w:r>
          </w:p>
        </w:tc>
      </w:tr>
      <w:tr>
        <w:tc>
          <w:tcPr>
            <w:tcW w:type="dxa" w:w="1417"/>
          </w:tcPr>
          <w:p>
            <w:r/>
            <w:r>
              <w:rPr>
                <w:sz w:val="18"/>
              </w:rPr>
              <w:t>MAAC</w:t>
            </w:r>
          </w:p>
        </w:tc>
        <w:tc>
          <w:tcPr>
            <w:tcW w:type="dxa" w:w="850"/>
          </w:tcPr>
          <w:p>
            <w:r/>
            <w:r>
              <w:rPr>
                <w:sz w:val="18"/>
              </w:rPr>
              <w:t>E3</w:t>
            </w:r>
          </w:p>
        </w:tc>
        <w:tc>
          <w:tcPr>
            <w:tcW w:type="dxa" w:w="1417"/>
          </w:tcPr>
          <w:p>
            <w:r/>
            <w:r>
              <w:rPr>
                <w:sz w:val="18"/>
              </w:rPr>
              <w:t>1.0138</w:t>
            </w:r>
          </w:p>
        </w:tc>
        <w:tc>
          <w:tcPr>
            <w:tcW w:type="dxa" w:w="1701"/>
          </w:tcPr>
          <w:p>
            <w:r/>
            <w:r>
              <w:rPr>
                <w:sz w:val="18"/>
              </w:rPr>
              <w:t>73,411</w:t>
            </w:r>
          </w:p>
        </w:tc>
        <w:tc>
          <w:tcPr>
            <w:tcW w:type="dxa" w:w="1701"/>
          </w:tcPr>
          <w:p>
            <w:r/>
            <w:r>
              <w:rPr>
                <w:sz w:val="18"/>
              </w:rPr>
              <w:t>9,515</w:t>
            </w:r>
          </w:p>
        </w:tc>
        <w:tc>
          <w:tcPr>
            <w:tcW w:type="dxa" w:w="1417"/>
          </w:tcPr>
          <w:p>
            <w:r/>
            <w:r>
              <w:rPr>
                <w:sz w:val="18"/>
              </w:rPr>
              <w:t>4.1%</w:t>
            </w:r>
          </w:p>
        </w:tc>
      </w:tr>
    </w:tbl>
    <w:p/>
    <w:p>
      <w:pPr>
        <w:pStyle w:val="Heading2"/>
      </w:pPr>
      <w:r>
        <w:t>5.5 Figuras de entrenamiento (artefactos Drive reales)</w:t>
      </w:r>
    </w:p>
    <w:p>
      <w:pPr>
        <w:jc w:val="both"/>
      </w:pPr>
      <w:r>
        <w:rPr>
          <w:b w:val="0"/>
          <w:i w:val="0"/>
        </w:rPr>
        <w:t>Las siguientes figuras se generan exclusivamente desde timeseries.csv, trace.csv y results.json descargados de la corrida Colab/Drive (carpeta 1ihH6RqL2KpevfCQEUXj7PP1aS2QYssAX). No se utilizan datos sinteticos ni regeneracion desde episode_summaries.</w:t>
      </w:r>
    </w:p>
    <w:p>
      <w:r>
        <w:br w:type="page"/>
      </w:r>
    </w:p>
    <w:p>
      <w:r>
        <w:drawing>
          <wp:inline xmlns:a="http://schemas.openxmlformats.org/drawingml/2006/main" xmlns:pic="http://schemas.openxmlformats.org/drawingml/2006/picture">
            <wp:extent cx="5580000" cy="2536364"/>
            <wp:docPr id="1" name="Picture 1"/>
            <wp:cNvGraphicFramePr>
              <a:graphicFrameLocks noChangeAspect="1"/>
            </wp:cNvGraphicFramePr>
            <a:graphic>
              <a:graphicData uri="http://schemas.openxmlformats.org/drawingml/2006/picture">
                <pic:pic>
                  <pic:nvPicPr>
                    <pic:cNvPr id="0" name="comparativo_E1_convergence_reward_mean.png"/>
                    <pic:cNvPicPr/>
                  </pic:nvPicPr>
                  <pic:blipFill>
                    <a:blip r:embed="rId9"/>
                    <a:stretch>
                      <a:fillRect/>
                    </a:stretch>
                  </pic:blipFill>
                  <pic:spPr>
                    <a:xfrm>
                      <a:off x="0" y="0"/>
                      <a:ext cx="5580000" cy="2536364"/>
                    </a:xfrm>
                    <a:prstGeom prst="rect"/>
                  </pic:spPr>
                </pic:pic>
              </a:graphicData>
            </a:graphic>
          </wp:inline>
        </w:drawing>
      </w:r>
    </w:p>
    <w:p>
      <w:pPr>
        <w:jc w:val="center"/>
      </w:pPr>
      <w:r>
        <w:rPr>
          <w:i/>
          <w:color w:val="595959"/>
          <w:sz w:val="18"/>
        </w:rPr>
        <w:t>Figura 5.1. Convergencia E1 (reward_mean) — datos reales Drive.</w:t>
      </w:r>
    </w:p>
    <w:p/>
    <w:p>
      <w:r>
        <w:br w:type="page"/>
      </w:r>
    </w:p>
    <w:p>
      <w:r>
        <w:drawing>
          <wp:inline xmlns:a="http://schemas.openxmlformats.org/drawingml/2006/main" xmlns:pic="http://schemas.openxmlformats.org/drawingml/2006/picture">
            <wp:extent cx="5580000" cy="2536364"/>
            <wp:docPr id="2" name="Picture 2"/>
            <wp:cNvGraphicFramePr>
              <a:graphicFrameLocks noChangeAspect="1"/>
            </wp:cNvGraphicFramePr>
            <a:graphic>
              <a:graphicData uri="http://schemas.openxmlformats.org/drawingml/2006/picture">
                <pic:pic>
                  <pic:nvPicPr>
                    <pic:cNvPr id="0" name="comparativo_E2_convergence_reward_mean.png"/>
                    <pic:cNvPicPr/>
                  </pic:nvPicPr>
                  <pic:blipFill>
                    <a:blip r:embed="rId10"/>
                    <a:stretch>
                      <a:fillRect/>
                    </a:stretch>
                  </pic:blipFill>
                  <pic:spPr>
                    <a:xfrm>
                      <a:off x="0" y="0"/>
                      <a:ext cx="5580000" cy="2536364"/>
                    </a:xfrm>
                    <a:prstGeom prst="rect"/>
                  </pic:spPr>
                </pic:pic>
              </a:graphicData>
            </a:graphic>
          </wp:inline>
        </w:drawing>
      </w:r>
    </w:p>
    <w:p>
      <w:pPr>
        <w:jc w:val="center"/>
      </w:pPr>
      <w:r>
        <w:rPr>
          <w:i/>
          <w:color w:val="595959"/>
          <w:sz w:val="18"/>
        </w:rPr>
        <w:t>Figura 5.2. Convergencia E2 (reward_mean) — datos reales Drive.</w:t>
      </w:r>
    </w:p>
    <w:p/>
    <w:p>
      <w:r>
        <w:br w:type="page"/>
      </w:r>
    </w:p>
    <w:p>
      <w:r>
        <w:drawing>
          <wp:inline xmlns:a="http://schemas.openxmlformats.org/drawingml/2006/main" xmlns:pic="http://schemas.openxmlformats.org/drawingml/2006/picture">
            <wp:extent cx="5580000" cy="2536364"/>
            <wp:docPr id="3" name="Picture 3"/>
            <wp:cNvGraphicFramePr>
              <a:graphicFrameLocks noChangeAspect="1"/>
            </wp:cNvGraphicFramePr>
            <a:graphic>
              <a:graphicData uri="http://schemas.openxmlformats.org/drawingml/2006/picture">
                <pic:pic>
                  <pic:nvPicPr>
                    <pic:cNvPr id="0" name="comparativo_E3_convergence_reward_mean.png"/>
                    <pic:cNvPicPr/>
                  </pic:nvPicPr>
                  <pic:blipFill>
                    <a:blip r:embed="rId11"/>
                    <a:stretch>
                      <a:fillRect/>
                    </a:stretch>
                  </pic:blipFill>
                  <pic:spPr>
                    <a:xfrm>
                      <a:off x="0" y="0"/>
                      <a:ext cx="5580000" cy="2536364"/>
                    </a:xfrm>
                    <a:prstGeom prst="rect"/>
                  </pic:spPr>
                </pic:pic>
              </a:graphicData>
            </a:graphic>
          </wp:inline>
        </w:drawing>
      </w:r>
    </w:p>
    <w:p>
      <w:pPr>
        <w:jc w:val="center"/>
      </w:pPr>
      <w:r>
        <w:rPr>
          <w:i/>
          <w:color w:val="595959"/>
          <w:sz w:val="18"/>
        </w:rPr>
        <w:t>Figura 5.3. Convergencia E3 (reward_mean) — datos reales Drive.</w:t>
      </w:r>
    </w:p>
    <w:p/>
    <w:p>
      <w:r>
        <w:br w:type="page"/>
      </w:r>
    </w:p>
    <w:p>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comparativo_global_ranking_oe.png"/>
                    <pic:cNvPicPr/>
                  </pic:nvPicPr>
                  <pic:blipFill>
                    <a:blip r:embed="rId12"/>
                    <a:stretch>
                      <a:fillRect/>
                    </a:stretch>
                  </pic:blipFill>
                  <pic:spPr>
                    <a:xfrm>
                      <a:off x="0" y="0"/>
                      <a:ext cx="5580000" cy="2146154"/>
                    </a:xfrm>
                    <a:prstGeom prst="rect"/>
                  </pic:spPr>
                </pic:pic>
              </a:graphicData>
            </a:graphic>
          </wp:inline>
        </w:drawing>
      </w:r>
    </w:p>
    <w:p>
      <w:pPr>
        <w:jc w:val="center"/>
      </w:pPr>
      <w:r>
        <w:rPr>
          <w:i/>
          <w:color w:val="595959"/>
          <w:sz w:val="18"/>
        </w:rPr>
        <w:t>Figura 5.4. Ranking global OE1/OE2/OE3 (KPIs Drive).</w:t>
      </w:r>
    </w:p>
    <w:p/>
    <w:p>
      <w:r>
        <w:br w:type="page"/>
      </w:r>
    </w:p>
    <w:p>
      <w:r>
        <w:drawing>
          <wp:inline xmlns:a="http://schemas.openxmlformats.org/drawingml/2006/main" xmlns:pic="http://schemas.openxmlformats.org/drawingml/2006/picture">
            <wp:extent cx="5580000" cy="2232000"/>
            <wp:docPr id="5" name="Picture 5"/>
            <wp:cNvGraphicFramePr>
              <a:graphicFrameLocks noChangeAspect="1"/>
            </wp:cNvGraphicFramePr>
            <a:graphic>
              <a:graphicData uri="http://schemas.openxmlformats.org/drawingml/2006/picture">
                <pic:pic>
                  <pic:nvPicPr>
                    <pic:cNvPr id="0" name="comparativo_best_worst_por_escenario.png"/>
                    <pic:cNvPicPr/>
                  </pic:nvPicPr>
                  <pic:blipFill>
                    <a:blip r:embed="rId13"/>
                    <a:stretch>
                      <a:fillRect/>
                    </a:stretch>
                  </pic:blipFill>
                  <pic:spPr>
                    <a:xfrm>
                      <a:off x="0" y="0"/>
                      <a:ext cx="5580000" cy="2232000"/>
                    </a:xfrm>
                    <a:prstGeom prst="rect"/>
                  </pic:spPr>
                </pic:pic>
              </a:graphicData>
            </a:graphic>
          </wp:inline>
        </w:drawing>
      </w:r>
    </w:p>
    <w:p>
      <w:pPr>
        <w:jc w:val="center"/>
      </w:pPr>
      <w:r>
        <w:rPr>
          <w:i/>
          <w:color w:val="595959"/>
          <w:sz w:val="18"/>
        </w:rPr>
        <w:t>Figura 5.5. Mejor y peor MADRL por escenario.</w:t>
      </w:r>
    </w:p>
    <w:p/>
    <w:p>
      <w:r>
        <w:br w:type="page"/>
      </w:r>
    </w:p>
    <w:p>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comparativo_E1_OE1_kpi.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595959"/>
          <w:sz w:val="18"/>
        </w:rPr>
        <w:t>Figura 5.6. KPI OE1 flexibilidad — comparativa E1.</w:t>
      </w:r>
    </w:p>
    <w:p/>
    <w:p>
      <w:r>
        <w:br w:type="page"/>
      </w:r>
    </w:p>
    <w:p>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comparativo_E2_OE2_kpi.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595959"/>
          <w:sz w:val="18"/>
        </w:rPr>
        <w:t>Figura 5.7. KPI OE2 emisiones CO2 — comparativa E2.</w:t>
      </w:r>
    </w:p>
    <w:p/>
    <w:p>
      <w:r>
        <w:br w:type="page"/>
      </w:r>
    </w:p>
    <w:p>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comparativo_E3_OE3_kpi.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595959"/>
          <w:sz w:val="18"/>
        </w:rPr>
        <w:t>Figura 5.8. KPI OE3 costo energetico — comparativa E3.</w:t>
      </w:r>
    </w:p>
    <w:p/>
    <w:p>
      <w:r>
        <w:br w:type="page"/>
      </w:r>
    </w:p>
    <w:p>
      <w:r>
        <w:drawing>
          <wp:inline xmlns:a="http://schemas.openxmlformats.org/drawingml/2006/main" xmlns:pic="http://schemas.openxmlformats.org/drawingml/2006/picture">
            <wp:extent cx="5580000" cy="2325000"/>
            <wp:docPr id="9" name="Picture 9"/>
            <wp:cNvGraphicFramePr>
              <a:graphicFrameLocks noChangeAspect="1"/>
            </wp:cNvGraphicFramePr>
            <a:graphic>
              <a:graphicData uri="http://schemas.openxmlformats.org/drawingml/2006/picture">
                <pic:pic>
                  <pic:nvPicPr>
                    <pic:cNvPr id="0" name="comparativo_E2_control_trace.png"/>
                    <pic:cNvPicPr/>
                  </pic:nvPicPr>
                  <pic:blipFill>
                    <a:blip r:embed="rId17"/>
                    <a:stretch>
                      <a:fillRect/>
                    </a:stretch>
                  </pic:blipFill>
                  <pic:spPr>
                    <a:xfrm>
                      <a:off x="0" y="0"/>
                      <a:ext cx="5580000" cy="2325000"/>
                    </a:xfrm>
                    <a:prstGeom prst="rect"/>
                  </pic:spPr>
                </pic:pic>
              </a:graphicData>
            </a:graphic>
          </wp:inline>
        </w:drawing>
      </w:r>
    </w:p>
    <w:p>
      <w:pPr>
        <w:jc w:val="center"/>
      </w:pPr>
      <w:r>
        <w:rPr>
          <w:i/>
          <w:color w:val="595959"/>
          <w:sz w:val="18"/>
        </w:rPr>
        <w:t>Figura 5.9. Control MADRL por edificio (trace.csv) — E2.</w:t>
      </w:r>
    </w:p>
    <w:p/>
    <w:p>
      <w:pPr>
        <w:pStyle w:val="Heading2"/>
      </w:pPr>
      <w:r>
        <w:t>5.6 Analisis multiobjetivo por edificio</w:t>
      </w:r>
    </w:p>
    <w:p>
      <w:pPr>
        <w:jc w:val="both"/>
      </w:pPr>
      <w:r>
        <w:rPr>
          <w:b w:val="0"/>
          <w:i w:val="0"/>
        </w:rPr>
        <w:t>Se analizan 17 edificios institucionales/comerciales con inventario de 185 cargadores EV controlables (96 equipos Modo 3 doble toma). Elementos controlados: BESS, cargadores EV y carga desplazable; no controlados: carga base, refrigeracion/ACS modeladas y FV fija.</w:t>
      </w:r>
    </w:p>
    <w:p>
      <w:r>
        <w:rPr>
          <w:b/>
          <w:color w:val="595959"/>
          <w:sz w:val="19"/>
        </w:rPr>
        <w:t>Tabla 5.4. Inventario multiobjetivo (extracto B01–B08; completo en anexo CSV).</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850"/>
            <w:shd w:val="clear" w:color="auto" w:fill="1F4E79"/>
          </w:tcPr>
          <w:p>
            <w:r/>
            <w:r>
              <w:rPr>
                <w:b/>
                <w:color w:val="FFFFFF"/>
                <w:sz w:val="18"/>
              </w:rPr>
              <w:t>ID</w:t>
            </w:r>
          </w:p>
        </w:tc>
        <w:tc>
          <w:tcPr>
            <w:tcW w:type="dxa" w:w="3118"/>
            <w:shd w:val="clear" w:color="auto" w:fill="1F4E79"/>
          </w:tcPr>
          <w:p>
            <w:r/>
            <w:r>
              <w:rPr>
                <w:b/>
                <w:color w:val="FFFFFF"/>
                <w:sz w:val="18"/>
              </w:rPr>
              <w:t>Edificio</w:t>
            </w:r>
          </w:p>
        </w:tc>
        <w:tc>
          <w:tcPr>
            <w:tcW w:type="dxa" w:w="850"/>
            <w:shd w:val="clear" w:color="auto" w:fill="1F4E79"/>
          </w:tcPr>
          <w:p>
            <w:r/>
            <w:r>
              <w:rPr>
                <w:b/>
                <w:color w:val="FFFFFF"/>
                <w:sz w:val="18"/>
              </w:rPr>
              <w:t>EV</w:t>
            </w:r>
          </w:p>
        </w:tc>
        <w:tc>
          <w:tcPr>
            <w:tcW w:type="dxa" w:w="3685"/>
            <w:shd w:val="clear" w:color="auto" w:fill="1F4E79"/>
          </w:tcPr>
          <w:p>
            <w:r/>
            <w:r>
              <w:rPr>
                <w:b/>
                <w:color w:val="FFFFFF"/>
                <w:sz w:val="18"/>
              </w:rPr>
              <w:t>Controlados</w:t>
            </w:r>
          </w:p>
        </w:tc>
      </w:tr>
      <w:tr>
        <w:tc>
          <w:tcPr>
            <w:tcW w:type="dxa" w:w="850"/>
          </w:tcPr>
          <w:p>
            <w:r/>
            <w:r>
              <w:rPr>
                <w:sz w:val="18"/>
              </w:rPr>
              <w:t>B01</w:t>
            </w:r>
          </w:p>
        </w:tc>
        <w:tc>
          <w:tcPr>
            <w:tcW w:type="dxa" w:w="3118"/>
          </w:tcPr>
          <w:p>
            <w:r/>
            <w:r>
              <w:rPr>
                <w:sz w:val="18"/>
              </w:rPr>
              <w:t>ELECTRO ORIENTE S.A.</w:t>
            </w:r>
          </w:p>
        </w:tc>
        <w:tc>
          <w:tcPr>
            <w:tcW w:type="dxa" w:w="850"/>
          </w:tcPr>
          <w:p>
            <w:r/>
            <w:r>
              <w:rPr>
                <w:sz w:val="18"/>
              </w:rPr>
              <w:t>4</w:t>
            </w:r>
          </w:p>
        </w:tc>
        <w:tc>
          <w:tcPr>
            <w:tcW w:type="dxa" w:w="3685"/>
          </w:tcPr>
          <w:p>
            <w:r/>
            <w:r>
              <w:rPr>
                <w:sz w:val="18"/>
              </w:rPr>
              <w:t>BESS (electrical_storage) x1, Carga desplazab…</w:t>
            </w:r>
          </w:p>
        </w:tc>
      </w:tr>
      <w:tr>
        <w:tc>
          <w:tcPr>
            <w:tcW w:type="dxa" w:w="850"/>
          </w:tcPr>
          <w:p>
            <w:r/>
            <w:r>
              <w:rPr>
                <w:sz w:val="18"/>
              </w:rPr>
              <w:t>B02</w:t>
            </w:r>
          </w:p>
        </w:tc>
        <w:tc>
          <w:tcPr>
            <w:tcW w:type="dxa" w:w="3118"/>
          </w:tcPr>
          <w:p>
            <w:r/>
            <w:r>
              <w:rPr>
                <w:sz w:val="18"/>
              </w:rPr>
              <w:t>MUNICIPALIDAD DISTRITAL DE SAN JUAN</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B03</w:t>
            </w:r>
          </w:p>
        </w:tc>
        <w:tc>
          <w:tcPr>
            <w:tcW w:type="dxa" w:w="3118"/>
          </w:tcPr>
          <w:p>
            <w:r/>
            <w:r>
              <w:rPr>
                <w:sz w:val="18"/>
              </w:rPr>
              <w:t>AEROPUERTO INTERNACIONAL</w:t>
            </w:r>
          </w:p>
        </w:tc>
        <w:tc>
          <w:tcPr>
            <w:tcW w:type="dxa" w:w="850"/>
          </w:tcPr>
          <w:p>
            <w:r/>
            <w:r>
              <w:rPr>
                <w:sz w:val="18"/>
              </w:rPr>
              <w:t>8</w:t>
            </w:r>
          </w:p>
        </w:tc>
        <w:tc>
          <w:tcPr>
            <w:tcW w:type="dxa" w:w="3685"/>
          </w:tcPr>
          <w:p>
            <w:r/>
            <w:r>
              <w:rPr>
                <w:sz w:val="18"/>
              </w:rPr>
              <w:t>BESS (electrical_storage) x1, Carga desplazab…</w:t>
            </w:r>
          </w:p>
        </w:tc>
      </w:tr>
      <w:tr>
        <w:tc>
          <w:tcPr>
            <w:tcW w:type="dxa" w:w="850"/>
          </w:tcPr>
          <w:p>
            <w:r/>
            <w:r>
              <w:rPr>
                <w:sz w:val="18"/>
              </w:rPr>
              <w:t>B04</w:t>
            </w:r>
          </w:p>
        </w:tc>
        <w:tc>
          <w:tcPr>
            <w:tcW w:type="dxa" w:w="3118"/>
          </w:tcPr>
          <w:p>
            <w:r/>
            <w:r>
              <w:rPr>
                <w:sz w:val="18"/>
              </w:rPr>
              <w:t>HIPERMERCADOS TOTTUS ORIENTE SAC</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B05</w:t>
            </w:r>
          </w:p>
        </w:tc>
        <w:tc>
          <w:tcPr>
            <w:tcW w:type="dxa" w:w="3118"/>
          </w:tcPr>
          <w:p>
            <w:r/>
            <w:r>
              <w:rPr>
                <w:sz w:val="18"/>
              </w:rPr>
              <w:t>HOTEL PLAZA S.A.</w:t>
            </w:r>
          </w:p>
        </w:tc>
        <w:tc>
          <w:tcPr>
            <w:tcW w:type="dxa" w:w="850"/>
          </w:tcPr>
          <w:p>
            <w:r/>
            <w:r>
              <w:rPr>
                <w:sz w:val="18"/>
              </w:rPr>
              <w:t>3</w:t>
            </w:r>
          </w:p>
        </w:tc>
        <w:tc>
          <w:tcPr>
            <w:tcW w:type="dxa" w:w="3685"/>
          </w:tcPr>
          <w:p>
            <w:r/>
            <w:r>
              <w:rPr>
                <w:sz w:val="18"/>
              </w:rPr>
              <w:t>BESS (electrical_storage) x1, Carga desplazab…</w:t>
            </w:r>
          </w:p>
        </w:tc>
      </w:tr>
      <w:tr>
        <w:tc>
          <w:tcPr>
            <w:tcW w:type="dxa" w:w="850"/>
          </w:tcPr>
          <w:p>
            <w:r/>
            <w:r>
              <w:rPr>
                <w:sz w:val="18"/>
              </w:rPr>
              <w:t>B06</w:t>
            </w:r>
          </w:p>
        </w:tc>
        <w:tc>
          <w:tcPr>
            <w:tcW w:type="dxa" w:w="3118"/>
          </w:tcPr>
          <w:p>
            <w:r/>
            <w:r>
              <w:rPr>
                <w:sz w:val="18"/>
              </w:rPr>
              <w:t>MALL AVENTURA S.A.</w:t>
            </w:r>
          </w:p>
        </w:tc>
        <w:tc>
          <w:tcPr>
            <w:tcW w:type="dxa" w:w="850"/>
          </w:tcPr>
          <w:p>
            <w:r/>
            <w:r>
              <w:rPr>
                <w:sz w:val="18"/>
              </w:rPr>
              <w:t>32</w:t>
            </w:r>
          </w:p>
        </w:tc>
        <w:tc>
          <w:tcPr>
            <w:tcW w:type="dxa" w:w="3685"/>
          </w:tcPr>
          <w:p>
            <w:r/>
            <w:r>
              <w:rPr>
                <w:sz w:val="18"/>
              </w:rPr>
              <w:t>BESS (electrical_storage) x1, Carga desplazab…</w:t>
            </w:r>
          </w:p>
        </w:tc>
      </w:tr>
      <w:tr>
        <w:tc>
          <w:tcPr>
            <w:tcW w:type="dxa" w:w="850"/>
          </w:tcPr>
          <w:p>
            <w:r/>
            <w:r>
              <w:rPr>
                <w:sz w:val="18"/>
              </w:rPr>
              <w:t>B07</w:t>
            </w:r>
          </w:p>
        </w:tc>
        <w:tc>
          <w:tcPr>
            <w:tcW w:type="dxa" w:w="3118"/>
          </w:tcPr>
          <w:p>
            <w:r/>
            <w:r>
              <w:rPr>
                <w:sz w:val="18"/>
              </w:rPr>
              <w:t>UNAP-FACULTAD DE BIOLOGIA-AULAS</w:t>
            </w:r>
          </w:p>
        </w:tc>
        <w:tc>
          <w:tcPr>
            <w:tcW w:type="dxa" w:w="850"/>
          </w:tcPr>
          <w:p>
            <w:r/>
            <w:r>
              <w:rPr>
                <w:sz w:val="18"/>
              </w:rPr>
              <w:t>42</w:t>
            </w:r>
          </w:p>
        </w:tc>
        <w:tc>
          <w:tcPr>
            <w:tcW w:type="dxa" w:w="3685"/>
          </w:tcPr>
          <w:p>
            <w:r/>
            <w:r>
              <w:rPr>
                <w:sz w:val="18"/>
              </w:rPr>
              <w:t>BESS (electrical_storage) x1, Carga desplazab…</w:t>
            </w:r>
          </w:p>
        </w:tc>
      </w:tr>
      <w:tr>
        <w:tc>
          <w:tcPr>
            <w:tcW w:type="dxa" w:w="850"/>
          </w:tcPr>
          <w:p>
            <w:r/>
            <w:r>
              <w:rPr>
                <w:sz w:val="18"/>
              </w:rPr>
              <w:t>B08</w:t>
            </w:r>
          </w:p>
        </w:tc>
        <w:tc>
          <w:tcPr>
            <w:tcW w:type="dxa" w:w="3118"/>
          </w:tcPr>
          <w:p>
            <w:r/>
            <w:r>
              <w:rPr>
                <w:sz w:val="18"/>
              </w:rPr>
              <w:t>PNP- ESCUELA TECNICA SUPERIOR-IQUIT</w:t>
            </w:r>
          </w:p>
        </w:tc>
        <w:tc>
          <w:tcPr>
            <w:tcW w:type="dxa" w:w="850"/>
          </w:tcPr>
          <w:p>
            <w:r/>
            <w:r>
              <w:rPr>
                <w:sz w:val="18"/>
              </w:rPr>
              <w:t>17</w:t>
            </w:r>
          </w:p>
        </w:tc>
        <w:tc>
          <w:tcPr>
            <w:tcW w:type="dxa" w:w="3685"/>
          </w:tcPr>
          <w:p>
            <w:r/>
            <w:r>
              <w:rPr>
                <w:sz w:val="18"/>
              </w:rPr>
              <w:t>BESS (electrical_storage) x1, Carga desplazab…</w:t>
            </w:r>
          </w:p>
        </w:tc>
      </w:tr>
    </w:tbl>
    <w:p/>
    <w:p>
      <w:pPr>
        <w:pStyle w:val="Heading2"/>
      </w:pPr>
      <w:r>
        <w:t>5.7 Figuras multiobjetivo (distrito y edificio)</w:t>
      </w:r>
    </w:p>
    <w:p>
      <w:r>
        <w:br w:type="page"/>
      </w:r>
    </w:p>
    <w:p>
      <w:r>
        <w:drawing>
          <wp:inline xmlns:a="http://schemas.openxmlformats.org/drawingml/2006/main" xmlns:pic="http://schemas.openxmlformats.org/drawingml/2006/picture">
            <wp:extent cx="5580000" cy="1931538"/>
            <wp:docPr id="10" name="Picture 10"/>
            <wp:cNvGraphicFramePr>
              <a:graphicFrameLocks noChangeAspect="1"/>
            </wp:cNvGraphicFramePr>
            <a:graphic>
              <a:graphicData uri="http://schemas.openxmlformats.org/drawingml/2006/picture">
                <pic:pic>
                  <pic:nvPicPr>
                    <pic:cNvPr id="0" name="drive_district_objectives.png"/>
                    <pic:cNvPicPr/>
                  </pic:nvPicPr>
                  <pic:blipFill>
                    <a:blip r:embed="rId18"/>
                    <a:stretch>
                      <a:fillRect/>
                    </a:stretch>
                  </pic:blipFill>
                  <pic:spPr>
                    <a:xfrm>
                      <a:off x="0" y="0"/>
                      <a:ext cx="5580000" cy="1931538"/>
                    </a:xfrm>
                    <a:prstGeom prst="rect"/>
                  </pic:spPr>
                </pic:pic>
              </a:graphicData>
            </a:graphic>
          </wp:inline>
        </w:drawing>
      </w:r>
    </w:p>
    <w:p>
      <w:pPr>
        <w:jc w:val="center"/>
      </w:pPr>
      <w:r>
        <w:rPr>
          <w:i/>
          <w:color w:val="595959"/>
          <w:sz w:val="18"/>
        </w:rPr>
        <w:t>Figura 5.10. KPIs multiobjetivo — distrito.</w:t>
      </w:r>
    </w:p>
    <w:p/>
    <w:p>
      <w:r>
        <w:br w:type="page"/>
      </w:r>
    </w:p>
    <w:p>
      <w:r>
        <w:drawing>
          <wp:inline xmlns:a="http://schemas.openxmlformats.org/drawingml/2006/main" xmlns:pic="http://schemas.openxmlformats.org/drawingml/2006/picture">
            <wp:extent cx="5580000" cy="6975000"/>
            <wp:docPr id="11" name="Picture 11"/>
            <wp:cNvGraphicFramePr>
              <a:graphicFrameLocks noChangeAspect="1"/>
            </wp:cNvGraphicFramePr>
            <a:graphic>
              <a:graphicData uri="http://schemas.openxmlformats.org/drawingml/2006/picture">
                <pic:pic>
                  <pic:nvPicPr>
                    <pic:cNvPr id="0" name="drive_building_E1_flex_composite_proxy.png"/>
                    <pic:cNvPicPr/>
                  </pic:nvPicPr>
                  <pic:blipFill>
                    <a:blip r:embed="rId19"/>
                    <a:stretch>
                      <a:fillRect/>
                    </a:stretch>
                  </pic:blipFill>
                  <pic:spPr>
                    <a:xfrm>
                      <a:off x="0" y="0"/>
                      <a:ext cx="5580000" cy="6975000"/>
                    </a:xfrm>
                    <a:prstGeom prst="rect"/>
                  </pic:spPr>
                </pic:pic>
              </a:graphicData>
            </a:graphic>
          </wp:inline>
        </w:drawing>
      </w:r>
    </w:p>
    <w:p>
      <w:pPr>
        <w:jc w:val="center"/>
      </w:pPr>
      <w:r>
        <w:rPr>
          <w:i/>
          <w:color w:val="595959"/>
          <w:sz w:val="18"/>
        </w:rPr>
        <w:t>Figura 5.11. OE1 flexibilidad por edificio.</w:t>
      </w:r>
    </w:p>
    <w:p/>
    <w:p>
      <w:r>
        <w:br w:type="page"/>
      </w:r>
    </w:p>
    <w:p>
      <w:r>
        <w:drawing>
          <wp:inline xmlns:a="http://schemas.openxmlformats.org/drawingml/2006/main" xmlns:pic="http://schemas.openxmlformats.org/drawingml/2006/picture">
            <wp:extent cx="5580000" cy="6975000"/>
            <wp:docPr id="12" name="Picture 12"/>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0"/>
                    <a:stretch>
                      <a:fillRect/>
                    </a:stretch>
                  </pic:blipFill>
                  <pic:spPr>
                    <a:xfrm>
                      <a:off x="0" y="0"/>
                      <a:ext cx="5580000" cy="6975000"/>
                    </a:xfrm>
                    <a:prstGeom prst="rect"/>
                  </pic:spPr>
                </pic:pic>
              </a:graphicData>
            </a:graphic>
          </wp:inline>
        </w:drawing>
      </w:r>
    </w:p>
    <w:p>
      <w:pPr>
        <w:jc w:val="center"/>
      </w:pPr>
      <w:r>
        <w:rPr>
          <w:i/>
          <w:color w:val="595959"/>
          <w:sz w:val="18"/>
        </w:rPr>
        <w:t>Figura 5.12. OE2 delta CO2 por edificio.</w:t>
      </w:r>
    </w:p>
    <w:p/>
    <w:p>
      <w:r>
        <w:br w:type="page"/>
      </w:r>
    </w:p>
    <w:p>
      <w:r>
        <w:drawing>
          <wp:inline xmlns:a="http://schemas.openxmlformats.org/drawingml/2006/main" xmlns:pic="http://schemas.openxmlformats.org/drawingml/2006/picture">
            <wp:extent cx="5580000" cy="6975000"/>
            <wp:docPr id="13" name="Picture 13"/>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1"/>
                    <a:stretch>
                      <a:fillRect/>
                    </a:stretch>
                  </pic:blipFill>
                  <pic:spPr>
                    <a:xfrm>
                      <a:off x="0" y="0"/>
                      <a:ext cx="5580000" cy="6975000"/>
                    </a:xfrm>
                    <a:prstGeom prst="rect"/>
                  </pic:spPr>
                </pic:pic>
              </a:graphicData>
            </a:graphic>
          </wp:inline>
        </w:drawing>
      </w:r>
    </w:p>
    <w:p>
      <w:pPr>
        <w:jc w:val="center"/>
      </w:pPr>
      <w:r>
        <w:rPr>
          <w:i/>
          <w:color w:val="595959"/>
          <w:sz w:val="18"/>
        </w:rPr>
        <w:t>Figura 5.13. OE3 delta costo por edificio.</w:t>
      </w:r>
    </w:p>
    <w:p/>
    <w:p>
      <w:r>
        <w:br w:type="page"/>
      </w:r>
    </w:p>
    <w:p>
      <w:r>
        <w:drawing>
          <wp:inline xmlns:a="http://schemas.openxmlformats.org/drawingml/2006/main" xmlns:pic="http://schemas.openxmlformats.org/drawingml/2006/picture">
            <wp:extent cx="5580000" cy="1992857"/>
            <wp:docPr id="14" name="Picture 14"/>
            <wp:cNvGraphicFramePr>
              <a:graphicFrameLocks noChangeAspect="1"/>
            </wp:cNvGraphicFramePr>
            <a:graphic>
              <a:graphicData uri="http://schemas.openxmlformats.org/drawingml/2006/picture">
                <pic:pic>
                  <pic:nvPicPr>
                    <pic:cNvPr id="0" name="drive_building_ev_inventory.png"/>
                    <pic:cNvPicPr/>
                  </pic:nvPicPr>
                  <pic:blipFill>
                    <a:blip r:embed="rId22"/>
                    <a:stretch>
                      <a:fillRect/>
                    </a:stretch>
                  </pic:blipFill>
                  <pic:spPr>
                    <a:xfrm>
                      <a:off x="0" y="0"/>
                      <a:ext cx="5580000" cy="1992857"/>
                    </a:xfrm>
                    <a:prstGeom prst="rect"/>
                  </pic:spPr>
                </pic:pic>
              </a:graphicData>
            </a:graphic>
          </wp:inline>
        </w:drawing>
      </w:r>
    </w:p>
    <w:p>
      <w:pPr>
        <w:jc w:val="center"/>
      </w:pPr>
      <w:r>
        <w:rPr>
          <w:i/>
          <w:color w:val="595959"/>
          <w:sz w:val="18"/>
        </w:rPr>
        <w:t>Figura 5.14. Inventario EV por edificio.</w:t>
      </w:r>
    </w:p>
    <w:p/>
    <w:p>
      <w:r>
        <w:br w:type="page"/>
      </w:r>
    </w:p>
    <w:p>
      <w:r>
        <w:drawing>
          <wp:inline xmlns:a="http://schemas.openxmlformats.org/drawingml/2006/main" xmlns:pic="http://schemas.openxmlformats.org/drawingml/2006/picture">
            <wp:extent cx="5580000" cy="1992857"/>
            <wp:docPr id="15" name="Picture 15"/>
            <wp:cNvGraphicFramePr>
              <a:graphicFrameLocks noChangeAspect="1"/>
            </wp:cNvGraphicFramePr>
            <a:graphic>
              <a:graphicData uri="http://schemas.openxmlformats.org/drawingml/2006/picture">
                <pic:pic>
                  <pic:nvPicPr>
                    <pic:cNvPr id="0" name="drive_building_ev_success_matd3_e2.png"/>
                    <pic:cNvPicPr/>
                  </pic:nvPicPr>
                  <pic:blipFill>
                    <a:blip r:embed="rId23"/>
                    <a:stretch>
                      <a:fillRect/>
                    </a:stretch>
                  </pic:blipFill>
                  <pic:spPr>
                    <a:xfrm>
                      <a:off x="0" y="0"/>
                      <a:ext cx="5580000" cy="1992857"/>
                    </a:xfrm>
                    <a:prstGeom prst="rect"/>
                  </pic:spPr>
                </pic:pic>
              </a:graphicData>
            </a:graphic>
          </wp:inline>
        </w:drawing>
      </w:r>
    </w:p>
    <w:p>
      <w:pPr>
        <w:jc w:val="center"/>
      </w:pPr>
      <w:r>
        <w:rPr>
          <w:i/>
          <w:color w:val="595959"/>
          <w:sz w:val="18"/>
        </w:rPr>
        <w:t>Figura 5.15. Desempeno EV — MATD3/E2.</w:t>
      </w:r>
    </w:p>
    <w:p/>
    <w:p>
      <w:pPr>
        <w:pStyle w:val="Heading2"/>
      </w:pPr>
      <w:r>
        <w:t>5.8 Pruebas estadisticas</w:t>
      </w:r>
    </w:p>
    <w:p>
      <w:pPr>
        <w:jc w:val="both"/>
      </w:pPr>
      <w:r>
        <w:rPr>
          <w:b w:val="0"/>
          <w:i w:val="0"/>
        </w:rPr>
        <w:t>La bateria inferencial se ejecuto localmente sobre KPIs auditados de la corrida Colab/Drive (madrl_v3_20260627_164047) con tools/run_colab_drive_statistical_analysis.py (231 filas signed_relative_gain; MATD3, MAAC, MASAC; HAPPO excluido sin KPIs). La corrida local v4 (5 ep, 4 algoritmos) se conserva solo como referencia historica.</w:t>
      </w:r>
    </w:p>
    <w:p>
      <w:r>
        <w:rPr>
          <w:b/>
          <w:color w:val="595959"/>
          <w:sz w:val="19"/>
        </w:rPr>
        <w:t>Tabla 5.5. Contrastacion inferencial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Alcance</w:t>
            </w:r>
          </w:p>
        </w:tc>
        <w:tc>
          <w:tcPr>
            <w:tcW w:type="dxa" w:w="1701"/>
            <w:shd w:val="clear" w:color="auto" w:fill="1F4E79"/>
          </w:tcPr>
          <w:p>
            <w:r/>
            <w:r>
              <w:rPr>
                <w:b/>
                <w:color w:val="FFFFFF"/>
                <w:sz w:val="18"/>
              </w:rPr>
              <w:t>Prueba</w:t>
            </w:r>
          </w:p>
        </w:tc>
        <w:tc>
          <w:tcPr>
            <w:tcW w:type="dxa" w:w="1984"/>
            <w:shd w:val="clear" w:color="auto" w:fill="1F4E79"/>
          </w:tcPr>
          <w:p>
            <w:r/>
            <w:r>
              <w:rPr>
                <w:b/>
                <w:color w:val="FFFFFF"/>
                <w:sz w:val="18"/>
              </w:rPr>
              <w:t>Estadistico / p</w:t>
            </w:r>
          </w:p>
        </w:tc>
        <w:tc>
          <w:tcPr>
            <w:tcW w:type="dxa" w:w="2268"/>
            <w:shd w:val="clear" w:color="auto" w:fill="1F4E79"/>
          </w:tcPr>
          <w:p>
            <w:r/>
            <w:r>
              <w:rPr>
                <w:b/>
                <w:color w:val="FFFFFF"/>
                <w:sz w:val="18"/>
              </w:rPr>
              <w:t>Decision alpha=0.05</w:t>
            </w:r>
          </w:p>
        </w:tc>
      </w:tr>
      <w:tr>
        <w:tc>
          <w:tcPr>
            <w:tcW w:type="dxa" w:w="1984"/>
          </w:tcPr>
          <w:p>
            <w:r/>
            <w:r>
              <w:rPr>
                <w:sz w:val="18"/>
              </w:rPr>
              <w:t>Colab ALL (KPI-level)</w:t>
            </w:r>
          </w:p>
        </w:tc>
        <w:tc>
          <w:tcPr>
            <w:tcW w:type="dxa" w:w="1701"/>
          </w:tcPr>
          <w:p>
            <w:r/>
            <w:r>
              <w:rPr>
                <w:sz w:val="18"/>
              </w:rPr>
              <w:t>Shapiro-Wilk</w:t>
            </w:r>
          </w:p>
        </w:tc>
        <w:tc>
          <w:tcPr>
            <w:tcW w:type="dxa" w:w="1984"/>
          </w:tcPr>
          <w:p>
            <w:r/>
            <w:r>
              <w:rPr>
                <w:sz w:val="18"/>
              </w:rPr>
              <w:t>MASAC/MATD3/MAAC: p&lt;1e-11</w:t>
            </w:r>
          </w:p>
        </w:tc>
        <w:tc>
          <w:tcPr>
            <w:tcW w:type="dxa" w:w="2268"/>
          </w:tcPr>
          <w:p>
            <w:r/>
            <w:r>
              <w:rPr>
                <w:sz w:val="18"/>
              </w:rPr>
              <w:t>No normal → no parametricos</w:t>
            </w:r>
          </w:p>
        </w:tc>
      </w:tr>
      <w:tr>
        <w:tc>
          <w:tcPr>
            <w:tcW w:type="dxa" w:w="1984"/>
          </w:tcPr>
          <w:p>
            <w:r/>
            <w:r>
              <w:rPr>
                <w:sz w:val="18"/>
              </w:rPr>
              <w:t>Colab ALL (KPI-level)</w:t>
            </w:r>
          </w:p>
        </w:tc>
        <w:tc>
          <w:tcPr>
            <w:tcW w:type="dxa" w:w="1701"/>
          </w:tcPr>
          <w:p>
            <w:r/>
            <w:r>
              <w:rPr>
                <w:sz w:val="18"/>
              </w:rPr>
              <w:t>Kruskal-Wallis</w:t>
            </w:r>
          </w:p>
        </w:tc>
        <w:tc>
          <w:tcPr>
            <w:tcW w:type="dxa" w:w="1984"/>
          </w:tcPr>
          <w:p>
            <w:r/>
            <w:r>
              <w:rPr>
                <w:sz w:val="18"/>
              </w:rPr>
              <w:t>H=3.72, p=0.155</w:t>
            </w:r>
          </w:p>
        </w:tc>
        <w:tc>
          <w:tcPr>
            <w:tcW w:type="dxa" w:w="2268"/>
          </w:tcPr>
          <w:p>
            <w:r/>
            <w:r>
              <w:rPr>
                <w:sz w:val="18"/>
              </w:rPr>
              <w:t>No rechaza H0 global</w:t>
            </w:r>
          </w:p>
        </w:tc>
      </w:tr>
      <w:tr>
        <w:tc>
          <w:tcPr>
            <w:tcW w:type="dxa" w:w="1984"/>
          </w:tcPr>
          <w:p>
            <w:r/>
            <w:r>
              <w:rPr>
                <w:sz w:val="18"/>
              </w:rPr>
              <w:t>Colab ALL (KPI-level)</w:t>
            </w:r>
          </w:p>
        </w:tc>
        <w:tc>
          <w:tcPr>
            <w:tcW w:type="dxa" w:w="1701"/>
          </w:tcPr>
          <w:p>
            <w:r/>
            <w:r>
              <w:rPr>
                <w:sz w:val="18"/>
              </w:rPr>
              <w:t>Wilcoxon SR</w:t>
            </w:r>
          </w:p>
        </w:tc>
        <w:tc>
          <w:tcPr>
            <w:tcW w:type="dxa" w:w="1984"/>
          </w:tcPr>
          <w:p>
            <w:r/>
            <w:r>
              <w:rPr>
                <w:sz w:val="18"/>
              </w:rPr>
              <w:t>MASAC vs MATD3: p=0.0049</w:t>
            </w:r>
          </w:p>
        </w:tc>
        <w:tc>
          <w:tcPr>
            <w:tcW w:type="dxa" w:w="2268"/>
          </w:tcPr>
          <w:p>
            <w:r/>
            <w:r>
              <w:rPr>
                <w:sz w:val="18"/>
              </w:rPr>
              <w:t>Significativo (pareado)</w:t>
            </w:r>
          </w:p>
        </w:tc>
      </w:tr>
      <w:tr>
        <w:tc>
          <w:tcPr>
            <w:tcW w:type="dxa" w:w="1984"/>
          </w:tcPr>
          <w:p>
            <w:r/>
            <w:r>
              <w:rPr>
                <w:sz w:val="18"/>
              </w:rPr>
              <w:t>Colab ALL (KPI-level)</w:t>
            </w:r>
          </w:p>
        </w:tc>
        <w:tc>
          <w:tcPr>
            <w:tcW w:type="dxa" w:w="1701"/>
          </w:tcPr>
          <w:p>
            <w:r/>
            <w:r>
              <w:rPr>
                <w:sz w:val="18"/>
              </w:rPr>
              <w:t>Mann-Whitney U</w:t>
            </w:r>
          </w:p>
        </w:tc>
        <w:tc>
          <w:tcPr>
            <w:tcW w:type="dxa" w:w="1984"/>
          </w:tcPr>
          <w:p>
            <w:r/>
            <w:r>
              <w:rPr>
                <w:sz w:val="18"/>
              </w:rPr>
              <w:t>MASAC vs MATD3: p=0.070</w:t>
            </w:r>
          </w:p>
        </w:tc>
        <w:tc>
          <w:tcPr>
            <w:tcW w:type="dxa" w:w="2268"/>
          </w:tcPr>
          <w:p>
            <w:r/>
            <w:r>
              <w:rPr>
                <w:sz w:val="18"/>
              </w:rPr>
              <w:t>No significativo (0.05)</w:t>
            </w:r>
          </w:p>
        </w:tc>
      </w:tr>
      <w:tr>
        <w:tc>
          <w:tcPr>
            <w:tcW w:type="dxa" w:w="1984"/>
          </w:tcPr>
          <w:p>
            <w:r/>
            <w:r>
              <w:rPr>
                <w:sz w:val="18"/>
              </w:rPr>
              <w:t>Colab OE1</w:t>
            </w:r>
          </w:p>
        </w:tc>
        <w:tc>
          <w:tcPr>
            <w:tcW w:type="dxa" w:w="1701"/>
          </w:tcPr>
          <w:p>
            <w:r/>
            <w:r>
              <w:rPr>
                <w:sz w:val="18"/>
              </w:rPr>
              <w:t>Kruskal-Wallis</w:t>
            </w:r>
          </w:p>
        </w:tc>
        <w:tc>
          <w:tcPr>
            <w:tcW w:type="dxa" w:w="1984"/>
          </w:tcPr>
          <w:p>
            <w:r/>
            <w:r>
              <w:rPr>
                <w:sz w:val="18"/>
              </w:rPr>
              <w:t>p=0.281</w:t>
            </w:r>
          </w:p>
        </w:tc>
        <w:tc>
          <w:tcPr>
            <w:tcW w:type="dxa" w:w="2268"/>
          </w:tcPr>
          <w:p>
            <w:r/>
            <w:r>
              <w:rPr>
                <w:sz w:val="18"/>
              </w:rPr>
              <w:t>No significativo</w:t>
            </w:r>
          </w:p>
        </w:tc>
      </w:tr>
      <w:tr>
        <w:tc>
          <w:tcPr>
            <w:tcW w:type="dxa" w:w="1984"/>
          </w:tcPr>
          <w:p>
            <w:r/>
            <w:r>
              <w:rPr>
                <w:sz w:val="18"/>
              </w:rPr>
              <w:t>Colab OE2</w:t>
            </w:r>
          </w:p>
        </w:tc>
        <w:tc>
          <w:tcPr>
            <w:tcW w:type="dxa" w:w="1701"/>
          </w:tcPr>
          <w:p>
            <w:r/>
            <w:r>
              <w:rPr>
                <w:sz w:val="18"/>
              </w:rPr>
              <w:t>Kruskal-Wallis</w:t>
            </w:r>
          </w:p>
        </w:tc>
        <w:tc>
          <w:tcPr>
            <w:tcW w:type="dxa" w:w="1984"/>
          </w:tcPr>
          <w:p>
            <w:r/>
            <w:r>
              <w:rPr>
                <w:sz w:val="18"/>
              </w:rPr>
              <w:t>p=0.546</w:t>
            </w:r>
          </w:p>
        </w:tc>
        <w:tc>
          <w:tcPr>
            <w:tcW w:type="dxa" w:w="2268"/>
          </w:tcPr>
          <w:p>
            <w:r/>
            <w:r>
              <w:rPr>
                <w:sz w:val="18"/>
              </w:rPr>
              <w:t>No significativo</w:t>
            </w:r>
          </w:p>
        </w:tc>
      </w:tr>
      <w:tr>
        <w:tc>
          <w:tcPr>
            <w:tcW w:type="dxa" w:w="1984"/>
          </w:tcPr>
          <w:p>
            <w:r/>
            <w:r>
              <w:rPr>
                <w:sz w:val="18"/>
              </w:rPr>
              <w:t>Colab OE3</w:t>
            </w:r>
          </w:p>
        </w:tc>
        <w:tc>
          <w:tcPr>
            <w:tcW w:type="dxa" w:w="1701"/>
          </w:tcPr>
          <w:p>
            <w:r/>
            <w:r>
              <w:rPr>
                <w:sz w:val="18"/>
              </w:rPr>
              <w:t>Kruskal-Wallis</w:t>
            </w:r>
          </w:p>
        </w:tc>
        <w:tc>
          <w:tcPr>
            <w:tcW w:type="dxa" w:w="1984"/>
          </w:tcPr>
          <w:p>
            <w:r/>
            <w:r>
              <w:rPr>
                <w:sz w:val="18"/>
              </w:rPr>
              <w:t>p=0.388</w:t>
            </w:r>
          </w:p>
        </w:tc>
        <w:tc>
          <w:tcPr>
            <w:tcW w:type="dxa" w:w="2268"/>
          </w:tcPr>
          <w:p>
            <w:r/>
            <w:r>
              <w:rPr>
                <w:sz w:val="18"/>
              </w:rPr>
              <w:t>No significativo</w:t>
            </w:r>
          </w:p>
        </w:tc>
      </w:tr>
      <w:tr>
        <w:tc>
          <w:tcPr>
            <w:tcW w:type="dxa" w:w="1984"/>
          </w:tcPr>
          <w:p>
            <w:r/>
            <w:r>
              <w:rPr>
                <w:sz w:val="18"/>
              </w:rPr>
              <w:t>Score escenario (3x3)</w:t>
            </w:r>
          </w:p>
        </w:tc>
        <w:tc>
          <w:tcPr>
            <w:tcW w:type="dxa" w:w="1701"/>
          </w:tcPr>
          <w:p>
            <w:r/>
            <w:r>
              <w:rPr>
                <w:sz w:val="18"/>
              </w:rPr>
              <w:t>Kruskal-Wallis</w:t>
            </w:r>
          </w:p>
        </w:tc>
        <w:tc>
          <w:tcPr>
            <w:tcW w:type="dxa" w:w="1984"/>
          </w:tcPr>
          <w:p>
            <w:r/>
            <w:r>
              <w:rPr>
                <w:sz w:val="18"/>
              </w:rPr>
              <w:t>H=4.36, p=0.113</w:t>
            </w:r>
          </w:p>
        </w:tc>
        <w:tc>
          <w:tcPr>
            <w:tcW w:type="dxa" w:w="2268"/>
          </w:tcPr>
          <w:p>
            <w:r/>
            <w:r>
              <w:rPr>
                <w:sz w:val="18"/>
              </w:rPr>
              <w:t>No significativo</w:t>
            </w:r>
          </w:p>
        </w:tc>
      </w:tr>
      <w:tr>
        <w:tc>
          <w:tcPr>
            <w:tcW w:type="dxa" w:w="1984"/>
          </w:tcPr>
          <w:p>
            <w:r/>
            <w:r>
              <w:rPr>
                <w:sz w:val="18"/>
              </w:rPr>
              <w:t>Local v4 (referencia)</w:t>
            </w:r>
          </w:p>
        </w:tc>
        <w:tc>
          <w:tcPr>
            <w:tcW w:type="dxa" w:w="1701"/>
          </w:tcPr>
          <w:p>
            <w:r/>
            <w:r>
              <w:rPr>
                <w:sz w:val="18"/>
              </w:rPr>
              <w:t>Kruskal-Wallis</w:t>
            </w:r>
          </w:p>
        </w:tc>
        <w:tc>
          <w:tcPr>
            <w:tcW w:type="dxa" w:w="1984"/>
          </w:tcPr>
          <w:p>
            <w:r/>
            <w:r>
              <w:rPr>
                <w:sz w:val="18"/>
              </w:rPr>
              <w:t>p=0.0459</w:t>
            </w:r>
          </w:p>
        </w:tc>
        <w:tc>
          <w:tcPr>
            <w:tcW w:type="dxa" w:w="2268"/>
          </w:tcPr>
          <w:p>
            <w:r/>
            <w:r>
              <w:rPr>
                <w:sz w:val="18"/>
              </w:rPr>
              <w:t>Significativo (5 ep, exploratorio)</w:t>
            </w:r>
          </w:p>
        </w:tc>
      </w:tr>
    </w:tbl>
    <w:p/>
    <w:p>
      <w:pPr>
        <w:jc w:val="both"/>
      </w:pPr>
      <w:r>
        <w:rPr>
          <w:b w:val="0"/>
          <w:i w:val="0"/>
        </w:rPr>
        <w:t>Interpretacion: el ranking descriptivo Colab (MATD3 score global 0.6667) se sostiene por KPIs de distrito y edificio; la significancia global KW sobre KPI-gains no alcanza alpha=0.05 con una semilla y sin HAPPO. Wilcoxon pareado detecta diferencia MASAC-MATD3 en el agregado ALL. Se requiere multi-semilla para elevar conclusiones causales (Colas et al., 2019).</w:t>
      </w:r>
    </w:p>
    <w:p>
      <w:pPr>
        <w:pStyle w:val="Heading2"/>
      </w:pPr>
      <w:r>
        <w:t>5.9 Discusion</w:t>
      </w:r>
    </w:p>
    <w:p>
      <w:pPr>
        <w:jc w:val="both"/>
      </w:pPr>
      <w:r>
        <w:rPr>
          <w:b w:val="0"/>
          <w:i w:val="0"/>
        </w:rPr>
        <w:t>MATD3 domina flexibilidad y emisiones en la corrida canonica, con mayor tasa de exito EV que MASAC/MAAC. MAAC es competitivo en costo energetico del distrito. El analisis por edificio revela heterogeneidad estructural (B06 Mall: 32 EV; B07 UNAP: 42 EV). La interpretacion exige frontera de Pareto por eje, no solo score global. HAPPO requiere re-evaluacion tras corregir VecEnvWrapper.</w:t>
      </w:r>
    </w:p>
    <w:p>
      <w:r>
        <w:br w:type="page"/>
      </w:r>
    </w:p>
    <w:p>
      <w:pPr>
        <w:pStyle w:val="Heading1"/>
      </w:pPr>
      <w:r>
        <w:t>Capitulo 6. Conclusiones y trabajo futuro</w:t>
      </w:r>
    </w:p>
    <w:p>
      <w:pPr>
        <w:pStyle w:val="Heading2"/>
      </w:pPr>
      <w:r>
        <w:t>6.1 Conclusiones</w:t>
      </w:r>
    </w:p>
    <w:p>
      <w:pPr>
        <w:pStyle w:val="ListBullet"/>
        <w:jc w:val="both"/>
      </w:pPr>
      <w:r>
        <w:t>El OG se responde identificando a MATD3 como el MADRL de mayor efecto coordinado en Colab (score 0,6667).</w:t>
      </w:r>
    </w:p>
    <w:p>
      <w:pPr>
        <w:pStyle w:val="ListBullet"/>
        <w:jc w:val="both"/>
      </w:pPr>
      <w:r>
        <w:t>OE.1 y OE.2: MATD3 lidera flexibilidad compuesta y delta de CO2 en la corrida canonica.</w:t>
      </w:r>
    </w:p>
    <w:p>
      <w:pPr>
        <w:pStyle w:val="ListBullet"/>
        <w:jc w:val="both"/>
      </w:pPr>
      <w:r>
        <w:t>OE.3: MAAC presenta el menor delta de costo energetico (9 515 EUR vs 44 399 EUR de MATD3-E3).</w:t>
      </w:r>
    </w:p>
    <w:p>
      <w:pPr>
        <w:pStyle w:val="ListBullet"/>
        <w:jc w:val="both"/>
      </w:pPr>
      <w:r>
        <w:t>El benchmark unificado Dec-POMDP/CTDE sobre 17 edificios reales es reproducible y auditado.</w:t>
      </w:r>
    </w:p>
    <w:p>
      <w:pPr>
        <w:pStyle w:val="Heading2"/>
      </w:pPr>
      <w:r>
        <w:t>6.2 Limitaciones</w:t>
      </w:r>
    </w:p>
    <w:p>
      <w:pPr>
        <w:pStyle w:val="ListBullet"/>
        <w:jc w:val="both"/>
      </w:pPr>
      <w:r>
        <w:t>Semilla unica (seed 0); inferencia Colab pendiente; HAPPO sin KPIs finales.</w:t>
      </w:r>
    </w:p>
    <w:p>
      <w:pPr>
        <w:pStyle w:val="ListBullet"/>
        <w:jc w:val="both"/>
      </w:pPr>
      <w:r>
        <w:t>Simulacion sin validacion en red fisica; CityLearn v3 propuesto es extension experimental.</w:t>
      </w:r>
    </w:p>
    <w:p>
      <w:pPr>
        <w:pStyle w:val="Heading2"/>
      </w:pPr>
      <w:r>
        <w:t>6.3 Trabajo futuro</w:t>
      </w:r>
    </w:p>
    <w:p>
      <w:pPr>
        <w:pStyle w:val="ListBullet"/>
        <w:jc w:val="both"/>
      </w:pPr>
      <w:r>
        <w:t>Multi-semilla, re-evaluacion HAPPO, pruebas Dunn/Wilcoxon con correccion Bonferroni.</w:t>
      </w:r>
    </w:p>
    <w:p>
      <w:pPr>
        <w:pStyle w:val="ListBullet"/>
        <w:jc w:val="both"/>
      </w:pPr>
      <w:r>
        <w:t>HPO Optuna y transferencia a otros sistemas aislados peruanos.</w:t>
      </w:r>
    </w:p>
    <w:p>
      <w:r>
        <w:br w:type="page"/>
      </w:r>
    </w:p>
    <w:p>
      <w:r>
        <w:br w:type="page"/>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