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permite formalizar decision cooperativa con informacion local incompleta. Oliehoek y Amato (2016) lo definen como una estructura donde multiples agentes comparten una recompensa o criterio cooperativo, pero cada uno recibe observaciones parciales. Esta tesis adopta esa formulacion porque ningun edificio observa completamente el estado interno de los otros edificios durante la ejecucion. Cada agente observa su demanda, PV, BESS, EV, precio, intensidad de carbono y variables locales, pero no controla ni observa directamente las acciones internas de los demas.</w:t>
      </w:r>
    </w:p>
    <w:p>
      <w:pPr>
        <w:spacing w:after="120" w:line="276" w:lineRule="auto"/>
        <w:jc w:val="both"/>
      </w:pPr>
      <w:r>
        <w:t>La tupla teorica usada es M = &lt;S, {A_i}, T, R, {O_i}, Omega, gamma, T&gt;. S representa el estado global concatenado de las observaciones; A_i es el espacio de accion local de cada edificio; T describe la transicion energetica; R es la recompensa cooperativa; O_i son observaciones locales; Omega es la funcion de observacion; gamma es el factor de descuento; y T el horizonte temporal. Esta formalizacion conecta el marco teorico con la arquitectura del Capitulo 4, donde los 17 edificios del SEAI Iquitos se convierten en agentes.</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