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line="480" w:lineRule="auto" w:before="0" w:after="0"/>
        <w:ind w:firstLine="720"/>
        <w:jc w:val="both"/>
      </w:pPr>
      <w:r>
        <w:rPr>
          <w:rFonts w:ascii="Times New Roman" w:hAnsi="Times New Roman" w:cs="Times New Roman" w:eastAsia="Times New Roman"/>
          <w:b/>
          <w:i w:val="0"/>
          <w:color w:val="000000"/>
          <w:sz w:val="24"/>
        </w:rPr>
        <w:t>UNIVERSIDAD NACIONAL DE INGENIERIA (UNI)</w:t>
      </w:r>
    </w:p>
    <w:p>
      <w:pPr>
        <w:spacing w:line="480" w:lineRule="auto" w:before="0" w:after="0"/>
        <w:ind w:firstLine="720"/>
        <w:jc w:val="both"/>
      </w:pPr>
      <w:r>
        <w:rPr>
          <w:rFonts w:ascii="Times New Roman" w:hAnsi="Times New Roman" w:cs="Times New Roman" w:eastAsia="Times New Roman"/>
          <w:b w:val="0"/>
          <w:i w:val="0"/>
          <w:color w:val="000000"/>
          <w:sz w:val="24"/>
        </w:rPr>
        <w:t>Escuela de Posgrado — Posgrado en Ingenieria</w:t>
      </w:r>
    </w:p>
    <w:p>
      <w:pPr>
        <w:spacing w:line="480" w:lineRule="auto" w:before="0" w:after="0"/>
        <w:ind w:firstLine="720"/>
        <w:jc w:val="both"/>
      </w:pPr>
      <w:r>
        <w:rPr>
          <w:rFonts w:ascii="Times New Roman" w:hAnsi="Times New Roman" w:cs="Times New Roman" w:eastAsia="Times New Roman"/>
          <w:b w:val="0"/>
          <w:i w:val="0"/>
          <w:color w:val="000000"/>
          <w:sz w:val="24"/>
        </w:rPr>
        <w:t>Inteligencia Artificial aplicada a Sistemas Electricos Inteligentes</w:t>
      </w:r>
    </w:p>
    <w:p/>
    <w:p/>
    <w:p>
      <w:pPr>
        <w:spacing w:line="480" w:lineRule="auto" w:before="0" w:after="0"/>
        <w:ind w:firstLine="720"/>
        <w:jc w:val="both"/>
      </w:pPr>
      <w:r>
        <w:rPr>
          <w:rFonts w:ascii="Times New Roman" w:hAnsi="Times New Roman" w:cs="Times New Roman" w:eastAsia="Times New Roman"/>
          <w:b/>
          <w:i w:val="0"/>
          <w:color w:val="000000"/>
          <w:sz w:val="24"/>
        </w:rPr>
        <w:t>MULTI-AGENTE DE APRENDIZAJE POR REFUERZO PROFUNDO PARA LA GESTION COORDINADA DE FLEXIBILIDAD ENERGETICA, EMISIONES DE CARBONO Y COSTOS ENERGETICOS EN COMUNIDADES INTELIGENTES</w:t>
      </w:r>
    </w:p>
    <w:p>
      <w:pPr>
        <w:spacing w:line="480" w:lineRule="auto" w:before="0" w:after="0"/>
        <w:ind w:firstLine="720"/>
        <w:jc w:val="both"/>
      </w:pPr>
      <w:r>
        <w:rPr>
          <w:rFonts w:ascii="Times New Roman" w:hAnsi="Times New Roman" w:cs="Times New Roman" w:eastAsia="Times New Roman"/>
          <w:b w:val="0"/>
          <w:i/>
          <w:color w:val="000000"/>
          <w:sz w:val="24"/>
        </w:rPr>
        <w:t>Caso de estudio: SEAI Iquitos — 17 edificios reales (2023-2025)</w:t>
      </w:r>
    </w:p>
    <w:p/>
    <w:p/>
    <w:p/>
    <w:p>
      <w:pPr>
        <w:spacing w:line="480" w:lineRule="auto" w:before="0" w:after="0"/>
        <w:ind w:firstLine="720"/>
        <w:jc w:val="both"/>
      </w:pPr>
      <w:r>
        <w:rPr>
          <w:rFonts w:ascii="Times New Roman" w:hAnsi="Times New Roman" w:cs="Times New Roman" w:eastAsia="Times New Roman"/>
          <w:b/>
          <w:i w:val="0"/>
          <w:color w:val="000000"/>
          <w:sz w:val="24"/>
        </w:rPr>
        <w:t>TESIS PARA OPTAR EL GRADO ACADEMICO DE DOCTOR EN INGENIERIA</w:t>
      </w:r>
    </w:p>
    <w:p>
      <w:pPr>
        <w:spacing w:line="480" w:lineRule="auto" w:before="0" w:after="0"/>
        <w:ind w:firstLine="720"/>
        <w:jc w:val="both"/>
      </w:pPr>
      <w:r>
        <w:rPr>
          <w:rFonts w:ascii="Times New Roman" w:hAnsi="Times New Roman" w:cs="Times New Roman" w:eastAsia="Times New Roman"/>
          <w:b w:val="0"/>
          <w:i w:val="0"/>
          <w:color w:val="000000"/>
          <w:sz w:val="24"/>
        </w:rPr>
        <w:t>Autor: Mac Tapia (mac.tapia.c@uni.pe)</w:t>
      </w:r>
    </w:p>
    <w:p>
      <w:pPr>
        <w:spacing w:line="480" w:lineRule="auto" w:before="0" w:after="0"/>
        <w:ind w:firstLine="720"/>
        <w:jc w:val="both"/>
      </w:pPr>
      <w:r>
        <w:rPr>
          <w:rFonts w:ascii="Times New Roman" w:hAnsi="Times New Roman" w:cs="Times New Roman" w:eastAsia="Times New Roman"/>
          <w:b w:val="0"/>
          <w:i w:val="0"/>
          <w:color w:val="000000"/>
          <w:sz w:val="24"/>
        </w:rPr>
        <w:t>Asesor: [por definir]</w:t>
      </w:r>
    </w:p>
    <w:p>
      <w:pPr>
        <w:spacing w:line="480" w:lineRule="auto" w:before="0" w:after="0"/>
        <w:ind w:firstLine="720"/>
        <w:jc w:val="both"/>
      </w:pPr>
      <w:r>
        <w:rPr>
          <w:rFonts w:ascii="Times New Roman" w:hAnsi="Times New Roman" w:cs="Times New Roman" w:eastAsia="Times New Roman"/>
          <w:b w:val="0"/>
          <w:i w:val="0"/>
          <w:color w:val="000000"/>
          <w:sz w:val="24"/>
        </w:rPr>
        <w:t>Lima / Iquitos, Peru — 05 de July de 2026</w:t>
      </w:r>
    </w:p>
    <w:p>
      <w:r>
        <w:br w:type="page"/>
      </w:r>
    </w:p>
    <w:p>
      <w:pPr>
        <w:pStyle w:val="Heading1"/>
        <w:spacing w:line="480" w:lineRule="auto" w:before="0" w:after="0"/>
        <w:jc w:val="center"/>
      </w:pPr>
      <w:r>
        <w:rPr>
          <w:rFonts w:ascii="Times New Roman" w:hAnsi="Times New Roman" w:cs="Times New Roman" w:eastAsia="Times New Roman"/>
          <w:color w:val="000000"/>
          <w:sz w:val="24"/>
        </w:rPr>
        <w:t>Dedicatoria</w:t>
      </w:r>
    </w:p>
    <w:p>
      <w:pPr>
        <w:spacing w:line="480" w:lineRule="auto" w:before="0" w:after="0"/>
        <w:ind w:firstLine="720"/>
        <w:jc w:val="both"/>
      </w:pPr>
      <w:r>
        <w:rPr>
          <w:rFonts w:ascii="Times New Roman" w:hAnsi="Times New Roman" w:cs="Times New Roman" w:eastAsia="Times New Roman"/>
          <w:b w:val="0"/>
          <w:i w:val="0"/>
          <w:color w:val="000000"/>
          <w:sz w:val="24"/>
        </w:rPr>
        <w:t>A mi familia, por el apoyo incondicional durante este camino de formación de tesis; a los docentes y colegas de la Universidad Nacional de Ingeniería, por impulsar la investigación aplicada en sistemas eléctricos inteligentes; y a la comunidad académica de Iquitos, cuyo contexto energético motivó el presente estudio.</w:t>
      </w:r>
    </w:p>
    <w:p>
      <w:r>
        <w:br w:type="page"/>
      </w:r>
    </w:p>
    <w:p>
      <w:pPr>
        <w:pStyle w:val="Heading1"/>
        <w:spacing w:line="480" w:lineRule="auto" w:before="0" w:after="0"/>
        <w:jc w:val="center"/>
      </w:pPr>
      <w:r>
        <w:rPr>
          <w:rFonts w:ascii="Times New Roman" w:hAnsi="Times New Roman" w:cs="Times New Roman" w:eastAsia="Times New Roman"/>
          <w:color w:val="000000"/>
          <w:sz w:val="24"/>
        </w:rPr>
        <w:t>Agradecimientos</w:t>
      </w:r>
    </w:p>
    <w:p>
      <w:pPr>
        <w:spacing w:line="480" w:lineRule="auto" w:before="0" w:after="0"/>
        <w:ind w:firstLine="720"/>
        <w:jc w:val="both"/>
      </w:pPr>
      <w:r>
        <w:rPr>
          <w:rFonts w:ascii="Times New Roman" w:hAnsi="Times New Roman" w:cs="Times New Roman" w:eastAsia="Times New Roman"/>
          <w:b w:val="0"/>
          <w:i w:val="0"/>
          <w:color w:val="000000"/>
          <w:sz w:val="24"/>
        </w:rPr>
        <w:t>Se agradece a la Escuela de Posgrado de la UNI, al equipo de investigación del proyecto MADRL CityLearn v3, a Electro Oriente S.A. y a las instituciones que aportaron datos operativos para el dataset citylearn_iquitos_2023_2025. Asimismo, se reconoce el uso de recursos computacionales en Google Colab para la corrida canónica de 50 episodios (madrl_v3_20260627_164047).</w:t>
      </w:r>
    </w:p>
    <w:p>
      <w:r>
        <w:br w:type="page"/>
      </w:r>
    </w:p>
    <w:p>
      <w:pPr>
        <w:pStyle w:val="Heading1"/>
      </w:pPr>
      <w:r>
        <w:t>Resumen</w:t>
      </w:r>
    </w:p>
    <w:p>
      <w:pPr>
        <w:jc w:val="both"/>
      </w:pPr>
      <w:r>
        <w:rPr>
          <w:rFonts w:ascii="Times New Roman" w:hAnsi="Times New Roman" w:cs="Times New Roman"/>
          <w:b w:val="0"/>
          <w:sz w:val="24"/>
        </w:rPr>
        <w:t>Esta tesis doctoral determina, mediante simulación computacional bajo diseño cuasiexperimental factorial 4×3, el efecto de cuatro algoritmos Multi-Agente de Aprendizaje por Refuerzo Profundo (MADRL) —HAPPO, MASAC, MATD3 y MAAC— sobre la gestión coordinada de flexibilidad energética, emisiones de CO₂ y costos en una comunidad inteligente del Sistema Eléctrico Aislado de Iquitos (SEAI). La formulación Dec-POMDP con CTDE se implementa sobre CityLearn v3 propuesto (17 edificios reales, 26 304 h, 185 cargadores EV). La corrida canónica Colab/Drive (madrl_v3_20260627_164047) completó 50 episodios por escenario en MATD3, MAAC y MASAC (HAPPO: 49/50). En respuesta descriptiva a PE.1–PE.3 / OE.1–OE.3, MATD3 lidera flexibilidad (flex_composite E1 = 1,0009) y emisiones (ΔCO₂ E2 = 23 070 kg); MAAC lidera costos (Δcosto E3 = 9 515 EUR); el score global canónico best_madrl 3×3 es MATD3 = 0,6667 (sin dominador Pareto único; ranking evaluate_v2 4/4: MAAC 0,9538 &gt; MATD3 0,8805 &gt; MASAC 0,8679 &gt; HAPPO 0,0000). Tras Shapiro–Wilk (normalidad rechazada), la contrastación inferencial canónica sobre KPI-gains (Cap. 5 §5.3–§5.5) no rechaza HE10/HE20/HE30 (Kruskal–Wallis OE.1 p = 0,4685; OE.2 p = 0,7648; OE.3 p = 0,7357) ni respalda HE11/HE21/HE31; H0G se rechaza de forma exploratoria por Friedman integrado (p = 0,0096) con KW ALL no significativo (p = 0,1554). TOPSIS/AHP (outputs/madrl_multicriteria_selection; fuente real_drive_50ep_c1c6) es medida multicriterio formal adicional (MAAC C* ≈ 0,9827 &gt; MASAC 0,5656 &gt; MATD3 0,3074) que integra costo–CO₂–flexibilidad para apoyar la determinación de OG/OE.1–OE.3 y el contraste multiobjetivo de HE, complementando —sin sustituir— el omnibus KPI-gains y evaluate_v2 4/4.</w:t>
      </w:r>
    </w:p>
    <w:p>
      <w:pPr>
        <w:jc w:val="both"/>
      </w:pPr>
      <w:r>
        <w:rPr>
          <w:b w:val="0"/>
          <w:i/>
        </w:rPr>
        <w:t>Palabras clave: aprendizaje por refuerzo multiagente, diseño cuasiexperimental, Dec-POMDP, CTDE, flexibilidad energética, emisiones de CO₂, microrred aislada, Iquitos.</w:t>
      </w:r>
    </w:p>
    <w:p>
      <w:r>
        <w:br w:type="page"/>
      </w:r>
    </w:p>
    <w:p>
      <w:pPr>
        <w:pStyle w:val="Heading1"/>
      </w:pPr>
      <w:r>
        <w:t>Abstract</w:t>
      </w:r>
    </w:p>
    <w:p>
      <w:pPr>
        <w:jc w:val="both"/>
      </w:pPr>
      <w:r>
        <w:rPr>
          <w:rFonts w:ascii="Times New Roman" w:hAnsi="Times New Roman" w:cs="Times New Roman"/>
          <w:b w:val="0"/>
          <w:sz w:val="24"/>
        </w:rPr>
        <w:t>This doctoral thesis determines the effect of four cooperative Multi-Agent Deep Reinforcement Learning (MADRL) algorithms (HAPPO, MASAC, MATD3, MAAC) under a Dec-POMDP/CTDE framework on a real 17-building CityLearn v3 dataset from Iquitos, Peru (quasi-experimental factorial design 4×3; canonical Drive run madrl_v3_20260627_164047, 50 episodes; HAPPO 49/50). Descriptive PE.1–PE.3 / OE.1–OE.3 answers: MATD3 leads flexibility (flex_composite E1 = 1.0009) and CO₂ (ΔCO₂ E2 = 23,070 kg); MAAC leads cost (Δcost E3 = 9,515 EUR); canonical best_madrl 3×3 global score is MATD3 = 0.6667 (no universal Pareto winner; evaluate_v2 4/4 ranks MAAC 0.9538 &gt; MATD3 0.8805 &gt; MASAC 0.8679 &gt; HAPPO 0.0000). After Shapiro–Wilk (normality rejected), canonical KPI-gains inference (Ch. 5) does not reject HE10/HE20/HE30 (Kruskal–Wallis OE.1 p=0.4685; OE.2 p=0.7648; OE.3 p=0.7357) and does not support HE11/HE21/HE31; H0G is rejected only exploratorily via Friedman (p=0.0096) while KW ALL is non-significant (p=0.1554). TOPSIS/AHP (real_drive_50ep_c1c6; MAAC C*≈0.9827 &gt; MASAC 0.5656 &gt; MATD3 0.3074) is an additional formal multicriteria measure supporting OG/OE determination and multiobjective hypothesis contrast, complementing —not replacing— KPI-gains omnibus tests and evaluate_v2 4/4.</w:t>
      </w:r>
    </w:p>
    <w:p>
      <w:r>
        <w:br w:type="page"/>
      </w:r>
    </w:p>
    <w:p>
      <w:pPr>
        <w:pStyle w:val="Heading1"/>
        <w:spacing w:line="480" w:lineRule="auto" w:before="0" w:after="0"/>
        <w:jc w:val="center"/>
      </w:pPr>
      <w:r>
        <w:rPr>
          <w:rFonts w:ascii="Times New Roman" w:hAnsi="Times New Roman" w:cs="Times New Roman" w:eastAsia="Times New Roman"/>
          <w:color w:val="000000"/>
          <w:sz w:val="24"/>
        </w:rPr>
        <w:t>Indice</w:t>
      </w:r>
    </w:p>
    <w:p>
      <w:r/>
      <w:fldSimple w:instr="TOC \o &quot;1-5&quot; \h \z \u" w:dirty="true">
        <w:r>
          <w:t>Actualice el indice general con clic derecho &gt; Actualizar campos (o F9).</w:t>
        </w:r>
      </w:fldSimple>
    </w:p>
    <w:p>
      <w:r>
        <w:br w:type="page"/>
      </w:r>
    </w:p>
    <w:p>
      <w:pPr>
        <w:pStyle w:val="Heading1"/>
        <w:jc w:val="center"/>
      </w:pPr>
      <w:r>
        <w:t>Indice de tablas</w:t>
      </w:r>
    </w:p>
    <w:p>
      <w:r/>
      <w:fldSimple w:instr="TOC \h \z \t &quot;TablaIndice,1&quot;" w:dirty="true">
        <w:r>
          <w:t>Actualice el indice de tablas con clic derecho &gt; Actualizar campos (o F9).</w:t>
        </w:r>
      </w:fldSimple>
    </w:p>
    <w:p>
      <w:r>
        <w:br w:type="page"/>
      </w:r>
    </w:p>
    <w:p>
      <w:pPr>
        <w:pStyle w:val="Heading1"/>
        <w:jc w:val="center"/>
      </w:pPr>
      <w:r>
        <w:t>Indice de figuras</w:t>
      </w:r>
    </w:p>
    <w:p>
      <w:r/>
      <w:fldSimple w:instr="TOC \h \z \t &quot;FiguraIndice,1&quot;" w:dirty="true">
        <w:r>
          <w:t>Actualice el indice de figuras con clic derecho &gt; Actualizar campos (o F9).</w:t>
        </w:r>
      </w:fldSimple>
    </w:p>
    <w:p>
      <w:r>
        <w:br w:type="page"/>
      </w:r>
    </w:p>
    <w:p>
      <w:pPr>
        <w:pStyle w:val="Heading1"/>
        <w:spacing w:line="480" w:lineRule="auto" w:before="0" w:after="0"/>
        <w:jc w:val="center"/>
      </w:pPr>
      <w:r>
        <w:rPr>
          <w:rFonts w:ascii="Times New Roman" w:hAnsi="Times New Roman" w:cs="Times New Roman" w:eastAsia="Times New Roman"/>
          <w:color w:val="000000"/>
          <w:sz w:val="24"/>
        </w:rPr>
        <w:t>Capitulo 1. Introduccion</w:t>
      </w:r>
    </w:p>
    <w:p>
      <w:pPr>
        <w:pStyle w:val="Heading2"/>
        <w:spacing w:line="480" w:lineRule="auto" w:before="0" w:after="0"/>
        <w:jc w:val="left"/>
      </w:pPr>
      <w:r>
        <w:rPr>
          <w:rFonts w:ascii="Times New Roman" w:hAnsi="Times New Roman" w:cs="Times New Roman" w:eastAsia="Times New Roman"/>
          <w:color w:val="000000"/>
          <w:sz w:val="24"/>
        </w:rPr>
        <w:t>1.1 Diagnostico</w:t>
      </w:r>
    </w:p>
    <w:p>
      <w:pPr>
        <w:spacing w:before="0" w:after="0" w:line="480" w:lineRule="auto"/>
        <w:ind w:firstLine="720"/>
        <w:jc w:val="both"/>
      </w:pPr>
      <w:r>
        <w:rPr>
          <w:rFonts w:ascii="Times New Roman" w:hAnsi="Times New Roman" w:cs="Times New Roman"/>
          <w:b w:val="0"/>
          <w:sz w:val="24"/>
        </w:rPr>
        <w:t>Las comunidades inteligentes integran recursos de energia distribuida, generacion solar fotovoltaica, sistemas de almacenamiento en baterias y estaciones de carga de vehiculos electricos. La literatura de CityLearn sostiene que esta integracion exige entornos reproducibles para comparar controladores de respuesta a la demanda en edificios y comunidades, mientras que CityLearn v2 amplia el problema hacia comunidades grid-interactive con vehiculos electricos, intensidad de carbono, almacenamiento y KPIs de flexibilidad, emisiones y costos. En consecuencia, el diagnostico de esta tesis no se limita a un algoritmo aislado, sino a la ausencia de una evaluacion coordinada y comparable de politicas MADRL bajo observabilidad parcial (Vázquez-Canteli et al., 2020; Nweye et al., 2024; Fonseca et al., 2024).</w:t>
      </w:r>
    </w:p>
    <w:p>
      <w:pPr>
        <w:spacing w:before="0" w:after="0" w:line="480" w:lineRule="auto"/>
        <w:ind w:firstLine="720"/>
        <w:jc w:val="both"/>
      </w:pPr>
      <w:r>
        <w:rPr>
          <w:rFonts w:ascii="Times New Roman" w:hAnsi="Times New Roman" w:cs="Times New Roman" w:eastAsia="Times New Roman"/>
          <w:color w:val="000000"/>
          <w:sz w:val="24"/>
        </w:rPr>
        <w:t>En el Sistema Electrico Aislado de Iquitos, operado por Electro Oriente S.A., el suministro depende mayoritariamente de generacion diesel con penetracion solar creciente. El factor de emision base usado por el estudio es 0.790 kgCO2/kWh y la tarifa por uso horario distingue periodos punta y fuera de punta. Bajo esta condicion, la gestion no coordinada de DER puede incrementar picos, rampas, consumo ponderado por carbono y costos electricos. Esta problematica vincula directamente la tesis con tres dimensiones dependientes: flexibilidad energetica, emisiones de CO2 y costos energeticos (MINAM, 2019; OSINERGMIN, 2024; Nweye et al., 2024).</w:t>
      </w:r>
    </w:p>
    <w:p>
      <w:pPr>
        <w:spacing w:before="0" w:after="0" w:line="480" w:lineRule="auto"/>
        <w:ind w:firstLine="720"/>
        <w:jc w:val="both"/>
      </w:pPr>
      <w:r>
        <w:rPr>
          <w:rFonts w:ascii="Times New Roman" w:hAnsi="Times New Roman" w:cs="Times New Roman" w:eastAsia="Times New Roman"/>
          <w:color w:val="000000"/>
          <w:sz w:val="24"/>
        </w:rPr>
        <w:t>Desde la perspectiva computacional, el problema es multiagente, secuencial y parcialmente observable. Cada edificio decide sobre equipos controlables, pero no observa plenamente el estado interno de los demas edificios ni controla la demanda no flexible. Por ello, la formulacion Dec-POMDP y el esquema CTDE son consistentes con la ejecucion descentralizada y el entrenamiento cooperativo de HAPPO, MASAC, MATD3 y MAAC. Esta triangulacion teorica justifica que el estudio evalua algoritmos, escenarios y KPIs con evidencia episodica real de la corrida Drive de 50 episodios por tratamiento (Oliehoek &amp; Amato, 2016; Lowe et al., 2017; Iqbal &amp; Sha, 2019).</w:t>
      </w:r>
    </w:p>
    <w:p>
      <w:pPr>
        <w:pStyle w:val="Heading2"/>
        <w:spacing w:line="480" w:lineRule="auto" w:before="0" w:after="0"/>
        <w:jc w:val="left"/>
      </w:pPr>
      <w:r>
        <w:rPr>
          <w:rFonts w:ascii="Times New Roman" w:hAnsi="Times New Roman" w:cs="Times New Roman" w:eastAsia="Times New Roman"/>
          <w:color w:val="000000"/>
          <w:sz w:val="24"/>
        </w:rPr>
        <w:t>1.2 Identificacion y descripcion del problema de estudio</w:t>
      </w:r>
    </w:p>
    <w:p>
      <w:pPr>
        <w:spacing w:before="0" w:after="0" w:line="480" w:lineRule="auto"/>
        <w:ind w:firstLine="720"/>
        <w:jc w:val="both"/>
      </w:pPr>
      <w:r>
        <w:rPr>
          <w:rFonts w:ascii="Times New Roman" w:hAnsi="Times New Roman" w:cs="Times New Roman" w:eastAsia="Times New Roman"/>
          <w:color w:val="000000"/>
          <w:sz w:val="24"/>
        </w:rPr>
        <w:t>El problema de estudio se identifica como la falta de determinacion empirica del efecto que produce el algoritmo MADRL sobre la gestion coordinada de flexibilidad energetica, emisiones de CO2 y costos energeticos en una comunidad inteligente. La brecha no consiste solo en entrenar agentes, sino en comparar familias MADRL heterogeneas bajo los mismos datos, la misma funcion de recompensa, los mismos escenarios E1, E2 y E3, y los mismos criterios de lectura de KPIs. Esta comparabilidad es necesaria porque el desempeno en una dimension puede no coincidir con el desempeno en las otras; por ejemplo, una politica puede reducir emisiones y al mismo tiempo deteriorar costos o rampas.</w:t>
      </w:r>
    </w:p>
    <w:p>
      <w:pPr>
        <w:spacing w:before="0" w:after="0" w:line="480" w:lineRule="auto"/>
        <w:ind w:firstLine="720"/>
        <w:jc w:val="both"/>
      </w:pPr>
      <w:r>
        <w:rPr>
          <w:rFonts w:ascii="Times New Roman" w:hAnsi="Times New Roman" w:cs="Times New Roman" w:eastAsia="Times New Roman"/>
          <w:color w:val="000000"/>
          <w:sz w:val="24"/>
        </w:rPr>
        <w:t>Los sintomas observables se expresan en demanda pico, rampas horarias, consumo neto, emisiones ponderadas por intensidad de carbono, costo electrico y comportamiento por edificio. Las causas tecnicas se relacionan con la coordinacion incompleta entre agentes, la heterogeneidad de equipos controlables y no controlables, y la dificultad de aprendizaje en horizontes anuales de 8760 pasos. Las causas metodologicas se asocian con benchmarks fragmentados, falta de lectura por objetivo especifico y uso de promedios agregados sin soporte inferencial. Por ello, el Capitulo 5 responde las preguntas especificas con analisis descriptivo, inferencial y evidencia por distrito, edificio, escenario y KPI.</w:t>
      </w:r>
    </w:p>
    <w:p>
      <w:pPr>
        <w:spacing w:before="0" w:after="0" w:line="480" w:lineRule="auto"/>
        <w:ind w:firstLine="720"/>
        <w:jc w:val="both"/>
      </w:pPr>
      <w:r>
        <w:rPr>
          <w:rFonts w:ascii="Times New Roman" w:hAnsi="Times New Roman" w:cs="Times New Roman" w:eastAsia="Times New Roman"/>
          <w:color w:val="000000"/>
          <w:sz w:val="24"/>
        </w:rPr>
        <w:t>La correspondencia formal entre problemas, objetivos, hipotesis, variables e indicadores se conserva en el numeral 1.4, tal como estaba desarrollado en la version final de tesis. Esta ubicacion evita duplicar la matriz y mantiene la trazabilidad vertical del documento.</w:t>
      </w:r>
    </w:p>
    <w:p>
      <w:pPr>
        <w:pStyle w:val="Heading3"/>
        <w:spacing w:line="480" w:lineRule="auto" w:before="0" w:after="0"/>
        <w:jc w:val="left"/>
      </w:pPr>
      <w:r>
        <w:rPr>
          <w:rFonts w:ascii="Times New Roman" w:hAnsi="Times New Roman" w:cs="Times New Roman" w:eastAsia="Times New Roman"/>
          <w:color w:val="000000"/>
          <w:sz w:val="24"/>
        </w:rPr>
        <w:t>1.2.1 Formulacion del problema</w:t>
      </w:r>
    </w:p>
    <w:p>
      <w:pPr>
        <w:spacing w:before="0" w:after="0" w:line="480" w:lineRule="auto"/>
        <w:ind w:firstLine="720"/>
        <w:jc w:val="both"/>
      </w:pPr>
      <w:r>
        <w:rPr>
          <w:rFonts w:ascii="Times New Roman" w:hAnsi="Times New Roman" w:cs="Times New Roman" w:eastAsia="Times New Roman"/>
          <w:color w:val="000000"/>
          <w:sz w:val="24"/>
        </w:rPr>
        <w:t>La formulacion del problema se conserva segun la version definida en el documento de tesis final. Los antecedentes bibliograficos que sustentan esta formulacion se desarrollan una sola vez en el Capitulo 2, dentro de los apartados de antecedentes internacionales, antecedentes nacionales/peruanos y sintesis critica de brecha cientifica. Esta decision evita duplicar paginas de antecedentes en el Capitulo 1 y mantiene una ruta logica entre problema, marco teorico, metodologia y resultados.</w:t>
      </w:r>
    </w:p>
    <w:p>
      <w:pPr>
        <w:pStyle w:val="Heading4"/>
        <w:spacing w:line="480" w:lineRule="auto" w:before="0" w:after="0"/>
        <w:ind w:firstLine="720"/>
        <w:jc w:val="left"/>
      </w:pPr>
      <w:r>
        <w:rPr>
          <w:rFonts w:ascii="Times New Roman" w:hAnsi="Times New Roman" w:eastAsia="Times New Roman"/>
        </w:rPr>
        <w:t>1.2.1.1 Formulación del problema general</w:t>
      </w:r>
    </w:p>
    <w:p>
      <w:pPr>
        <w:spacing w:before="0" w:after="0" w:line="480" w:lineRule="auto"/>
        <w:ind w:firstLine="720"/>
        <w:jc w:val="both"/>
      </w:pPr>
      <w:r>
        <w:rPr>
          <w:rFonts w:ascii="Times New Roman" w:hAnsi="Times New Roman" w:eastAsia="Times New Roman"/>
        </w:rPr>
        <w:t>¿En qué medida el algoritmo MADRL (aprendizaje por refuerzo profundo multiagente) impacta en la gestión coordinada de la flexibilidad energética, las emisiones de CO₂ y los costos energéticos en comunidades inteligentes de la ciudad de Iquitos, y cuál de los algoritmos presenta el mejor desempeño a nivel global?</w:t>
      </w:r>
    </w:p>
    <w:p>
      <w:pPr>
        <w:spacing w:before="0" w:after="0" w:line="480" w:lineRule="auto"/>
        <w:ind w:firstLine="720"/>
        <w:jc w:val="both"/>
      </w:pPr>
      <w:r>
        <w:rPr>
          <w:rFonts w:ascii="Times New Roman" w:hAnsi="Times New Roman" w:eastAsia="Times New Roman"/>
        </w:rPr>
        <w:t>¿En qué medida el algoritmo MADRL (aprendizaje por refuerzo profundo multiagente) impacta en la gestión coordinada de la flexibilidad energética, las emisiones de CO₂ y los costos energéticos en comunidades inteligentes de la ciudad de Iquitos, y cuál de los algoritmos presenta el mejor desempeño a nivel global?</w:t>
      </w:r>
    </w:p>
    <w:p>
      <w:pPr>
        <w:pStyle w:val="Heading4"/>
        <w:spacing w:line="480" w:lineRule="auto" w:before="0" w:after="0"/>
        <w:ind w:firstLine="720"/>
        <w:jc w:val="left"/>
      </w:pPr>
      <w:r>
        <w:rPr>
          <w:rFonts w:ascii="Times New Roman" w:hAnsi="Times New Roman" w:eastAsia="Times New Roman"/>
        </w:rPr>
        <w:t>1.2.1.2 Formulación de los problemas específicos</w:t>
      </w:r>
    </w:p>
    <w:p>
      <w:pPr>
        <w:spacing w:before="0" w:after="0" w:line="480" w:lineRule="auto"/>
        <w:ind w:firstLine="720"/>
        <w:jc w:val="both"/>
      </w:pPr>
      <w:r>
        <w:rPr>
          <w:rFonts w:ascii="Times New Roman" w:hAnsi="Times New Roman" w:cs="Times New Roman" w:eastAsia="Times New Roman"/>
          <w:color w:val="000000"/>
          <w:sz w:val="24"/>
        </w:rPr>
        <w:t>Problemas especificos:</w:t>
      </w:r>
    </w:p>
    <w:p>
      <w:pPr>
        <w:spacing w:before="0" w:after="0" w:line="480" w:lineRule="auto"/>
        <w:ind w:firstLine="720"/>
        <w:jc w:val="both"/>
      </w:pPr>
      <w:r>
        <w:rPr>
          <w:rFonts w:ascii="Times New Roman" w:hAnsi="Times New Roman" w:eastAsia="Times New Roman"/>
        </w:rPr>
        <w:t>PE.1: ¿En qué medida el algoritmo MADRL impacta en la flexibilidad energética en comunidades inteligentes de la ciudad de Iquitos, y cuál de los algoritmos presenta el mejor desempeño en el escenario E1?</w:t>
      </w:r>
    </w:p>
    <w:p>
      <w:pPr>
        <w:spacing w:before="0" w:after="0" w:line="480" w:lineRule="auto"/>
        <w:ind w:firstLine="720"/>
        <w:jc w:val="both"/>
      </w:pPr>
      <w:r>
        <w:rPr>
          <w:rFonts w:ascii="Times New Roman" w:hAnsi="Times New Roman" w:eastAsia="Times New Roman"/>
        </w:rPr>
        <w:t>PE.2: ¿En qué medida el algoritmo MADRL impacta en las emisiones de CO₂ en comunidades inteligentes de la ciudad de Iquitos, y cuál de los algoritmos presenta el mejor desempeño en el escenario E2?</w:t>
      </w:r>
    </w:p>
    <w:p>
      <w:pPr>
        <w:spacing w:before="0" w:after="0" w:line="480" w:lineRule="auto"/>
        <w:ind w:firstLine="720"/>
        <w:jc w:val="both"/>
      </w:pPr>
      <w:r>
        <w:rPr>
          <w:rFonts w:ascii="Times New Roman" w:hAnsi="Times New Roman" w:eastAsia="Times New Roman"/>
        </w:rPr>
        <w:t>PE.3: ¿En qué medida el algoritmo MADRL impacta en los costos energéticos en comunidades inteligentes de la ciudad de Iquitos, y cuál de los algoritmos presenta el mejor desempeño en el escenario E3?</w:t>
      </w:r>
    </w:p>
    <w:p>
      <w:pPr>
        <w:spacing w:before="0" w:after="0" w:line="480" w:lineRule="auto"/>
        <w:ind w:firstLine="720"/>
        <w:jc w:val="both"/>
      </w:pPr>
      <w:r>
        <w:rPr>
          <w:rFonts w:ascii="Times New Roman" w:hAnsi="Times New Roman" w:cs="Times New Roman" w:eastAsia="Times New Roman"/>
          <w:color w:val="000000"/>
          <w:sz w:val="24"/>
        </w:rPr>
        <w:t>Cada problema especifico se responde en el Capitulo 5 mediante analisis descriptivo e inferencial sobre la corrida canonica de 50 episodios por tratamiento. PE.1 se vincula con OE.1 y HE.1; PE.2 se vincula con OE.2 y HE.2; y PE.3 se vincula con OE.3 y HE.3.</w:t>
      </w:r>
    </w:p>
    <w:p>
      <w:pPr>
        <w:pStyle w:val="Heading3"/>
        <w:spacing w:line="480" w:lineRule="auto" w:before="0" w:after="0"/>
        <w:jc w:val="left"/>
      </w:pPr>
      <w:r>
        <w:rPr>
          <w:rFonts w:ascii="Times New Roman" w:hAnsi="Times New Roman" w:cs="Times New Roman" w:eastAsia="Times New Roman"/>
          <w:color w:val="000000"/>
          <w:sz w:val="24"/>
        </w:rPr>
        <w:t>1.2.2 Justificacion y alcances</w:t>
      </w:r>
    </w:p>
    <w:p>
      <w:pPr>
        <w:pStyle w:val="Heading4"/>
        <w:spacing w:line="480" w:lineRule="auto" w:before="0" w:after="0"/>
        <w:ind w:firstLine="720"/>
        <w:jc w:val="left"/>
      </w:pPr>
      <w:r>
        <w:rPr>
          <w:rFonts w:ascii="Times New Roman" w:hAnsi="Times New Roman" w:cs="Times New Roman" w:eastAsia="Times New Roman"/>
          <w:color w:val="000000"/>
          <w:sz w:val="24"/>
        </w:rPr>
        <w:t>1.2.2.1 Justificacion</w:t>
      </w:r>
    </w:p>
    <w:p>
      <w:pPr>
        <w:spacing w:before="0" w:after="0" w:line="480" w:lineRule="auto"/>
        <w:ind w:firstLine="720"/>
        <w:jc w:val="both"/>
      </w:pPr>
      <w:r>
        <w:rPr>
          <w:rFonts w:ascii="Times New Roman" w:hAnsi="Times New Roman" w:cs="Times New Roman" w:eastAsia="Times New Roman"/>
          <w:color w:val="000000"/>
          <w:sz w:val="24"/>
        </w:rPr>
        <w:t>a) Justificacion teorica. El estudio se justifica teoricamente porque articula tres cuerpos de conocimiento que suelen tratarse de manera separada: la simulacion energetica de comunidades de edificios, el aprendizaje por refuerzo profundo multiagente y la evaluacion estadistica de politicas de control. La formulacion Dec-POMDP permite representar observabilidad parcial, accion descentralizada y recompensa cooperativa; el esquema CTDE permite entrenar politicas descentralizadas con informacion global durante el aprendizaje; y la evaluacion con KPIs CityLearn permite interpretar el desempeno energetico en terminos verificables. Esta integracion aporta una base conceptual para explicar por que los algoritmos HAPPO, MAAC, MASAC y MATD3 pueden compararse como niveles de la variable independiente y no como implementaciones aisladas.</w:t>
      </w:r>
    </w:p>
    <w:p>
      <w:pPr>
        <w:spacing w:before="0" w:after="0" w:line="480" w:lineRule="auto"/>
        <w:ind w:firstLine="720"/>
        <w:jc w:val="both"/>
      </w:pPr>
      <w:r>
        <w:rPr>
          <w:rFonts w:ascii="Times New Roman" w:hAnsi="Times New Roman" w:cs="Times New Roman" w:eastAsia="Times New Roman"/>
          <w:color w:val="000000"/>
          <w:sz w:val="24"/>
        </w:rPr>
        <w:t>b) Justificacion de flexibilidad energetica. La tesis se justifica en flexibilidad energetica porque las comunidades inteligentes con PV, BESS, cargadores EV/V2G y cargas flexibles requieren coordinar decisiones distribuidas para reducir picos, suavizar rampas, desplazar consumo y aprovechar recursos distribuidos. En el SEAI Iquitos, donde la operacion aislada y la penetracion renovable condicionan la gestion de demanda, una politica MADRL puede modificar el perfil agregado de consumo si aprende a coordinar almacenamiento, carga vehicular y demanda flexible. Por ello, OE.1 evalua de manera especifica si el algoritmo MADRL produce efecto sobre D-VD.1 y cual algoritmo genera el mayor efecto en esta dimension.</w:t>
      </w:r>
    </w:p>
    <w:p>
      <w:pPr>
        <w:spacing w:before="0" w:after="0" w:line="480" w:lineRule="auto"/>
        <w:ind w:firstLine="720"/>
        <w:jc w:val="both"/>
      </w:pPr>
      <w:r>
        <w:rPr>
          <w:rFonts w:ascii="Times New Roman" w:hAnsi="Times New Roman" w:cs="Times New Roman" w:eastAsia="Times New Roman"/>
          <w:color w:val="000000"/>
          <w:sz w:val="24"/>
        </w:rPr>
        <w:t>c) Justificacion economica. La investigacion se justifica economicamente porque el costo energetico de una comunidad no depende solo del consumo total, sino tambien del momento en que la demanda se presenta frente a senales tarifarias por uso horario. La falta de coordinacion entre edificios puede trasladar consumo hacia periodos de mayor costo o generar decisiones localmente convenientes pero suboptimas a nivel comunitario. La comparacion de algoritmos MADRL permite identificar si alguna politica reduce el costo electrico bajo las mismas condiciones de simulacion, la misma comunidad y los mismos escenarios. Esta justificacion se vincula directamente con OE.3, D-VD.3 y la lectura de district_cost y KPIs de costo en el Capitulo 5.</w:t>
      </w:r>
    </w:p>
    <w:p>
      <w:pPr>
        <w:spacing w:before="0" w:after="0" w:line="480" w:lineRule="auto"/>
        <w:ind w:firstLine="720"/>
        <w:jc w:val="both"/>
      </w:pPr>
      <w:r>
        <w:rPr>
          <w:rFonts w:ascii="Times New Roman" w:hAnsi="Times New Roman" w:cs="Times New Roman" w:eastAsia="Times New Roman"/>
          <w:color w:val="000000"/>
          <w:sz w:val="24"/>
        </w:rPr>
        <w:t>d) Justificacion ambiental. La tesis se justifica ambientalmente porque el SEAI Iquitos se caracteriza por una matriz aislada con dependencia termica y senales de intensidad de carbono relevantes para la gestion del consumo. Coordinar demanda, almacenamiento, PV y carga vehicular puede desplazar consumo hacia periodos de menor intensidad de carbono y reducir emisiones asociadas a la importacion de energia. En consecuencia, el estudio no evalua solo recompensa algoritmica, sino el efecto de las politicas MADRL sobre emisiones de CO2 mediante indicadores distritales, por edificio y por escenario. Esta justificacion sostiene OE.2 y D-VD.2.</w:t>
      </w:r>
    </w:p>
    <w:p>
      <w:pPr>
        <w:spacing w:before="0" w:after="0" w:line="480" w:lineRule="auto"/>
        <w:ind w:firstLine="720"/>
        <w:jc w:val="both"/>
      </w:pPr>
      <w:r>
        <w:rPr>
          <w:rFonts w:ascii="Times New Roman" w:hAnsi="Times New Roman" w:cs="Times New Roman" w:eastAsia="Times New Roman"/>
          <w:color w:val="000000"/>
          <w:sz w:val="24"/>
        </w:rPr>
        <w:t>e) Justificacion tecnologica. La investigacion se justifica tecnologicamente porque desarrolla una arquitectura reproducible basada en dataset local, CityLearn v2, extension CityLearn v3 propuesta, scripts de construccion de datos, entrenamiento MADRL, trazas, checkpoints, timeseries y generacion automatizada de figuras y tablas. Esta arquitectura permite que los resultados no dependan de afirmaciones generales, sino de artefactos auditables de la corrida Drive madrl_v3_20260627_164047. La contribucion tecnologica consiste en integrar datos locales, equipos controlables y no controlables, simulacion multiagente y analisis estadistico dentro de un flujo verificable para tesis.</w:t>
      </w:r>
    </w:p>
    <w:p>
      <w:pPr>
        <w:pStyle w:val="Heading4"/>
        <w:spacing w:line="480" w:lineRule="auto" w:before="0" w:after="0"/>
        <w:ind w:firstLine="720"/>
        <w:jc w:val="left"/>
      </w:pPr>
      <w:r>
        <w:rPr>
          <w:rFonts w:ascii="Times New Roman" w:hAnsi="Times New Roman" w:cs="Times New Roman" w:eastAsia="Times New Roman"/>
          <w:color w:val="000000"/>
          <w:sz w:val="24"/>
        </w:rPr>
        <w:t>1.2.2.2 Alcances</w:t>
      </w:r>
    </w:p>
    <w:p>
      <w:pPr>
        <w:spacing w:before="0" w:after="0" w:line="480" w:lineRule="auto"/>
        <w:ind w:firstLine="720"/>
        <w:jc w:val="both"/>
      </w:pPr>
      <w:r>
        <w:rPr>
          <w:rFonts w:ascii="Times New Roman" w:hAnsi="Times New Roman" w:cs="Times New Roman" w:eastAsia="Times New Roman"/>
          <w:color w:val="000000"/>
          <w:sz w:val="24"/>
        </w:rPr>
        <w:t>El alcance tematico comprende la evaluacion comparativa de HAPPO, MASAC, MATD3 y MAAC sobre flexibilidad energetica, emisiones de CO2 y costos energeticos. El alcance espacial corresponde a una comunidad inteligente simulada con aplicabilidad al SEAI Iquitos y 17 edificios institucionales/comerciales. El alcance temporal se basa en datos horarios 2023-2025 y en una corrida de entrenamiento/evaluacion con 50 episodios por tratamiento disponible. El alcance computacional comprende Python, PyTorch, CityLearn v2, librerias de analisis cientifico y artefactos Drive validados.</w:t>
      </w:r>
    </w:p>
    <w:p>
      <w:pPr>
        <w:spacing w:before="0" w:after="0" w:line="480" w:lineRule="auto"/>
        <w:ind w:firstLine="720"/>
        <w:jc w:val="both"/>
      </w:pPr>
      <w:r>
        <w:rPr>
          <w:rFonts w:ascii="Times New Roman" w:hAnsi="Times New Roman" w:cs="Times New Roman" w:eastAsia="Times New Roman"/>
          <w:color w:val="000000"/>
          <w:sz w:val="24"/>
        </w:rPr>
        <w:t>El estudio no modela una red electrica fisica ni valida un despliegue real en campo. CityLearn v3 propuesto se interpreta como extension experimental de tesis y no como version oficial de CityLearn. Se excluyen investigacion con sujetos humanos, despacho economico de unidades fisicas, analisis de estabilidad de red y extrapolacion causal fuera de la evidencia de simulacion disponible.</w:t>
      </w:r>
    </w:p>
    <w:p>
      <w:pPr>
        <w:pStyle w:val="Heading2"/>
        <w:spacing w:line="480" w:lineRule="auto" w:before="0" w:after="0"/>
        <w:jc w:val="left"/>
      </w:pPr>
      <w:r>
        <w:rPr>
          <w:rFonts w:ascii="Times New Roman" w:hAnsi="Times New Roman" w:cs="Times New Roman" w:eastAsia="Times New Roman"/>
          <w:color w:val="000000"/>
          <w:sz w:val="24"/>
        </w:rPr>
        <w:t>1.3 Objetivos e hipotesis de la investigacion</w:t>
      </w:r>
    </w:p>
    <w:p>
      <w:r>
        <w:rPr>
          <w:rFonts w:ascii="Times New Roman" w:hAnsi="Times New Roman"/>
        </w:rPr>
        <w:t>1.3 Objetivos e hipótesis de la investigación</w:t>
      </w:r>
    </w:p>
    <w:p>
      <w:r>
        <w:rPr>
          <w:rFonts w:ascii="Times New Roman" w:hAnsi="Times New Roman"/>
        </w:rPr>
        <w:t>1.3.1 Objetivos</w:t>
      </w:r>
    </w:p>
    <w:p>
      <w:r>
        <w:rPr>
          <w:rFonts w:ascii="Times New Roman" w:hAnsi="Times New Roman"/>
        </w:rPr>
        <w:t>1.3.1.1</w:t>
        <w:tab/>
        <w:t>Objetivo general</w:t>
      </w:r>
    </w:p>
    <w:p>
      <w:r>
        <w:rPr>
          <w:rFonts w:ascii="Times New Roman" w:hAnsi="Times New Roman"/>
        </w:rPr>
        <w:t>OG. - Determinar el impacto de los algoritmos aprendizaje por refuerzo profundo multiagente (MADRLs) en la gestión coordinada de la flexibilidad energética, las emisiones de CO₂ y los costos energéticos en comunidades inteligentes de la ciudad de Iquitos, e identificar cuál de los algoritmos presenta el mejor desempeño a nivel global.</w:t>
      </w:r>
    </w:p>
    <w:p>
      <w:r>
        <w:rPr>
          <w:rFonts w:ascii="Times New Roman" w:hAnsi="Times New Roman"/>
        </w:rPr>
        <w:t>1.3.1.2</w:t>
        <w:tab/>
        <w:t>Objetivos específicos</w:t>
      </w:r>
    </w:p>
    <w:p>
      <w:r>
        <w:rPr>
          <w:rFonts w:ascii="Times New Roman" w:hAnsi="Times New Roman"/>
        </w:rPr>
        <w:t>OE.1: Determinar el impacto de los algoritmos MADRLs en la flexibilidad energética en comunidades inteligentes de la ciudad de Iquitos e identificar cuál de los algoritmos presenta el mejor desempeño en el escenario E1.</w:t>
      </w:r>
    </w:p>
    <w:p>
      <w:r>
        <w:rPr>
          <w:rFonts w:ascii="Times New Roman" w:hAnsi="Times New Roman"/>
        </w:rPr>
        <w:t>OE.2: Determinar el impacto de los algoritmos MADRLs en las emisiones de CO₂ en comunidades inteligentes de la ciudad de Iquitos e identificar cuál de los algoritmos presenta el mejor desempeño en el escenario E2.</w:t>
      </w:r>
    </w:p>
    <w:p>
      <w:r>
        <w:rPr>
          <w:rFonts w:ascii="Times New Roman" w:hAnsi="Times New Roman"/>
        </w:rPr>
        <w:t>OE.3: Determinar el impacto de los algoritmos MADRLs en los costos energéticos en comunidades inteligentes de la ciudad de Iquitos e identificar cuál de los algoritmos presenta el mejor desempeño en el escenario E3.</w:t>
      </w:r>
    </w:p>
    <w:p>
      <w:r>
        <w:rPr>
          <w:rFonts w:ascii="Times New Roman" w:hAnsi="Times New Roman"/>
        </w:rPr>
        <w:t>1.3.2 Hipótesis</w:t>
      </w:r>
    </w:p>
    <w:p>
      <w:r>
        <w:rPr>
          <w:rFonts w:ascii="Times New Roman" w:hAnsi="Times New Roman"/>
        </w:rPr>
        <w:t>1.3.2.1</w:t>
        <w:tab/>
        <w:t>Hipótesis general</w:t>
      </w:r>
    </w:p>
    <w:p>
      <w:r>
        <w:rPr>
          <w:rFonts w:ascii="Times New Roman" w:hAnsi="Times New Roman"/>
        </w:rPr>
        <w:t>H0G.-El algoritmo MADRL no impacta de manera estadísticamente significativa y diferenciada en la gestión coordinada de la flexibilidad energética, las emisiones de CO₂ y los costos energéticos en comunidades inteligentes de la ciudad de Iquitos, y no existen diferencias significativas en el desempeño global de los algoritmos.</w:t>
      </w:r>
    </w:p>
    <w:p>
      <w:r>
        <w:rPr>
          <w:rFonts w:ascii="Times New Roman" w:hAnsi="Times New Roman"/>
        </w:rPr>
        <w:t>H1G.- El algoritmo MADRL impacta de manera estadísticamente significativa y diferenciada en la gestión coordinada de la flexibilidad energética, las emisiones de CO₂ y los costos energéticos en comunidades inteligentes de la ciudad de Iquitos, y el desempeño global difiere entre los algoritmos.</w:t>
      </w:r>
    </w:p>
    <w:p>
      <w:r>
        <w:rPr>
          <w:rFonts w:ascii="Times New Roman" w:hAnsi="Times New Roman"/>
        </w:rPr>
        <w:t>1.3.2.2</w:t>
        <w:tab/>
        <w:t>Hipótesis específicas</w:t>
      </w:r>
    </w:p>
    <w:p>
      <w:r>
        <w:rPr>
          <w:rFonts w:ascii="Times New Roman" w:hAnsi="Times New Roman"/>
        </w:rPr>
        <w:t>HE10.- El algoritmo MADRL no impacta de manera estadísticamente significativa en la flexibilidad energética en comunidades inteligentes de la ciudad de Iquitos, y no existen diferencias significativas entre los algoritmos evaluados en el escenario E1.</w:t>
      </w:r>
    </w:p>
    <w:p>
      <w:r>
        <w:rPr>
          <w:rFonts w:ascii="Times New Roman" w:hAnsi="Times New Roman"/>
        </w:rPr>
        <w:t>HE11.- El algoritmo MADRL impacta de manera estadísticamente significativa en la flexibilidad energética en comunidades inteligentes de la ciudad de Iquitos, y existen diferencias significativas entre los algoritmos evaluados en el escenario E1.</w:t>
      </w:r>
    </w:p>
    <w:p>
      <w:r>
        <w:rPr>
          <w:rFonts w:ascii="Times New Roman" w:hAnsi="Times New Roman"/>
        </w:rPr>
        <w:t>HE20.- El algoritmo MADRL no impacta de manera estadísticamente significativa en las emisiones de CO₂ en comunidades inteligentes de la ciudad de Iquitos, y no existen diferencias significativas entre los algoritmos evaluados en el escenario E2.</w:t>
      </w:r>
    </w:p>
    <w:p>
      <w:r>
        <w:rPr>
          <w:rFonts w:ascii="Times New Roman" w:hAnsi="Times New Roman"/>
        </w:rPr>
        <w:t>HE21.- El algoritmo MADRL impacta de manera estadísticamente significativa en las emisiones de CO₂ en comunidades inteligentes de la ciudad de Iquitos, y existen diferencias significativas entre los algoritmos evaluados en el escenario E2.</w:t>
      </w:r>
    </w:p>
    <w:p>
      <w:r>
        <w:rPr>
          <w:rFonts w:ascii="Times New Roman" w:hAnsi="Times New Roman"/>
        </w:rPr>
        <w:t>HE30.-El algoritmo MADRL no impacta de manera estadísticamente significativa en los costos energéticos en comunidades inteligentes de la ciudad de Iquitos, y no existen diferencias significativas entre los algoritmos evaluados en el escenario E3.</w:t>
      </w:r>
    </w:p>
    <w:p>
      <w:r>
        <w:rPr>
          <w:rFonts w:ascii="Times New Roman" w:hAnsi="Times New Roman"/>
        </w:rPr>
        <w:t>HE31.-El algoritmo MADRL impacta de manera estadísticamente significativa en los costos energéticos en comunidades inteligentes de la ciudad de Iquitos, y existen diferencias significativas entre los algoritmos evaluados en el escenario E3.</w:t>
      </w:r>
    </w:p>
    <w:p>
      <w:pPr>
        <w:pStyle w:val="Heading3"/>
        <w:spacing w:line="480" w:lineRule="auto" w:before="0" w:after="0"/>
        <w:jc w:val="left"/>
      </w:pPr>
      <w:r>
        <w:rPr>
          <w:rFonts w:ascii="Times New Roman" w:hAnsi="Times New Roman" w:cs="Times New Roman" w:eastAsia="Times New Roman"/>
          <w:color w:val="000000"/>
          <w:sz w:val="24"/>
        </w:rPr>
        <w:t>1.3.1 Objetivos</w:t>
      </w:r>
    </w:p>
    <w:p>
      <w:pPr>
        <w:pStyle w:val="Heading4"/>
        <w:spacing w:line="480" w:lineRule="auto" w:before="0" w:after="0"/>
        <w:ind w:firstLine="720"/>
        <w:jc w:val="left"/>
      </w:pPr>
      <w:r>
        <w:rPr>
          <w:rFonts w:ascii="Times New Roman" w:hAnsi="Times New Roman" w:cs="Times New Roman" w:eastAsia="Times New Roman"/>
          <w:color w:val="000000"/>
          <w:sz w:val="24"/>
        </w:rPr>
        <w:t>1.3.1.1 Objetivo general</w:t>
      </w:r>
    </w:p>
    <w:p>
      <w:pPr>
        <w:spacing w:before="0" w:after="0" w:line="480" w:lineRule="auto"/>
        <w:ind w:firstLine="720"/>
        <w:jc w:val="both"/>
      </w:pPr>
      <w:r>
        <w:rPr>
          <w:rFonts w:ascii="Times New Roman" w:hAnsi="Times New Roman" w:eastAsia="Times New Roman"/>
        </w:rPr>
        <w:t>1.3.1.1 Objetivo general</w:t>
      </w:r>
    </w:p>
    <w:p>
      <w:pPr>
        <w:spacing w:before="0" w:after="0" w:line="480" w:lineRule="auto"/>
        <w:ind w:firstLine="720"/>
        <w:jc w:val="both"/>
      </w:pPr>
      <w:r>
        <w:rPr>
          <w:rFonts w:ascii="Times New Roman" w:hAnsi="Times New Roman" w:cs="Times New Roman"/>
          <w:b w:val="0"/>
          <w:sz w:val="24"/>
        </w:rPr>
        <w:t>Identificar el(los) MADRL recomendable(s) por eje y el ranking integrado de gestión coordinada de flexibilidad, CO₂ y costos en el SEAI Iquitos, sin asumir dominancia Pareto universal, evaluando el efecto del factor algoritmo (VI) sobre la VD.</w:t>
      </w:r>
    </w:p>
    <w:p>
      <w:pPr>
        <w:pStyle w:val="Heading4"/>
        <w:spacing w:line="480" w:lineRule="auto" w:before="0" w:after="0"/>
        <w:ind w:firstLine="720"/>
        <w:jc w:val="left"/>
      </w:pPr>
      <w:r>
        <w:rPr>
          <w:rFonts w:ascii="Times New Roman" w:hAnsi="Times New Roman" w:eastAsia="Times New Roman"/>
        </w:rPr>
        <w:t>1.3.1.2 Objetivos específicos</w:t>
      </w:r>
    </w:p>
    <w:p>
      <w:pPr>
        <w:spacing w:before="0" w:after="0" w:line="480" w:lineRule="auto"/>
        <w:ind w:firstLine="720"/>
        <w:jc w:val="both"/>
      </w:pPr>
      <w:r>
        <w:rPr>
          <w:rFonts w:ascii="Times New Roman" w:hAnsi="Times New Roman" w:eastAsia="Times New Roman"/>
        </w:rPr>
        <w:t>1.3.1.2 Objetivos específicos</w:t>
      </w:r>
    </w:p>
    <w:p>
      <w:pPr>
        <w:spacing w:before="0" w:after="0" w:line="480" w:lineRule="auto"/>
        <w:ind w:firstLine="720"/>
        <w:jc w:val="both"/>
      </w:pPr>
      <w:r>
        <w:rPr>
          <w:rFonts w:ascii="Times New Roman" w:hAnsi="Times New Roman"/>
        </w:rPr>
        <w:t>OE.1: Determinar el impacto de los algoritmos MADRLs en la flexibilidad energética en comunidades inteligentes de la ciudad de Iquitos e identificar cuál de los algoritmos presenta el mejor desempeño en el escenario E1.</w:t>
      </w:r>
    </w:p>
    <w:p>
      <w:pPr>
        <w:spacing w:before="0" w:after="0" w:line="480" w:lineRule="auto"/>
        <w:ind w:firstLine="720"/>
        <w:jc w:val="both"/>
      </w:pPr>
      <w:r>
        <w:rPr>
          <w:rFonts w:ascii="Times New Roman" w:hAnsi="Times New Roman"/>
        </w:rPr>
        <w:t>OE.2: Determinar el impacto de los algoritmos MADRLs en las emisiones de CO₂ en comunidades inteligentes de la ciudad de Iquitos e identificar cuál de los algoritmos presenta el mejor desempeño en el escenario E2.</w:t>
      </w:r>
    </w:p>
    <w:p>
      <w:pPr>
        <w:spacing w:before="0" w:after="0" w:line="480" w:lineRule="auto"/>
        <w:ind w:firstLine="720"/>
        <w:jc w:val="both"/>
      </w:pPr>
      <w:r>
        <w:rPr>
          <w:rFonts w:ascii="Times New Roman" w:hAnsi="Times New Roman"/>
        </w:rPr>
        <w:t>OE.3: Determinar el impacto de los algoritmos MADRLs en los costos energéticos en comunidades inteligentes de la ciudad de Iquitos e identificar cuál de los algoritmos presenta el mejor desempeño en el escenario E3.</w:t>
      </w:r>
    </w:p>
    <w:p>
      <w:pPr>
        <w:spacing w:before="0" w:after="0" w:line="480" w:lineRule="auto"/>
        <w:ind w:firstLine="720"/>
        <w:jc w:val="both"/>
      </w:pPr>
      <w:r>
        <w:rPr>
          <w:rFonts w:ascii="Times New Roman" w:hAnsi="Times New Roman" w:cs="Times New Roman" w:eastAsia="Times New Roman"/>
          <w:color w:val="000000"/>
          <w:sz w:val="24"/>
        </w:rPr>
        <w:t>Los objetivos (OG, OE.1-OE.3) determinan el efecto del MADRL (VI) sobre cada dimension de la VD e identifican el algoritmo de mayor efecto mediante KPIs y ranking descriptivo en los Capitulos 5 y 6. Esta redaccion no modifica los objetivos definidos; solo los vincula con el diseno factorial 4x3, los 54 KPI oficiales compatibles con CityLearn v2 y la corrida canonica Drive madrl_v3_20260627_164047 de 50 episodios por tratamiento disponible.</w:t>
      </w:r>
    </w:p>
    <w:p>
      <w:pPr>
        <w:pStyle w:val="Heading3"/>
        <w:spacing w:line="480" w:lineRule="auto" w:before="0" w:after="0"/>
        <w:jc w:val="left"/>
      </w:pPr>
      <w:r>
        <w:rPr>
          <w:rFonts w:ascii="Times New Roman" w:hAnsi="Times New Roman" w:eastAsia="Times New Roman"/>
        </w:rPr>
        <w:t>1.3.2 Hipótesis</w:t>
      </w:r>
    </w:p>
    <w:p>
      <w:pPr>
        <w:spacing w:before="0" w:after="0" w:line="480" w:lineRule="auto"/>
        <w:ind w:firstLine="720"/>
        <w:jc w:val="both"/>
      </w:pPr>
      <w:r>
        <w:rPr>
          <w:rFonts w:ascii="Times New Roman" w:hAnsi="Times New Roman" w:cs="Times New Roman"/>
          <w:b w:val="0"/>
          <w:sz w:val="24"/>
        </w:rPr>
        <w:t>El estudio es cuantitativo, aplicado y cuasiexperimental factorial 4×3 (algoritmo × escenario), basado en simulación. A diferencia de los objetivos, las hipótesis formulan contrastes H₀/H₁ sobre el factor algoritmo (VI). Se contrastan dos capas de evidencia que no deben fusionarse: (A) series episódicas alineadas a OE; (B) KPI-gains de entrenamiento. Protocolo: Shapiro–Wilk → Kruskal–Wallis → Mann–Whitney U (Holm) y Wilcoxon signed-rank (exploratorio); α = 0,05. Las métricas primarias son KPIs energéticos y recompensa MADRL; accuracy/precision/recall/F1 no son métricas centrales. Detalle en Capítulos 3 y 5 (Colas et al., 2019; Agarwal et al., 2021).</w:t>
      </w:r>
    </w:p>
    <w:p>
      <w:pPr>
        <w:pStyle w:val="Heading4"/>
        <w:spacing w:line="480" w:lineRule="auto" w:before="0" w:after="0"/>
        <w:ind w:firstLine="720"/>
        <w:jc w:val="left"/>
      </w:pPr>
      <w:r>
        <w:rPr>
          <w:rFonts w:ascii="Times New Roman" w:hAnsi="Times New Roman" w:eastAsia="Times New Roman"/>
        </w:rPr>
        <w:t>1.3.2.1 Hipótesis general</w:t>
      </w:r>
    </w:p>
    <w:p>
      <w:pPr>
        <w:spacing w:before="0" w:after="0" w:line="480" w:lineRule="auto"/>
        <w:ind w:firstLine="720"/>
        <w:jc w:val="both"/>
      </w:pPr>
      <w:r>
        <w:rPr>
          <w:rFonts w:ascii="Times New Roman" w:hAnsi="Times New Roman" w:eastAsia="Times New Roman"/>
        </w:rPr>
        <w:t>1.3.2.1 Hipótesis general</w:t>
      </w:r>
    </w:p>
    <w:p>
      <w:pPr>
        <w:spacing w:before="0" w:after="0" w:line="480" w:lineRule="auto"/>
        <w:ind w:firstLine="720"/>
        <w:jc w:val="both"/>
      </w:pPr>
      <w:r>
        <w:rPr>
          <w:rFonts w:ascii="Times New Roman" w:hAnsi="Times New Roman" w:cs="Times New Roman"/>
          <w:b w:val="0"/>
          <w:sz w:val="24"/>
        </w:rPr>
        <w:t>H₁(G): no existe un único MADRL que domine simultáneamente los tres ejes; el ranking integrado y los líderes por eje pueden diferir (trade-off Pareto), con efectos diferenciados del factor algoritmo sobre la VD. H₀(G): las distribuciones de desempeño entre algoritmos son idénticas en el agregado de ejes (omnibus KPI-gains).</w:t>
      </w:r>
    </w:p>
    <w:p>
      <w:pPr>
        <w:pStyle w:val="Heading4"/>
        <w:spacing w:line="480" w:lineRule="auto" w:before="0" w:after="0"/>
        <w:ind w:firstLine="720"/>
        <w:jc w:val="left"/>
      </w:pPr>
      <w:r>
        <w:rPr>
          <w:rFonts w:ascii="Times New Roman" w:hAnsi="Times New Roman" w:eastAsia="Times New Roman"/>
        </w:rPr>
        <w:t>1.3.2.2 Hipótesis específicas</w:t>
      </w:r>
    </w:p>
    <w:p>
      <w:pPr>
        <w:spacing w:before="0" w:after="0" w:line="480" w:lineRule="auto"/>
        <w:ind w:firstLine="720"/>
        <w:jc w:val="both"/>
      </w:pPr>
      <w:r>
        <w:rPr>
          <w:rFonts w:ascii="Times New Roman" w:hAnsi="Times New Roman" w:eastAsia="Times New Roman"/>
        </w:rPr>
        <w:t>1.3.2.2 Hipótesis específicas</w:t>
      </w:r>
    </w:p>
    <w:p>
      <w:pPr>
        <w:spacing w:before="0" w:after="0" w:line="480" w:lineRule="auto"/>
        <w:ind w:firstLine="720"/>
        <w:jc w:val="both"/>
      </w:pPr>
      <w:r>
        <w:rPr>
          <w:rFonts w:ascii="Times New Roman" w:hAnsi="Times New Roman" w:cs="Times New Roman"/>
          <w:b w:val="0"/>
          <w:sz w:val="24"/>
        </w:rPr>
        <w:t>HE.1: H₁₁ = las distribuciones de desempeño de flexibilidad (D-VD.1) difieren entre algoritmos; H₀₁ = son idénticas. El líder descriptivo compuesto en E1 es MATD3; la media episódica de reward_mean_average favorece a MAAC.</w:t>
      </w:r>
    </w:p>
    <w:p>
      <w:pPr>
        <w:spacing w:before="0" w:after="0" w:line="480" w:lineRule="auto"/>
        <w:ind w:firstLine="720"/>
        <w:jc w:val="both"/>
      </w:pPr>
      <w:r>
        <w:rPr>
          <w:rFonts w:ascii="Times New Roman" w:hAnsi="Times New Roman" w:cs="Times New Roman"/>
          <w:b w:val="0"/>
          <w:sz w:val="24"/>
        </w:rPr>
        <w:t>HE.2: H₁₂ = las distribuciones de emisiones de CO₂ (D-VD.2) difieren entre algoritmos; H₀₂ = son idénticas. El líder descriptivo en E2 es MATD3.</w:t>
      </w:r>
    </w:p>
    <w:p>
      <w:pPr>
        <w:spacing w:before="0" w:after="0" w:line="480" w:lineRule="auto"/>
        <w:ind w:firstLine="720"/>
        <w:jc w:val="both"/>
      </w:pPr>
      <w:r>
        <w:rPr>
          <w:rFonts w:ascii="Times New Roman" w:hAnsi="Times New Roman" w:cs="Times New Roman"/>
          <w:b w:val="0"/>
          <w:sz w:val="24"/>
        </w:rPr>
        <w:t>HE.3: H₁₃ = las distribuciones de costo energético (D-VD.3) difieren entre algoritmos; H₀₃ = son idénticas. El líder descriptivo en E3 es MAAC (Δcosto 9 515 EUR).</w:t>
      </w:r>
    </w:p>
    <w:p>
      <w:pPr>
        <w:spacing w:before="0" w:after="0" w:line="480" w:lineRule="auto"/>
        <w:ind w:firstLine="720"/>
        <w:jc w:val="both"/>
      </w:pPr>
      <w:r>
        <w:rPr>
          <w:rFonts w:ascii="Times New Roman" w:hAnsi="Times New Roman" w:cs="Times New Roman"/>
          <w:b w:val="0"/>
          <w:sz w:val="24"/>
        </w:rPr>
        <w:t>Veredicto (corrida madrl_v3_20260627_164047, seed = 0): ranking/Pareto descriptivo aceptado (MATD3 score 0,6667; sin dominador universal; MAAC lidera costos y evaluate_v2 4/4). Contrastación canónica Cap. 5 sobre KPI-gains: HE10/HE20/HE30 no se rechazan (KW p = 0,4685 / 0,7648 / 0,7357); HE11/HE21/HE31 no se respaldan; H0G se rechaza de forma exploratoria (Friedman p = 0,0096) con KW ALL no significativo (p = 0,1554). Las capas episódicas, evaluate_v2 4/4 y TOPSIS (medida multicriterio formal adicional; MAAC C* ≈ 0,9827) complementan el veredicto HE de KPI-gains: convergen con evaluate_v2 en coronar a MAAC (0,9538), y divergen del orden 2.º/3.º (TOPSIS: MASAC &gt; MATD3; evaluate_v2: MATD3 &gt; MASAC), sin sustituir el omnibus.</w:t>
      </w:r>
    </w:p>
    <w:p>
      <w:pPr>
        <w:pStyle w:val="Heading2"/>
        <w:spacing w:line="480" w:lineRule="auto" w:before="0" w:after="0"/>
        <w:jc w:val="left"/>
      </w:pPr>
      <w:r>
        <w:rPr>
          <w:rFonts w:ascii="Times New Roman" w:hAnsi="Times New Roman" w:cs="Times New Roman" w:eastAsia="Times New Roman"/>
          <w:color w:val="000000"/>
          <w:sz w:val="24"/>
        </w:rPr>
        <w:t>1.4 Matriz de consistencia y operacionalizacion</w:t>
      </w:r>
    </w:p>
    <w:p>
      <w:pPr>
        <w:pStyle w:val="TablaIndice"/>
        <w:spacing w:before="0" w:after="0" w:line="480" w:lineRule="auto"/>
        <w:jc w:val="left"/>
      </w:pPr>
      <w:r>
        <w:rPr>
          <w:rFonts w:ascii="Times New Roman" w:hAnsi="Times New Roman" w:cs="Times New Roman" w:eastAsia="Times New Roman"/>
          <w:b/>
          <w:i w:val="0"/>
          <w:color w:val="000000"/>
          <w:sz w:val="24"/>
        </w:rPr>
        <w:t>Tabla 1.1</w:t>
        <w:br/>
      </w:r>
      <w:r>
        <w:rPr>
          <w:rFonts w:ascii="Times New Roman" w:hAnsi="Times New Roman" w:cs="Times New Roman" w:eastAsia="Times New Roman"/>
          <w:b w:val="0"/>
          <w:i/>
          <w:color w:val="000000"/>
          <w:sz w:val="24"/>
        </w:rPr>
        <w:t>Matriz de consistencia problema-objetivo-hipotesis</w:t>
      </w:r>
    </w:p>
    <w:tbl>
      <w:tblPr>
        <w:tblW w:type="auto" w:w="0"/>
        <w:jc w:val="center"/>
        <w:tblLook w:firstColumn="1" w:firstRow="1" w:lastColumn="0" w:lastRow="0" w:noHBand="0" w:noVBand="1" w:val="04A0"/>
      </w:tblPr>
      <w:tblGrid>
        <w:gridCol w:w="1728"/>
        <w:gridCol w:w="1728"/>
        <w:gridCol w:w="1728"/>
        <w:gridCol w:w="1728"/>
        <w:gridCol w:w="1728"/>
      </w:tblGrid>
      <w:tr>
        <w:tc>
          <w:tcPr>
            <w:tcW w:type="dxa" w:w="172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Dimension</w:t>
            </w:r>
          </w:p>
        </w:tc>
        <w:tc>
          <w:tcPr>
            <w:tcW w:type="dxa" w:w="172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Problema especifico</w:t>
            </w:r>
          </w:p>
        </w:tc>
        <w:tc>
          <w:tcPr>
            <w:tcW w:type="dxa" w:w="172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Objetivo especifico</w:t>
            </w:r>
          </w:p>
        </w:tc>
        <w:tc>
          <w:tcPr>
            <w:tcW w:type="dxa" w:w="172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Hipotesis especifica</w:t>
            </w:r>
          </w:p>
        </w:tc>
        <w:tc>
          <w:tcPr>
            <w:tcW w:type="dxa" w:w="172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Evidencia real de resultados</w:t>
            </w:r>
          </w:p>
        </w:tc>
      </w:tr>
      <w:tr>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D-VD.1 Flexibilidad energetica</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eastAsia="Times New Roman"/>
              </w:rPr>
              <w:t>PE.1: ¿En qué medida el algoritmo MADRL impacta en la flexibilidad energética en comunidades inteligentes de la ciudad de Iquitos, y cuál de los algoritmos presenta el mejor desempeño en el escenario E1?</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OE.1: Determinar el efecto del algoritmo MADRL (VI) sobre la flexibilidad energetica (D-VD.1) e identificar el algoritmo de mayor efecto en esta dimension.</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HE.1: El algoritmo MADRL (VI) produce un efecto significativo sobre la flexibilidad energetica (D-VD.1); el mayor efecto corresponde al algoritmo con menor variabilidad en los KPI de pico y rampa.</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KPIs de pico, rampa, load factor, convergencia y comparacion por algoritmo desde 50 episodios Drive.</w:t>
            </w:r>
          </w:p>
        </w:tc>
      </w:tr>
      <w:tr>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D-VD.2 Emisiones de CO2</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eastAsia="Times New Roman"/>
              </w:rPr>
              <w:t>PE.2: ¿En qué medida el algoritmo MADRL impacta en las emisiones de CO₂ en comunidades inteligentes de la ciudad de Iquitos, y cuál de los algoritmos presenta el mejor desempeño en el escenario E2?</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OE.2: Determinar el efecto del algoritmo MADRL (VI) sobre las emisiones de CO2 (D-VD.2) e identificar el algoritmo de mayor efecto en esta dimension.</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HE.2: El algoritmo MADRL (VI) produce un efecto significativo sobre las emisiones de CO2 (D-VD.2); el mayor efecto corresponde a MATD3.</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KPIs de emisiones, carbon-aware control, ranking por escenario y pruebas no parametricas desde artefactos Drive.</w:t>
            </w:r>
          </w:p>
        </w:tc>
      </w:tr>
      <w:tr>
        <w:tc>
          <w:tcPr>
            <w:tcW w:type="dxa" w:w="172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D-VD.3 Costos energeticos</w:t>
            </w:r>
          </w:p>
        </w:tc>
        <w:tc>
          <w:tcPr>
            <w:tcW w:type="dxa" w:w="172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eastAsia="Times New Roman"/>
              </w:rPr>
              <w:t>PE.3: ¿En qué medida el algoritmo MADRL impacta en los costos energéticos en comunidades inteligentes de la ciudad de Iquitos, y cuál de los algoritmos presenta el mejor desempeño en el escenario E3?</w:t>
            </w:r>
          </w:p>
        </w:tc>
        <w:tc>
          <w:tcPr>
            <w:tcW w:type="dxa" w:w="172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OE.3: Determinar el efecto del algoritmo MADRL (VI) sobre los costos energeticos (D-VD.3) e identificar el algoritmo de mayor efecto en esta dimension.</w:t>
            </w:r>
          </w:p>
        </w:tc>
        <w:tc>
          <w:tcPr>
            <w:tcW w:type="dxa" w:w="172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HE.3: El algoritmo MADRL (VI) produce un efecto significativo sobre los costos energeticos (D-VD.3); el mayor efecto corresponde al algoritmo con menor delta de costo electrico.</w:t>
            </w:r>
          </w:p>
        </w:tc>
        <w:tc>
          <w:tcPr>
            <w:tcW w:type="dxa" w:w="172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KPIs de costo electrico, tarifa TOU, comparacion por edificio y efecto inferencial desde timeseries y tablas reales.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correspondencia entre problema, objetivos, hipotesis, variables y alcances del planteamiento. Fuente: Elaboracion propia a partir de la formulacion del problema, objetivos e hipotesis definidos en el Capitulo 1.</w:t>
      </w:r>
    </w:p>
    <w:p/>
    <w:p>
      <w:pPr>
        <w:pStyle w:val="TablaIndice"/>
        <w:spacing w:before="0" w:after="0" w:line="480" w:lineRule="auto"/>
        <w:jc w:val="left"/>
      </w:pPr>
      <w:r>
        <w:rPr>
          <w:rFonts w:ascii="Times New Roman" w:hAnsi="Times New Roman" w:cs="Times New Roman" w:eastAsia="Times New Roman"/>
          <w:b/>
          <w:i w:val="0"/>
          <w:color w:val="000000"/>
          <w:sz w:val="24"/>
        </w:rPr>
        <w:t>Tabla 1.2</w:t>
        <w:br/>
      </w:r>
      <w:r>
        <w:rPr>
          <w:rFonts w:ascii="Times New Roman" w:hAnsi="Times New Roman" w:cs="Times New Roman" w:eastAsia="Times New Roman"/>
          <w:b w:val="0"/>
          <w:i/>
          <w:color w:val="000000"/>
          <w:sz w:val="24"/>
        </w:rPr>
        <w:t>Operacionalizacion de variables independientes y dependientes</w:t>
      </w:r>
    </w:p>
    <w:tbl>
      <w:tblPr>
        <w:tblW w:type="auto" w:w="0"/>
        <w:jc w:val="center"/>
        <w:tblLook w:firstColumn="1" w:firstRow="1" w:lastColumn="0" w:lastRow="0" w:noHBand="0" w:noVBand="1" w:val="04A0"/>
      </w:tblPr>
      <w:tblGrid>
        <w:gridCol w:w="1728"/>
        <w:gridCol w:w="1728"/>
        <w:gridCol w:w="1728"/>
        <w:gridCol w:w="1728"/>
        <w:gridCol w:w="1728"/>
      </w:tblGrid>
      <w:tr>
        <w:tc>
          <w:tcPr>
            <w:tcW w:type="dxa" w:w="172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Variable</w:t>
            </w:r>
          </w:p>
        </w:tc>
        <w:tc>
          <w:tcPr>
            <w:tcW w:type="dxa" w:w="172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Dimension</w:t>
            </w:r>
          </w:p>
        </w:tc>
        <w:tc>
          <w:tcPr>
            <w:tcW w:type="dxa" w:w="172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Indicadores</w:t>
            </w:r>
          </w:p>
        </w:tc>
        <w:tc>
          <w:tcPr>
            <w:tcW w:type="dxa" w:w="172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Fuente empirica</w:t>
            </w:r>
          </w:p>
        </w:tc>
        <w:tc>
          <w:tcPr>
            <w:tcW w:type="dxa" w:w="172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Uso analitico</w:t>
            </w:r>
          </w:p>
        </w:tc>
      </w:tr>
      <w:tr>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 algoritmo MADRL</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Tratamiento algoritmico</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 MASAC, MATD3, MAAC; escenarios E1, E2, E3</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results, traces, checkpoints y configuraciones Drive</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Comparacion factorial 4x3.</w:t>
            </w:r>
          </w:p>
        </w:tc>
      </w:tr>
      <w:tr>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VD: gestion coordinada</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D-VD.1 Flexibilidad energetica</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pico, rampa, load factor, consumo neto y KPIs CityLearn v2</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timeseries y tablas district/building KPIs</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Respuesta a PE.1/OE.1/HE.1.</w:t>
            </w:r>
          </w:p>
        </w:tc>
      </w:tr>
      <w:tr>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VD: gestion coordinada</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D-VD.2 Emisiones de CO2</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emisiones, carbon intensity y consumo ponderado por carbono</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timeseries y KPI de emisiones</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Respuesta a PE.2/OE.2/HE.2.</w:t>
            </w:r>
          </w:p>
        </w:tc>
      </w:tr>
      <w:tr>
        <w:tc>
          <w:tcPr>
            <w:tcW w:type="dxa" w:w="172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VD: gestion coordinada</w:t>
            </w:r>
          </w:p>
        </w:tc>
        <w:tc>
          <w:tcPr>
            <w:tcW w:type="dxa" w:w="172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D-VD.3 Costos energeticos</w:t>
            </w:r>
          </w:p>
        </w:tc>
        <w:tc>
          <w:tcPr>
            <w:tcW w:type="dxa" w:w="172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costo electrico, tarifa TOU y costo acumulado</w:t>
            </w:r>
          </w:p>
        </w:tc>
        <w:tc>
          <w:tcPr>
            <w:tcW w:type="dxa" w:w="172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timeseries y KPI de costos</w:t>
            </w:r>
          </w:p>
        </w:tc>
        <w:tc>
          <w:tcPr>
            <w:tcW w:type="dxa" w:w="172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Respuesta a PE.3/OE.3/HE.3.</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correspondencia entre problema, objetivos, hipotesis, variables y alcances del planteamiento. Fuente: Elaboracion propia a partir de la formulacion del problema, objetivos e hipotesis definidos en el Capitulo 1.</w:t>
      </w:r>
    </w:p>
    <w:p/>
    <w:p>
      <w:pPr>
        <w:pStyle w:val="Heading3"/>
      </w:pPr>
      <w:r>
        <w:rPr>
          <w:rFonts w:ascii="Times New Roman" w:hAnsi="Times New Roman" w:cs="Times New Roman"/>
          <w:b/>
          <w:i w:val="0"/>
          <w:sz w:val="24"/>
        </w:rPr>
        <w:t>1.4.1 Criterios de determinacion del impacto</w:t>
      </w:r>
    </w:p>
    <w:p>
      <w:r>
        <w:rPr>
          <w:rFonts w:ascii="Times New Roman" w:hAnsi="Times New Roman" w:cs="Times New Roman"/>
          <w:b w:val="0"/>
          <w:i w:val="0"/>
          <w:sz w:val="24"/>
        </w:rPr>
        <w:t>Para cumplir el OG y los OE.1–OE.3, y para demostrar las hipotesis, la tesis exige el conjunto completo de criterios de determinacion del impacto (C1–C5). Uno de ellos —C5— es el control de recursos energeticos (BESS, EV/V2G y carga desplazable). Los tres ejes se reportan a nivel de distrito y a nivel de edificio (evidencia Cap. 5).</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1F4E79" w:val="clear"/>
          </w:tcPr>
          <w:p>
            <w:r/>
            <w:r>
              <w:rPr>
                <w:rFonts w:ascii="Times New Roman" w:hAnsi="Times New Roman" w:cs="Times New Roman"/>
                <w:b/>
                <w:i w:val="0"/>
                <w:color w:val="FFFFFF"/>
                <w:sz w:val="20"/>
              </w:rPr>
              <w:t>Id</w:t>
            </w:r>
          </w:p>
        </w:tc>
        <w:tc>
          <w:tcPr>
            <w:tcW w:type="dxa" w:w="2340"/>
            <w:shd w:fill="1F4E79" w:val="clear"/>
          </w:tcPr>
          <w:p>
            <w:r/>
            <w:r>
              <w:rPr>
                <w:rFonts w:ascii="Times New Roman" w:hAnsi="Times New Roman" w:cs="Times New Roman"/>
                <w:b/>
                <w:i w:val="0"/>
                <w:color w:val="FFFFFF"/>
                <w:sz w:val="20"/>
              </w:rPr>
              <w:t>Criterio</w:t>
            </w:r>
          </w:p>
        </w:tc>
        <w:tc>
          <w:tcPr>
            <w:tcW w:type="dxa" w:w="2340"/>
            <w:shd w:fill="1F4E79" w:val="clear"/>
          </w:tcPr>
          <w:p>
            <w:r/>
            <w:r>
              <w:rPr>
                <w:rFonts w:ascii="Times New Roman" w:hAnsi="Times New Roman" w:cs="Times New Roman"/>
                <w:b/>
                <w:i w:val="0"/>
                <w:color w:val="FFFFFF"/>
                <w:sz w:val="20"/>
              </w:rPr>
              <w:t>Medida / prueba</w:t>
            </w:r>
          </w:p>
        </w:tc>
        <w:tc>
          <w:tcPr>
            <w:tcW w:type="dxa" w:w="2340"/>
            <w:shd w:fill="1F4E79" w:val="clear"/>
          </w:tcPr>
          <w:p>
            <w:r/>
            <w:r>
              <w:rPr>
                <w:rFonts w:ascii="Times New Roman" w:hAnsi="Times New Roman" w:cs="Times New Roman"/>
                <w:b/>
                <w:i w:val="0"/>
                <w:color w:val="FFFFFF"/>
                <w:sz w:val="20"/>
              </w:rPr>
              <w:t>Rol</w:t>
            </w:r>
          </w:p>
        </w:tc>
      </w:tr>
      <w:tr>
        <w:tc>
          <w:tcPr>
            <w:tcW w:type="dxa" w:w="2340"/>
          </w:tcPr>
          <w:p>
            <w:r/>
            <w:r>
              <w:rPr>
                <w:rFonts w:ascii="Times New Roman" w:hAnsi="Times New Roman" w:cs="Times New Roman"/>
                <w:b w:val="0"/>
                <w:i w:val="0"/>
                <w:sz w:val="20"/>
              </w:rPr>
              <w:t>C1</w:t>
            </w:r>
          </w:p>
        </w:tc>
        <w:tc>
          <w:tcPr>
            <w:tcW w:type="dxa" w:w="2340"/>
          </w:tcPr>
          <w:p>
            <w:r/>
            <w:r>
              <w:rPr>
                <w:rFonts w:ascii="Times New Roman" w:hAnsi="Times New Roman" w:cs="Times New Roman"/>
                <w:b w:val="0"/>
                <w:i w:val="0"/>
                <w:sz w:val="20"/>
              </w:rPr>
              <w:t>Impacto vs baseline</w:t>
            </w:r>
          </w:p>
        </w:tc>
        <w:tc>
          <w:tcPr>
            <w:tcW w:type="dxa" w:w="2340"/>
          </w:tcPr>
          <w:p>
            <w:r/>
            <w:r>
              <w:rPr>
                <w:rFonts w:ascii="Times New Roman" w:hAnsi="Times New Roman" w:cs="Times New Roman"/>
                <w:b w:val="0"/>
                <w:i w:val="0"/>
                <w:sz w:val="20"/>
              </w:rPr>
              <w:t>Wilcoxon KPI-gains vs cero + Holm</w:t>
            </w:r>
          </w:p>
        </w:tc>
        <w:tc>
          <w:tcPr>
            <w:tcW w:type="dxa" w:w="2340"/>
          </w:tcPr>
          <w:p>
            <w:r/>
            <w:r>
              <w:rPr>
                <w:rFonts w:ascii="Times New Roman" w:hAnsi="Times New Roman" w:cs="Times New Roman"/>
                <w:b w:val="0"/>
                <w:i w:val="0"/>
                <w:sz w:val="20"/>
              </w:rPr>
              <w:t>Inferencial HE</w:t>
            </w:r>
          </w:p>
        </w:tc>
      </w:tr>
      <w:tr>
        <w:tc>
          <w:tcPr>
            <w:tcW w:type="dxa" w:w="2340"/>
          </w:tcPr>
          <w:p>
            <w:r/>
            <w:r>
              <w:rPr>
                <w:rFonts w:ascii="Times New Roman" w:hAnsi="Times New Roman" w:cs="Times New Roman"/>
                <w:b w:val="0"/>
                <w:i w:val="0"/>
                <w:sz w:val="20"/>
              </w:rPr>
              <w:t>C2</w:t>
            </w:r>
          </w:p>
        </w:tc>
        <w:tc>
          <w:tcPr>
            <w:tcW w:type="dxa" w:w="2340"/>
          </w:tcPr>
          <w:p>
            <w:r/>
            <w:r>
              <w:rPr>
                <w:rFonts w:ascii="Times New Roman" w:hAnsi="Times New Roman" w:cs="Times New Roman"/>
                <w:b w:val="0"/>
                <w:i w:val="0"/>
                <w:sz w:val="20"/>
              </w:rPr>
              <w:t>Diferencias entre algoritmos</w:t>
            </w:r>
          </w:p>
        </w:tc>
        <w:tc>
          <w:tcPr>
            <w:tcW w:type="dxa" w:w="2340"/>
          </w:tcPr>
          <w:p>
            <w:r/>
            <w:r>
              <w:rPr>
                <w:rFonts w:ascii="Times New Roman" w:hAnsi="Times New Roman" w:cs="Times New Roman"/>
                <w:b w:val="0"/>
                <w:i w:val="0"/>
                <w:sz w:val="20"/>
              </w:rPr>
              <w:t>Kruskal-Wallis / Friedman + Holm</w:t>
            </w:r>
          </w:p>
        </w:tc>
        <w:tc>
          <w:tcPr>
            <w:tcW w:type="dxa" w:w="2340"/>
          </w:tcPr>
          <w:p>
            <w:r/>
            <w:r>
              <w:rPr>
                <w:rFonts w:ascii="Times New Roman" w:hAnsi="Times New Roman" w:cs="Times New Roman"/>
                <w:b w:val="0"/>
                <w:i w:val="0"/>
                <w:sz w:val="20"/>
              </w:rPr>
              <w:t>Inferencial HE</w:t>
            </w:r>
          </w:p>
        </w:tc>
      </w:tr>
      <w:tr>
        <w:tc>
          <w:tcPr>
            <w:tcW w:type="dxa" w:w="2340"/>
          </w:tcPr>
          <w:p>
            <w:r/>
            <w:r>
              <w:rPr>
                <w:rFonts w:ascii="Times New Roman" w:hAnsi="Times New Roman" w:cs="Times New Roman"/>
                <w:b w:val="0"/>
                <w:i w:val="0"/>
                <w:sz w:val="20"/>
              </w:rPr>
              <w:t>C3</w:t>
            </w:r>
          </w:p>
        </w:tc>
        <w:tc>
          <w:tcPr>
            <w:tcW w:type="dxa" w:w="2340"/>
          </w:tcPr>
          <w:p>
            <w:r/>
            <w:r>
              <w:rPr>
                <w:rFonts w:ascii="Times New Roman" w:hAnsi="Times New Roman" w:cs="Times New Roman"/>
                <w:b w:val="0"/>
                <w:i w:val="0"/>
                <w:sz w:val="20"/>
              </w:rPr>
              <w:t>KPIs fisicos de distrito por eje</w:t>
            </w:r>
          </w:p>
        </w:tc>
        <w:tc>
          <w:tcPr>
            <w:tcW w:type="dxa" w:w="2340"/>
          </w:tcPr>
          <w:p>
            <w:r/>
            <w:r>
              <w:rPr>
                <w:rFonts w:ascii="Times New Roman" w:hAnsi="Times New Roman" w:cs="Times New Roman"/>
                <w:b w:val="0"/>
                <w:i w:val="0"/>
                <w:sz w:val="20"/>
              </w:rPr>
              <w:t>flex_composite / delta CO2 / delta costo (OE.1-OE.3)</w:t>
            </w:r>
          </w:p>
        </w:tc>
        <w:tc>
          <w:tcPr>
            <w:tcW w:type="dxa" w:w="2340"/>
          </w:tcPr>
          <w:p>
            <w:r/>
            <w:r>
              <w:rPr>
                <w:rFonts w:ascii="Times New Roman" w:hAnsi="Times New Roman" w:cs="Times New Roman"/>
                <w:b w:val="0"/>
                <w:i w:val="0"/>
                <w:sz w:val="20"/>
              </w:rPr>
              <w:t>Descriptivo distrito</w:t>
            </w:r>
          </w:p>
        </w:tc>
      </w:tr>
      <w:tr>
        <w:tc>
          <w:tcPr>
            <w:tcW w:type="dxa" w:w="2340"/>
          </w:tcPr>
          <w:p>
            <w:r/>
            <w:r>
              <w:rPr>
                <w:rFonts w:ascii="Times New Roman" w:hAnsi="Times New Roman" w:cs="Times New Roman"/>
                <w:b w:val="0"/>
                <w:i w:val="0"/>
                <w:sz w:val="20"/>
              </w:rPr>
              <w:t>C4</w:t>
            </w:r>
          </w:p>
        </w:tc>
        <w:tc>
          <w:tcPr>
            <w:tcW w:type="dxa" w:w="2340"/>
          </w:tcPr>
          <w:p>
            <w:r/>
            <w:r>
              <w:rPr>
                <w:rFonts w:ascii="Times New Roman" w:hAnsi="Times New Roman" w:cs="Times New Roman"/>
                <w:b w:val="0"/>
                <w:i w:val="0"/>
                <w:sz w:val="20"/>
              </w:rPr>
              <w:t>KPIs desagregados por edificio por eje</w:t>
            </w:r>
          </w:p>
        </w:tc>
        <w:tc>
          <w:tcPr>
            <w:tcW w:type="dxa" w:w="2340"/>
          </w:tcPr>
          <w:p>
            <w:r/>
            <w:r>
              <w:rPr>
                <w:rFonts w:ascii="Times New Roman" w:hAnsi="Times New Roman" w:cs="Times New Roman"/>
                <w:b w:val="0"/>
                <w:i w:val="0"/>
                <w:sz w:val="20"/>
              </w:rPr>
              <w:t>17 edificios x E1/E2/E3</w:t>
            </w:r>
          </w:p>
        </w:tc>
        <w:tc>
          <w:tcPr>
            <w:tcW w:type="dxa" w:w="2340"/>
          </w:tcPr>
          <w:p>
            <w:r/>
            <w:r>
              <w:rPr>
                <w:rFonts w:ascii="Times New Roman" w:hAnsi="Times New Roman" w:cs="Times New Roman"/>
                <w:b w:val="0"/>
                <w:i w:val="0"/>
                <w:sz w:val="20"/>
              </w:rPr>
              <w:t>Descriptivo edificio</w:t>
            </w:r>
          </w:p>
        </w:tc>
      </w:tr>
      <w:tr>
        <w:tc>
          <w:tcPr>
            <w:tcW w:type="dxa" w:w="2340"/>
          </w:tcPr>
          <w:p>
            <w:r/>
            <w:r>
              <w:rPr>
                <w:rFonts w:ascii="Times New Roman" w:hAnsi="Times New Roman" w:cs="Times New Roman"/>
                <w:b w:val="0"/>
                <w:i w:val="0"/>
                <w:sz w:val="20"/>
              </w:rPr>
              <w:t>C5</w:t>
            </w:r>
          </w:p>
        </w:tc>
        <w:tc>
          <w:tcPr>
            <w:tcW w:type="dxa" w:w="2340"/>
          </w:tcPr>
          <w:p>
            <w:r/>
            <w:r>
              <w:rPr>
                <w:rFonts w:ascii="Times New Roman" w:hAnsi="Times New Roman" w:cs="Times New Roman"/>
                <w:b w:val="0"/>
                <w:i w:val="0"/>
                <w:sz w:val="20"/>
              </w:rPr>
              <w:t>Control de recursos</w:t>
            </w:r>
          </w:p>
        </w:tc>
        <w:tc>
          <w:tcPr>
            <w:tcW w:type="dxa" w:w="2340"/>
          </w:tcPr>
          <w:p>
            <w:r/>
            <w:r>
              <w:rPr>
                <w:rFonts w:ascii="Times New Roman" w:hAnsi="Times New Roman" w:cs="Times New Roman"/>
                <w:b w:val="0"/>
                <w:i w:val="0"/>
                <w:sz w:val="20"/>
              </w:rPr>
              <w:t>BESS, EV/V2G, carga desplazable (acciones y exito EV)</w:t>
            </w:r>
          </w:p>
        </w:tc>
        <w:tc>
          <w:tcPr>
            <w:tcW w:type="dxa" w:w="2340"/>
          </w:tcPr>
          <w:p>
            <w:r/>
            <w:r>
              <w:rPr>
                <w:rFonts w:ascii="Times New Roman" w:hAnsi="Times New Roman" w:cs="Times New Roman"/>
                <w:b w:val="0"/>
                <w:i w:val="0"/>
                <w:sz w:val="20"/>
              </w:rPr>
              <w:t>Obligatorio (atribuibilidad)</w:t>
            </w:r>
          </w:p>
        </w:tc>
      </w:tr>
    </w:tbl>
    <w:p>
      <w:pPr>
        <w:jc w:val="center"/>
      </w:pPr>
      <w:r>
        <w:rPr>
          <w:rFonts w:ascii="Times New Roman" w:hAnsi="Times New Roman" w:cs="Times New Roman"/>
          <w:b w:val="0"/>
          <w:i/>
          <w:sz w:val="20"/>
        </w:rPr>
        <w:t>Tabla 1.3. Criterios completos de determinacion del impacto (C5 = control de recursos; evidencia Cap. 5).</w:t>
      </w:r>
    </w:p>
    <w:p>
      <w:r>
        <w:rPr>
          <w:rFonts w:ascii="Times New Roman" w:hAnsi="Times New Roman" w:cs="Times New Roman"/>
          <w:b w:val="0"/>
          <w:i w:val="0"/>
          <w:sz w:val="24"/>
        </w:rPr>
        <w:t>Regla de cumplimiento sin parciales: OG/OE.1–OE.3 y la demostracion de hipotesis exigen C1–C5. Cada eje se reporta a nivel distrito y a nivel edificio. C5 (control de recursos) es obligatorio para atribuir el impacto a las acciones MADRL sobre BESS, EV/V2G y carga desplazable.</w:t>
      </w:r>
    </w:p>
    <w:p>
      <w:pPr>
        <w:pStyle w:val="Heading2"/>
        <w:spacing w:line="480" w:lineRule="auto" w:before="0" w:after="0"/>
        <w:jc w:val="left"/>
      </w:pPr>
      <w:r>
        <w:rPr>
          <w:rFonts w:ascii="Times New Roman" w:hAnsi="Times New Roman" w:cs="Times New Roman" w:eastAsia="Times New Roman"/>
          <w:color w:val="000000"/>
          <w:sz w:val="24"/>
        </w:rPr>
        <w:t>1.5 Justificacion</w:t>
      </w:r>
    </w:p>
    <w:p>
      <w:pPr>
        <w:spacing w:before="0" w:after="0" w:line="480" w:lineRule="auto"/>
        <w:ind w:firstLine="720"/>
        <w:jc w:val="both"/>
      </w:pPr>
      <w:r>
        <w:rPr>
          <w:rFonts w:ascii="Times New Roman" w:hAnsi="Times New Roman" w:cs="Times New Roman" w:eastAsia="Times New Roman"/>
          <w:color w:val="000000"/>
          <w:sz w:val="24"/>
        </w:rPr>
        <w:t>Tecnica: aporta una evaluacion unificada de HAPPO, MASAC, MATD3 y MAAC bajo Dec-POMDP y CTDE, avanzando el estado del arte en control energetico cooperativo. La mejora incorporada consiste en hacer explicita la relacion entre esa evaluacion y los artefactos reales del proyecto: results, timeseries, traces, checkpoints, KPIs distritales, KPIs por edificio y figuras generadas desde la corrida Drive.</w:t>
      </w:r>
    </w:p>
    <w:p>
      <w:pPr>
        <w:spacing w:before="0" w:after="0" w:line="480" w:lineRule="auto"/>
        <w:ind w:firstLine="720"/>
        <w:jc w:val="both"/>
      </w:pPr>
      <w:r>
        <w:rPr>
          <w:rFonts w:ascii="Times New Roman" w:hAnsi="Times New Roman" w:cs="Times New Roman" w:eastAsia="Times New Roman"/>
          <w:color w:val="000000"/>
          <w:sz w:val="24"/>
        </w:rPr>
        <w:t>Ambiental: identificar el mejor MADRL para reduccion de CO2 contribuye a la descarbonizacion de comunidades grid-interactive, con aplicabilidad al SEAI Iquitos (factor de emision 0.790 kgCO2/kWh). Esta justificacion se mantiene porque OE.2 y PE.2 se responden con indicadores de emisiones reales derivados de la simulacion y no con estimaciones externas inventadas.</w:t>
      </w:r>
    </w:p>
    <w:p>
      <w:pPr>
        <w:spacing w:before="0" w:after="0" w:line="480" w:lineRule="auto"/>
        <w:ind w:firstLine="720"/>
        <w:jc w:val="both"/>
      </w:pPr>
      <w:r>
        <w:rPr>
          <w:rFonts w:ascii="Times New Roman" w:hAnsi="Times New Roman" w:cs="Times New Roman" w:eastAsia="Times New Roman"/>
          <w:color w:val="000000"/>
          <w:sz w:val="24"/>
        </w:rPr>
        <w:t>Economica: establecer el mejor MADRL para optimizacion de costos orienta la reduccion del gasto electrico bajo tarifas TOU. En la tesis, esta justificacion se concreta mediante KPIs de costo, series de costo distrital y comparacion por algoritmo/escenario, preservando el vinculo con OE.3.</w:t>
      </w:r>
    </w:p>
    <w:p>
      <w:pPr>
        <w:spacing w:before="0" w:after="0" w:line="480" w:lineRule="auto"/>
        <w:ind w:firstLine="720"/>
        <w:jc w:val="both"/>
      </w:pPr>
      <w:r>
        <w:rPr>
          <w:rFonts w:ascii="Times New Roman" w:hAnsi="Times New Roman" w:cs="Times New Roman" w:eastAsia="Times New Roman"/>
          <w:color w:val="000000"/>
          <w:sz w:val="24"/>
        </w:rPr>
        <w:t>Metodologica: la formulacion Dec-POMDP, el esquema CTDE y el benchmark unificado con CityLearn v3 propuesto, MARLlib y Optuna constituyen una contribucion reproducible. La reproducibilidad se refuerza con el uso de scripts locales, CSV materializados y resultados Drive auditables.</w:t>
      </w:r>
    </w:p>
    <w:p>
      <w:pPr>
        <w:spacing w:before="0" w:after="0" w:line="480" w:lineRule="auto"/>
        <w:ind w:firstLine="720"/>
        <w:jc w:val="both"/>
      </w:pPr>
      <w:r>
        <w:rPr>
          <w:rFonts w:ascii="Times New Roman" w:hAnsi="Times New Roman" w:cs="Times New Roman" w:eastAsia="Times New Roman"/>
          <w:color w:val="000000"/>
          <w:sz w:val="24"/>
        </w:rPr>
        <w:t>Cientifica y social: llena una laguna en la literatura comparativa de MADRL y beneficia a usuarios institucionales y a la transicion energetica comunitaria. Esta justificacion no se presenta como promesa de despliegue real, sino como evidencia experimental en simulacion computacional con alcance claramente delimitado.</w:t>
      </w:r>
    </w:p>
    <w:p>
      <w:pPr>
        <w:pStyle w:val="Heading2"/>
        <w:spacing w:line="480" w:lineRule="auto" w:before="0" w:after="0"/>
        <w:jc w:val="left"/>
      </w:pPr>
      <w:r>
        <w:rPr>
          <w:rFonts w:ascii="Times New Roman" w:hAnsi="Times New Roman" w:cs="Times New Roman" w:eastAsia="Times New Roman"/>
          <w:color w:val="000000"/>
          <w:sz w:val="24"/>
        </w:rPr>
        <w:t>1.6 Alcances y limitaciones</w:t>
      </w:r>
    </w:p>
    <w:p>
      <w:pPr>
        <w:spacing w:before="0" w:after="0" w:line="480" w:lineRule="auto"/>
        <w:ind w:firstLine="720"/>
        <w:jc w:val="both"/>
      </w:pPr>
      <w:r>
        <w:rPr>
          <w:rFonts w:ascii="Times New Roman" w:hAnsi="Times New Roman" w:cs="Times New Roman" w:eastAsia="Times New Roman"/>
          <w:color w:val="000000"/>
          <w:sz w:val="24"/>
        </w:rPr>
        <w:t>Alcances:</w:t>
      </w:r>
    </w:p>
    <w:p>
      <w:pPr>
        <w:spacing w:before="0" w:after="0" w:line="480" w:lineRule="auto"/>
        <w:ind w:firstLine="720"/>
        <w:jc w:val="both"/>
      </w:pPr>
      <w:r>
        <w:rPr>
          <w:rFonts w:ascii="Times New Roman" w:hAnsi="Times New Roman" w:cs="Times New Roman" w:eastAsia="Times New Roman"/>
          <w:color w:val="000000"/>
          <w:sz w:val="24"/>
        </w:rPr>
        <w:t>Tematico: comparacion de HAPPO, MASAC, MATD3 y MAAC en KPIs de flexibilidad, CO2 y costos.</w:t>
      </w:r>
    </w:p>
    <w:p>
      <w:pPr>
        <w:spacing w:before="0" w:after="0" w:line="480" w:lineRule="auto"/>
        <w:ind w:firstLine="720"/>
        <w:jc w:val="both"/>
      </w:pPr>
      <w:r>
        <w:rPr>
          <w:rFonts w:ascii="Times New Roman" w:hAnsi="Times New Roman" w:cs="Times New Roman" w:eastAsia="Times New Roman"/>
          <w:color w:val="000000"/>
          <w:sz w:val="24"/>
        </w:rPr>
        <w:t>Espacial: comunidades inteligentes simuladas en CityLearn v2 / CityLearn v3 propuesto, con aplicabilidad al SEAI Iquitos (17 edificios reales).</w:t>
      </w:r>
    </w:p>
    <w:p>
      <w:pPr>
        <w:spacing w:before="0" w:after="0" w:line="480" w:lineRule="auto"/>
        <w:ind w:firstLine="720"/>
        <w:jc w:val="both"/>
      </w:pPr>
      <w:r>
        <w:rPr>
          <w:rFonts w:ascii="Times New Roman" w:hAnsi="Times New Roman" w:cs="Times New Roman" w:eastAsia="Times New Roman"/>
          <w:color w:val="000000"/>
          <w:sz w:val="24"/>
        </w:rPr>
        <w:t>Temporal: dataset horario 2023-2025 (26 304 pasos) y literatura 2015-2026.</w:t>
      </w:r>
    </w:p>
    <w:p>
      <w:pPr>
        <w:spacing w:before="0" w:after="0" w:line="480" w:lineRule="auto"/>
        <w:ind w:firstLine="720"/>
        <w:jc w:val="both"/>
      </w:pPr>
      <w:r>
        <w:rPr>
          <w:rFonts w:ascii="Times New Roman" w:hAnsi="Times New Roman" w:cs="Times New Roman"/>
          <w:b w:val="0"/>
          <w:i w:val="0"/>
          <w:sz w:val="24"/>
        </w:rPr>
        <w:t>Metodologico: estudio cuantitativo, aplicado, comparativo, basado en simulacion cuasiexperimental.</w:t>
      </w:r>
    </w:p>
    <w:p>
      <w:pPr>
        <w:spacing w:before="0" w:after="0" w:line="480" w:lineRule="auto"/>
        <w:ind w:firstLine="720"/>
        <w:jc w:val="both"/>
      </w:pPr>
      <w:r>
        <w:rPr>
          <w:rFonts w:ascii="Times New Roman" w:hAnsi="Times New Roman" w:cs="Times New Roman" w:eastAsia="Times New Roman"/>
          <w:color w:val="000000"/>
          <w:sz w:val="24"/>
        </w:rPr>
        <w:t>Computacional: Python 3.9, PyTorch 2.8.0+cu126, CityLearn v2, MARLlib, Optuna, Gymnasium, PettingZoo; hardware local NVIDIA RTX 4060 Laptop 8 GB y Colab A100.</w:t>
      </w:r>
    </w:p>
    <w:p>
      <w:pPr>
        <w:spacing w:before="0" w:after="0" w:line="480" w:lineRule="auto"/>
        <w:ind w:firstLine="720"/>
        <w:jc w:val="both"/>
      </w:pPr>
      <w:r>
        <w:rPr>
          <w:rFonts w:ascii="Times New Roman" w:hAnsi="Times New Roman" w:cs="Times New Roman" w:eastAsia="Times New Roman"/>
          <w:color w:val="000000"/>
          <w:sz w:val="24"/>
        </w:rPr>
        <w:t>Limitaciones:</w:t>
      </w:r>
    </w:p>
    <w:p>
      <w:pPr>
        <w:spacing w:before="0" w:after="0" w:line="480" w:lineRule="auto"/>
        <w:ind w:firstLine="720"/>
        <w:jc w:val="both"/>
      </w:pPr>
      <w:r>
        <w:rPr>
          <w:rFonts w:ascii="Times New Roman" w:hAnsi="Times New Roman" w:cs="Times New Roman" w:eastAsia="Times New Roman"/>
          <w:color w:val="000000"/>
          <w:sz w:val="24"/>
        </w:rPr>
        <w:t>No se modela una red electrica fisica; los resultados de simulacion no constituyen validacion de despliegue real.</w:t>
      </w:r>
    </w:p>
    <w:p>
      <w:pPr>
        <w:spacing w:before="0" w:after="0" w:line="480" w:lineRule="auto"/>
        <w:ind w:firstLine="720"/>
        <w:jc w:val="both"/>
      </w:pPr>
      <w:r>
        <w:rPr>
          <w:rFonts w:ascii="Times New Roman" w:hAnsi="Times New Roman" w:cs="Times New Roman" w:eastAsia="Times New Roman"/>
          <w:color w:val="000000"/>
          <w:sz w:val="24"/>
        </w:rPr>
        <w:t>CityLearn v3 propuesto es una extension experimental de tesis, no una version oficial de CityLearn.</w:t>
      </w:r>
    </w:p>
    <w:p>
      <w:pPr>
        <w:spacing w:before="0" w:after="0" w:line="480" w:lineRule="auto"/>
        <w:ind w:firstLine="720"/>
        <w:jc w:val="both"/>
      </w:pPr>
      <w:r>
        <w:rPr>
          <w:rFonts w:ascii="Times New Roman" w:hAnsi="Times New Roman" w:cs="Times New Roman" w:eastAsia="Times New Roman"/>
          <w:color w:val="000000"/>
          <w:sz w:val="24"/>
        </w:rPr>
        <w:t>Se excluyen el despliegue en campo en tiempo real, la investigacion con sujetos humanos, el despacho economico de unidades fisicas y el analisis de estabilidad de red.</w:t>
      </w:r>
    </w:p>
    <w:p>
      <w:pPr>
        <w:spacing w:before="0" w:after="0" w:line="480" w:lineRule="auto"/>
        <w:ind w:firstLine="720"/>
        <w:jc w:val="both"/>
      </w:pPr>
      <w:r>
        <w:rPr>
          <w:rFonts w:ascii="Times New Roman" w:hAnsi="Times New Roman" w:cs="Times New Roman" w:eastAsia="Times New Roman"/>
          <w:color w:val="000000"/>
          <w:sz w:val="24"/>
        </w:rPr>
        <w:t>La inferencia se interpreta dentro de la corrida canonica Drive y no como generalizacion absoluta a multiples semillas independientes. Esta precision mejora la version final sin alterar sus alcances reales.</w:t>
      </w:r>
    </w:p>
    <w:p>
      <w:pPr>
        <w:pStyle w:val="Heading2"/>
        <w:spacing w:line="480" w:lineRule="auto" w:before="0" w:after="0"/>
        <w:jc w:val="left"/>
      </w:pPr>
      <w:r>
        <w:rPr>
          <w:rFonts w:ascii="Times New Roman" w:hAnsi="Times New Roman" w:cs="Times New Roman" w:eastAsia="Times New Roman"/>
          <w:color w:val="000000"/>
          <w:sz w:val="24"/>
        </w:rPr>
        <w:t>1.7 Validacion estructural y triangulacion del planteamiento</w:t>
      </w:r>
    </w:p>
    <w:p>
      <w:pPr>
        <w:spacing w:before="0" w:after="0" w:line="480" w:lineRule="auto"/>
        <w:ind w:firstLine="720"/>
        <w:jc w:val="both"/>
      </w:pPr>
      <w:r>
        <w:rPr>
          <w:rFonts w:ascii="Times New Roman" w:hAnsi="Times New Roman" w:cs="Times New Roman"/>
          <w:b w:val="0"/>
          <w:sz w:val="24"/>
        </w:rPr>
        <w:t>El Capitulo 1 cumple la estructura minima exigida para una tesis aplicada: formula el problema de investigacion, declara objetivos, hipotesis, justificacion, alcances y limitaciones. La coherencia interna se sostiene porque el problema no se define como una deficiencia algoritmica aislada, sino como una tension entre gestion descentralizada, flexibilidad energetica, emisiones de CO2 y costos en una comunidad electrica aislada. Este encuadre es consistente con la literatura de CityLearn, que plantea la necesidad de entornos reproducibles para comparar controladores de respuesta a la demanda, con CityLearn v2, que amplia la evaluacion hacia comunidades grid-interactive, resilientes y carbon-aware, y con EVLearn, que subraya que la integracion de vehiculos electricos requiere simulacion especifica de flexibilidad de carga y descarga (Vázquez-Canteli et al., 2020; Nweye et al., 2024; Fonseca et al., 2024).</w:t>
      </w:r>
    </w:p>
    <w:p>
      <w:pPr>
        <w:spacing w:before="0" w:after="0" w:line="480" w:lineRule="auto"/>
        <w:ind w:firstLine="720"/>
        <w:jc w:val="both"/>
      </w:pPr>
      <w:r>
        <w:rPr>
          <w:rFonts w:ascii="Times New Roman" w:hAnsi="Times New Roman" w:cs="Times New Roman" w:eastAsia="Times New Roman"/>
          <w:color w:val="000000"/>
          <w:sz w:val="24"/>
        </w:rPr>
        <w:t>La pregunta general y las preguntas especificas quedan operacionalizadas en tres dimensiones dependientes. PE.1 se vincula con flexibilidad energetica, PE.2 con emisiones de CO2 y PE.3 con costos energeticos. Esta separacion evita que el desempeno del algoritmo se reduzca a una recompensa unica sin interpretabilidad; por el contrario, permite contrastar la variable independiente MADRL contra indicadores observables por distrito, edificio y escenario. La triangulacion entre CityLearn, MARL energetico y evaluacion estadistica de RL justifica que el estudio reporte resultados descriptivos e inferenciales, y que declare como limitacion la ausencia de multiples semillas independientes en lugar de sobregeneralizar una unica corrida experimental (Henderson et al., 2018; Agarwal et al., 2021; Nweye et al., 2024).</w:t>
      </w:r>
    </w:p>
    <w:p>
      <w:pPr>
        <w:pStyle w:val="TablaIndice"/>
        <w:spacing w:before="0" w:after="0" w:line="480" w:lineRule="auto"/>
        <w:jc w:val="left"/>
      </w:pPr>
      <w:r>
        <w:rPr>
          <w:rFonts w:ascii="Times New Roman" w:hAnsi="Times New Roman" w:cs="Times New Roman" w:eastAsia="Times New Roman"/>
          <w:b/>
          <w:i w:val="0"/>
          <w:color w:val="000000"/>
          <w:sz w:val="24"/>
        </w:rPr>
        <w:t>Tabla 1.7</w:t>
        <w:br/>
      </w:r>
      <w:r>
        <w:rPr>
          <w:rFonts w:ascii="Times New Roman" w:hAnsi="Times New Roman" w:cs="Times New Roman" w:eastAsia="Times New Roman"/>
          <w:b w:val="0"/>
          <w:i/>
          <w:color w:val="000000"/>
          <w:sz w:val="24"/>
        </w:rPr>
        <w:t>Validacion del Capitulo 1 frente a la estructura minima</w:t>
      </w:r>
    </w:p>
    <w:tbl>
      <w:tblPr>
        <w:tblW w:type="auto" w:w="0"/>
        <w:jc w:val="center"/>
        <w:tblLook w:firstColumn="1" w:firstRow="1" w:lastColumn="0" w:lastRow="0" w:noHBand="0" w:noVBand="1" w:val="04A0"/>
      </w:tblPr>
      <w:tblGrid>
        <w:gridCol w:w="2880"/>
        <w:gridCol w:w="2880"/>
        <w:gridCol w:w="2880"/>
      </w:tblGrid>
      <w:tr>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Elemento requerido</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Estado</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Refuerzo incorporado</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Problema de investigacion</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Cumple</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 alinea con flexibilidad, carbono y costo en comunidad aislada.</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Objetivos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Cumple</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OG y OE.1-OE.3 mantienen correspondencia con PE.1-PE.3.</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Hipotesis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Cumple</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 conservan por tratarse de diseno experimental comparativo.</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Justificacion</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Cumple</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 refuerza con reproducibilidad CityLearn y necesidad de evaluacion estadistica.</w:t>
            </w:r>
          </w:p>
        </w:tc>
      </w:tr>
      <w:tr>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Alcances y limitaciones</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Cumple</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Se explicita la lectura intra-corrida y la no extrapolacion multi-semilla.</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correspondencia entre problema, objetivos, hipotesis, variables y alcances del planteamiento. Fuente: Elaboracion propia a partir de la formulacion del problema, objetivos e hipotesis definidos en el Capitulo 1.</w:t>
      </w:r>
    </w:p>
    <w:p/>
    <w:p>
      <w:r>
        <w:br w:type="page"/>
      </w:r>
    </w:p>
    <w:p>
      <w:pPr>
        <w:pStyle w:val="Heading1"/>
        <w:spacing w:line="480" w:lineRule="auto" w:before="0" w:after="0"/>
        <w:jc w:val="center"/>
      </w:pPr>
      <w:r>
        <w:rPr>
          <w:rFonts w:ascii="Times New Roman" w:hAnsi="Times New Roman" w:cs="Times New Roman" w:eastAsia="Times New Roman"/>
          <w:color w:val="000000"/>
          <w:sz w:val="24"/>
        </w:rPr>
        <w:t>Capitulo 2. Marco teorico</w:t>
      </w:r>
    </w:p>
    <w:p>
      <w:pPr>
        <w:spacing w:after="0" w:line="480" w:lineRule="auto" w:before="0"/>
        <w:ind w:firstLine="720"/>
        <w:jc w:val="both"/>
      </w:pPr>
      <w:r>
        <w:rPr>
          <w:rFonts w:ascii="Times New Roman" w:hAnsi="Times New Roman" w:cs="Times New Roman" w:eastAsia="Times New Roman"/>
          <w:color w:val="000000"/>
          <w:sz w:val="24"/>
        </w:rPr>
        <w:t>El marco teorico de esta tesis se organiza en cinco bloques secuenciales: (1) fundamentos teoricos y matematicos del aprendizaje por refuerzo multiagente; (2) definicion operativa y triangulacion bibliografica de la variable independiente (VI) y la variable dependiente (VD); (3) bases teoricas por eje (flexibilidad, CO2, costos y algoritmos MADRL); (4) antecedentes internacionales y nacionales; y (5) definicion de terminos y posicion teorica. Esta secuencia responde a OE.1, OE.2, OE.3 y al objetivo general, y conecta directamente con la operacionalizacion del Capitulo 3 (Seccion 3.4) y la contrastacion del Capitulo 5.</w:t>
      </w:r>
    </w:p>
    <w:p>
      <w:pPr>
        <w:spacing w:after="0" w:line="480" w:lineRule="auto" w:before="0"/>
        <w:ind w:firstLine="720"/>
        <w:jc w:val="both"/>
      </w:pPr>
      <w:r>
        <w:rPr>
          <w:rFonts w:ascii="Times New Roman" w:hAnsi="Times New Roman" w:cs="Times New Roman"/>
          <w:b w:val="0"/>
          <w:i w:val="0"/>
          <w:sz w:val="24"/>
        </w:rPr>
        <w:t>La literatura revisada confirma que la gestion energetica de edificios ha transitado desde control basado en reglas hacia control por aprendizaje, y desde agentes centralizados hacia coordinacion multiagente. Sin embargo, tambien muestra una brecha: los estudios suelen evaluar un algoritmo, una metrica dominante o un conjunto limitado de edificios, mientras que esta tesis compara HAPPO, MASAC, MATD3 y MAAC bajo el mismo dataset, los mismos escenarios E1/E2/E3, la misma funcion de recompensa y el mismo protocolo de evidencia. Esa brecha teorica justifica el disecuasiexperimental del Capitulo 3 y la contrastacion del Capitulo 5.</w:t>
      </w:r>
    </w:p>
    <w:p>
      <w:pPr>
        <w:pStyle w:val="Heading2"/>
        <w:spacing w:line="480" w:lineRule="auto" w:before="0" w:after="0"/>
        <w:jc w:val="left"/>
      </w:pPr>
      <w:r>
        <w:rPr>
          <w:rFonts w:ascii="Times New Roman" w:hAnsi="Times New Roman" w:cs="Times New Roman" w:eastAsia="Times New Roman"/>
          <w:color w:val="000000"/>
          <w:sz w:val="24"/>
        </w:rPr>
        <w:t>2.1 Fundamentos teoricos y matematicos</w:t>
      </w:r>
    </w:p>
    <w:p>
      <w:pPr>
        <w:pStyle w:val="Heading3"/>
        <w:spacing w:line="480" w:lineRule="auto" w:before="0" w:after="0"/>
        <w:jc w:val="left"/>
      </w:pPr>
      <w:r>
        <w:rPr>
          <w:rFonts w:ascii="Times New Roman" w:hAnsi="Times New Roman" w:cs="Times New Roman" w:eastAsia="Times New Roman"/>
          <w:color w:val="000000"/>
          <w:sz w:val="24"/>
        </w:rPr>
        <w:t>2.2.1 Aprendizaje por refuerzo y MADRL</w:t>
      </w:r>
    </w:p>
    <w:p>
      <w:pPr>
        <w:spacing w:after="0" w:line="480" w:lineRule="auto" w:before="0"/>
        <w:ind w:firstLine="720"/>
        <w:jc w:val="both"/>
      </w:pPr>
      <w:r>
        <w:rPr>
          <w:rFonts w:ascii="Times New Roman" w:hAnsi="Times New Roman" w:cs="Times New Roman" w:eastAsia="Times New Roman"/>
          <w:color w:val="000000"/>
          <w:sz w:val="24"/>
        </w:rPr>
        <w:t>El aprendizaje por refuerzo modela un problema de decision secuencial donde un agente observa un estado, ejecuta una accion, recibe una recompensa y modifica su politica para maximizar retorno acumulado. Sutton y Barto (2018) formalizan este marco mediante procesos de decision de Markov, lo que permite definir estado, accion, transicion, recompensa y factor de descuento. En la tesis, esta base se proyecta a un sistema energetico donde las acciones representan cargar o descargar BESS, regular cargadores EV y desplazar cargas controlables.</w:t>
      </w:r>
    </w:p>
    <w:p>
      <w:pPr>
        <w:spacing w:after="0" w:line="480" w:lineRule="auto" w:before="0"/>
        <w:ind w:firstLine="720"/>
        <w:jc w:val="both"/>
      </w:pPr>
      <w:r>
        <w:rPr>
          <w:rFonts w:ascii="Times New Roman" w:hAnsi="Times New Roman" w:cs="Times New Roman" w:eastAsia="Times New Roman"/>
          <w:color w:val="000000"/>
          <w:sz w:val="24"/>
        </w:rPr>
        <w:t>El aprendizaje por refuerzo profundo incorpora aproximadores neuronales para politicas y funciones de valor, permitiendo espacios de estado y accion de alta dimension. Haarnoja et al. (2018) introducen Soft Actor-Critic como algoritmo off-policy de maxima entropia, base conceptual para MASAC y para enfoques donde la exploracion es crucial. Esta propiedad es importante en comunidades energeticas porque los agentes deben descubrir estrategias de coordinacion bajo incertidumbre temporal y recompensas multiobjetivo.</w:t>
      </w:r>
    </w:p>
    <w:p>
      <w:pPr>
        <w:spacing w:after="0" w:line="480" w:lineRule="auto" w:before="0"/>
        <w:ind w:firstLine="720"/>
        <w:jc w:val="both"/>
      </w:pPr>
      <w:r>
        <w:rPr>
          <w:rFonts w:ascii="Times New Roman" w:hAnsi="Times New Roman" w:cs="Times New Roman" w:eastAsia="Times New Roman"/>
          <w:color w:val="000000"/>
          <w:sz w:val="24"/>
        </w:rPr>
        <w:t>En un sistema multiagente, cada politica modifica el entorno efectivo que observan las demas. Esto genera no estacionariedad desde la perspectiva individual: un edificio aprende mientras los demas tambien cambian su comportamiento. Oliehoek y Amato (2016) formalizan esta dificultad en el marco Dec-POMDP, mientras la literatura de CTDE responde permitiendo criticos centralizados durante el entrenamiento y politicas descentralizadas durante la ejecucion (Lowe et al., 2017). En la tesis, cada edificio debe operar con observacion local, pero el aprendizaje puede usar informacion del distrito para internalizar picos, rampas, emisiones y costos agregados.</w:t>
      </w:r>
    </w:p>
    <w:p>
      <w:pPr>
        <w:spacing w:after="0" w:line="480" w:lineRule="auto" w:before="0"/>
        <w:ind w:firstLine="720"/>
        <w:jc w:val="both"/>
      </w:pPr>
      <w:r>
        <w:rPr>
          <w:rFonts w:ascii="Times New Roman" w:hAnsi="Times New Roman" w:cs="Times New Roman" w:eastAsia="Times New Roman"/>
          <w:color w:val="000000"/>
          <w:sz w:val="24"/>
        </w:rPr>
        <w:t>La cooperacion se implementa mediante una recompensa mixta que combina recompensa individual y recompensa de equipo. Esto evita dos extremos: politicas totalmente egoistas que reducen el costo de un edificio desplazando problemas al distrito, y politicas totalmente globales que ignoran la heterogeneidad operativa de cada edificio. La formulacion cooperativa se alinea con los desafios descritos por Nweye et al. (2022) y con la necesidad de coordinacion observada en demanda respuesta multiagente (Yao et al., 2023; Xie et al., 2023).</w:t>
      </w:r>
    </w:p>
    <w:p>
      <w:pPr>
        <w:pStyle w:val="Heading3"/>
        <w:spacing w:line="480" w:lineRule="auto" w:before="0" w:after="0"/>
        <w:jc w:val="left"/>
      </w:pPr>
      <w:r>
        <w:rPr>
          <w:rFonts w:ascii="Times New Roman" w:hAnsi="Times New Roman" w:cs="Times New Roman" w:eastAsia="Times New Roman"/>
          <w:color w:val="000000"/>
          <w:sz w:val="24"/>
        </w:rPr>
        <w:t>2.2.2 Formalizacion matematica Dec-POMDP</w:t>
      </w:r>
    </w:p>
    <w:p>
      <w:pPr>
        <w:spacing w:after="0" w:line="480" w:lineRule="auto" w:before="0"/>
        <w:ind w:firstLine="720"/>
        <w:jc w:val="both"/>
      </w:pPr>
      <w:r>
        <w:rPr>
          <w:rFonts w:ascii="Times New Roman" w:hAnsi="Times New Roman" w:cs="Times New Roman" w:eastAsia="Times New Roman"/>
          <w:color w:val="000000"/>
          <w:sz w:val="24"/>
        </w:rPr>
        <w:t>El Decentralized Partially Observable Markov Decision Process (Dec-POMDP) permite formalizar decision cooperativa con informacion local incompleta. Oliehoek y Amato (2016) lo definen como una estructura donde N agentes comparten un criterio cooperativo comun, pero cada uno recibe observaciones parciales del estado global. Esta tesis adopta esa formulacion porque ningun edificio del SEAI Iquitos observa completamente el estado interno de los demas durante la ejecucion: cada agente ve su demanda, PV, BESS, EV, precio, intensidad de carbono y variables locales, pero no accede a temperatura, SOC, demanda ni perfiles EV de los otros edificios.</w:t>
      </w:r>
    </w:p>
    <w:p>
      <w:pPr>
        <w:spacing w:after="0" w:line="480" w:lineRule="auto" w:before="0"/>
        <w:ind w:firstLine="720"/>
        <w:jc w:val="both"/>
      </w:pPr>
      <w:r>
        <w:rPr>
          <w:rFonts w:ascii="Times New Roman" w:hAnsi="Times New Roman" w:cs="Times New Roman" w:eastAsia="Times New Roman"/>
          <w:color w:val="000000"/>
          <w:sz w:val="24"/>
        </w:rPr>
        <w:t>El problema de tesis se modela como el Dec-POMDP cooperativo M, definido por la tupla siguiente (Oliehoek y Amato, 2016; Sutton y Barto, 2018):</w:t>
      </w:r>
    </w:p>
    <w:p>
      <w:pPr>
        <w:spacing w:before="0" w:after="0" w:line="480" w:lineRule="auto"/>
        <w:ind w:firstLine="720"/>
        <w:jc w:val="both"/>
      </w:pPr>
      <w:r>
        <w:rPr>
          <w:rFonts w:ascii="Times New Roman" w:hAnsi="Times New Roman" w:cs="Times New Roman" w:eastAsia="Times New Roman"/>
          <w:i/>
          <w:color w:val="000000"/>
          <w:sz w:val="24"/>
        </w:rPr>
        <w:t>M = &lt;S, {A_i}_{i=1}^N, T, R, {O_i}_{i=1}^N, Omega, gamma, T_hor&gt;</w:t>
      </w:r>
    </w:p>
    <w:p>
      <w:pPr>
        <w:spacing w:after="0" w:line="480" w:lineRule="auto" w:before="0"/>
        <w:ind w:firstLine="720"/>
        <w:jc w:val="both"/>
      </w:pPr>
      <w:r>
        <w:rPr>
          <w:rFonts w:ascii="Times New Roman" w:hAnsi="Times New Roman" w:cs="Times New Roman" w:eastAsia="Times New Roman"/>
          <w:color w:val="000000"/>
          <w:sz w:val="24"/>
        </w:rPr>
        <w:t>donde N = 17 edificios institucionales/comerciales del dataset citylearn_iquitos_2023_2025, gamma = 0.9999 (factor de descuento para episodios de 8 760 pasos horarios) y T_hor = 8 760 (un ano simulado). El objetivo cooperativo es maximizar el retorno esperado J(pi) = E[ sum_{t=0}^{T_hor-1} gamma^t R_t ], donde pi = (pi_1, ..., pi_N) denota el conjunto de politicas locales. La Tabla 2.2 resume la notacion formal; la operacionalizacion computacional se desarrolla en el Capitulo 4 sin alterar esta definicion teorica.</w:t>
      </w:r>
    </w:p>
    <w:p>
      <w:pPr>
        <w:pStyle w:val="TablaIndice"/>
        <w:spacing w:before="0" w:after="0" w:line="480" w:lineRule="auto"/>
        <w:ind/>
        <w:jc w:val="left"/>
      </w:pPr>
      <w:r>
        <w:rPr>
          <w:rFonts w:ascii="Times New Roman" w:hAnsi="Times New Roman" w:cs="Times New Roman" w:eastAsia="Times New Roman"/>
          <w:b/>
          <w:i w:val="0"/>
          <w:color w:val="000000"/>
          <w:sz w:val="24"/>
        </w:rPr>
        <w:t>Tabla 2.2</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Notacion formal del Dec-POMDP cooperativo (SEAI Iquitos, N = 17)</w:t>
      </w:r>
    </w:p>
    <w:tbl>
      <w:tblPr>
        <w:tblStyle w:val="LightGrid-Accent1"/>
        <w:tblW w:type="auto" w:w="0"/>
        <w:jc w:val="center"/>
        <w:tblLook w:firstColumn="1" w:firstRow="1" w:lastColumn="0" w:lastRow="0" w:noHBand="0" w:noVBand="1" w:val="04A0"/>
      </w:tblPr>
      <w:tblGrid>
        <w:gridCol w:w="3041"/>
        <w:gridCol w:w="3041"/>
        <w:gridCol w:w="3041"/>
      </w:tblGrid>
      <w:tr>
        <w:tc>
          <w:tcPr>
            <w:tcW w:type="dxa" w:w="304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Simbolo</w:t>
            </w:r>
          </w:p>
        </w:tc>
        <w:tc>
          <w:tcPr>
            <w:tcW w:type="dxa" w:w="304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Definicion teorica</w:t>
            </w:r>
          </w:p>
        </w:tc>
        <w:tc>
          <w:tcPr>
            <w:tcW w:type="dxa" w:w="304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Valor / rango en esta tesis</w:t>
            </w:r>
          </w:p>
        </w:tc>
      </w:tr>
      <w:tr>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Numero de agentes cooperativos (edificios)</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w:t>
            </w:r>
          </w:p>
        </w:tc>
      </w:tr>
      <w:tr>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Espacio de estado global</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Concatenacion s = [o_1, ..., o_17]; dim global = 1 856</w:t>
            </w:r>
          </w:p>
        </w:tc>
      </w:tr>
      <w:tr>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O_i</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Espacio de observacion local del agente i</w:t>
            </w:r>
          </w:p>
        </w:tc>
        <w:tc>
          <w:tcPr>
            <w:tcW w:type="dxa" w:w="3041"/>
            <w:tcMar>
              <w:top w:w="60" w:type="dxa"/>
              <w:start w:w="80" w:type="dxa"/>
              <w:bottom w:w="60" w:type="dxa"/>
              <w:end w:w="80" w:type="dxa"/>
            </w:tcMar>
            <w:tcBorders>
              <w:top w:val="nil"/>
              <w:left w:val="nil"/>
              <w:bottom w:val="nil"/>
              <w:right w:val="nil"/>
            </w:tcBorders>
          </w:tcPr>
          <w:p>
            <w:r>
              <w:t>Heterogeneo: 54-327 dimensiones (medido CityLearnEnv; flota EV por edificio)</w:t>
            </w:r>
          </w:p>
        </w:tc>
      </w:tr>
      <w:tr>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A_i</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Espacio de accion local del agente i</w:t>
            </w:r>
          </w:p>
        </w:tc>
        <w:tc>
          <w:tcPr>
            <w:tcW w:type="dxa" w:w="3041"/>
            <w:tcMar>
              <w:top w:w="60" w:type="dxa"/>
              <w:start w:w="80" w:type="dxa"/>
              <w:bottom w:w="60" w:type="dxa"/>
              <w:end w:w="80" w:type="dxa"/>
            </w:tcMar>
            <w:tcBorders>
              <w:top w:val="nil"/>
              <w:left w:val="nil"/>
              <w:bottom w:val="nil"/>
              <w:right w:val="nil"/>
            </w:tcBorders>
          </w:tcPr>
          <w:p>
            <w:r>
              <w:t>Heterogeneo: 5-44 dims; d_ai = 2 + n_i^ch (BESS + EV por toma + lavadora); suma distrital = 219</w:t>
            </w:r>
          </w:p>
        </w:tc>
      </w:tr>
      <w:tr>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Funcion de transicion estocastica S x A -&gt; Delta(S)</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Balance energetico, modelo RC, BESS eta_RT = 0.9025, EV estocastico</w:t>
            </w:r>
          </w:p>
        </w:tc>
      </w:tr>
      <w:tr>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Omega</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Funcion de observacion O_i = Omega_i(s, a)</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Proyeccion parcial del estado global a informacion local</w:t>
            </w:r>
          </w:p>
        </w:tc>
      </w:tr>
      <w:tr>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Recompensa cooperativa escalar o vector mixto</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CityLearnV3MADRLRewardFunction; agregacion team_mean</w:t>
            </w:r>
          </w:p>
        </w:tc>
      </w:tr>
      <w:tr>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gamma</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Factor de descuento</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0.9999</w:t>
            </w:r>
          </w:p>
        </w:tc>
      </w:tr>
      <w:tr>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T_hor</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Horizonte temporal del episodio</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8 760 pasos (1 h/paso)</w:t>
            </w:r>
          </w:p>
        </w:tc>
      </w:tr>
      <w:tr>
        <w:tc>
          <w:tcPr>
            <w:tcW w:type="dxa" w:w="304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pi_i</w:t>
            </w:r>
          </w:p>
        </w:tc>
        <w:tc>
          <w:tcPr>
            <w:tcW w:type="dxa" w:w="304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Politica descentralizada del edificio i</w:t>
            </w:r>
          </w:p>
        </w:tc>
        <w:tc>
          <w:tcPr>
            <w:tcW w:type="dxa" w:w="304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pi_i(a_i | o_i); sin comunicacion inter-edificio</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formalizacion teorica del problema multiagente y sus elementos matematicos. Fuente: Elaboracion propia a partir de Oliehoek y Amato (2016), Lowe et al. (2017) y los artefactos del entorno CityLearn usado en la tesis.</w:t>
      </w:r>
    </w:p>
    <w:p/>
    <w:p>
      <w:pPr>
        <w:spacing w:after="0" w:line="480" w:lineRule="auto" w:before="0"/>
        <w:ind w:firstLine="720"/>
        <w:jc w:val="both"/>
      </w:pPr>
      <w:r>
        <w:rPr>
          <w:rFonts w:ascii="Times New Roman" w:hAnsi="Times New Roman" w:cs="Times New Roman" w:eastAsia="Times New Roman"/>
          <w:color w:val="000000"/>
          <w:sz w:val="24"/>
        </w:rPr>
        <w:t>Recompensa cooperativa multiobjetivo. La funcion R materializa los tres ejes de tesises (flexibilidad, CO2, costos) mediante una recompensa escalar por edificio y paso, con agregacion cooperativa tipo media de equipo. A nivel teorico:</w:t>
      </w:r>
    </w:p>
    <w:p>
      <w:pPr>
        <w:spacing w:before="0" w:after="0" w:line="480" w:lineRule="auto"/>
        <w:ind w:firstLine="720"/>
        <w:jc w:val="both"/>
      </w:pPr>
      <w:r>
        <w:rPr>
          <w:rFonts w:ascii="Times New Roman" w:hAnsi="Times New Roman" w:cs="Times New Roman" w:eastAsia="Times New Roman"/>
          <w:i/>
          <w:color w:val="000000"/>
          <w:sz w:val="24"/>
        </w:rPr>
        <w:t>reward_i(t) = reward_scale * [ w_flex * flex_i(t) + w_carbon * carbon_i(t) + w_cost * cost_i(t) + w_ev * ev_i(t) ]</w:t>
      </w:r>
    </w:p>
    <w:p>
      <w:pPr>
        <w:spacing w:after="0" w:line="480" w:lineRule="auto" w:before="0"/>
        <w:ind w:firstLine="720"/>
        <w:jc w:val="both"/>
      </w:pPr>
      <w:r>
        <w:rPr>
          <w:rFonts w:ascii="Times New Roman" w:hAnsi="Times New Roman" w:cs="Times New Roman" w:eastAsia="Times New Roman"/>
          <w:color w:val="000000"/>
          <w:sz w:val="24"/>
        </w:rPr>
        <w:t>El componente flex_i(t) penaliza, a nivel distrital compartido, el pico y la rampa mediante peak_share(t) = district_import(t) / N y ramp_share(t) = |district_import(t) - district_import(t-1)| / N, con funciones de suavizado tanh; carbon_i(t) pondera la importacion por la intensidad de carbono CI(t); cost_i(t) refleja la tarifa TOU mediante price_norm(t); y ev_i(t) incorpora urgencia de SOC y salida de vehiculos. Los pesos w_flex, w_carbon y w_cost se condicionan por escenario experimental (E1/E2/E3) segun la Tabla 3.1 del Capitulo 3.</w:t>
      </w:r>
    </w:p>
    <w:p>
      <w:pPr>
        <w:spacing w:before="0" w:after="0" w:line="480" w:lineRule="auto"/>
        <w:ind w:firstLine="720"/>
        <w:jc w:val="both"/>
      </w:pPr>
      <w:r>
        <w:rPr>
          <w:rFonts w:ascii="Times New Roman" w:hAnsi="Times New Roman" w:cs="Times New Roman" w:eastAsia="Times New Roman"/>
          <w:i/>
          <w:color w:val="000000"/>
          <w:sz w:val="24"/>
        </w:rPr>
        <w:t>team_reward(t) = (1/N) * sum_{i=1}^N reward_i(t)</w:t>
      </w:r>
    </w:p>
    <w:p>
      <w:pPr>
        <w:spacing w:before="0" w:after="0" w:line="480" w:lineRule="auto"/>
        <w:ind w:firstLine="720"/>
        <w:jc w:val="both"/>
      </w:pPr>
      <w:r>
        <w:rPr>
          <w:rFonts w:ascii="Times New Roman" w:hAnsi="Times New Roman" w:cs="Times New Roman" w:eastAsia="Times New Roman"/>
          <w:i/>
          <w:color w:val="000000"/>
          <w:sz w:val="24"/>
        </w:rPr>
        <w:t>mixed_reward_i(t) = (1 - r) * reward_i(t) + r * team_reward(t),   con r = 0.70</w:t>
      </w:r>
    </w:p>
    <w:p>
      <w:pPr>
        <w:spacing w:after="0" w:line="480" w:lineRule="auto" w:before="0"/>
        <w:ind w:firstLine="720"/>
        <w:jc w:val="both"/>
      </w:pPr>
      <w:r>
        <w:rPr>
          <w:rFonts w:ascii="Times New Roman" w:hAnsi="Times New Roman" w:cs="Times New Roman" w:eastAsia="Times New Roman"/>
          <w:color w:val="000000"/>
          <w:sz w:val="24"/>
        </w:rPr>
        <w:t>La mezcla cooperativa con team_reward_ratio r = 0.70 evita politicas puramente egoistas (que desplazan picos o costos al distrito) y politicas puramente globales (que ignoran heterogeneidad operativa). Este esquema se alinea con la literatura de recompensa hibrida en MADRL energetico (Yao et al., 2023; Liu et al., 2022) y con los desafios de coordinacion identificados por Nweye et al. (2022). Durante la ejecucion descentralizada, cada politica pi_i(a_i | o_i) actua solo con o_i; el estado global s solo es accesible durante el entrenamiento bajo CTDE (Seccion 2.3.4).</w:t>
      </w:r>
    </w:p>
    <w:p>
      <w:pPr>
        <w:pStyle w:val="Heading3"/>
        <w:spacing w:line="480" w:lineRule="auto" w:before="0" w:after="0"/>
        <w:jc w:val="left"/>
      </w:pPr>
      <w:r>
        <w:rPr>
          <w:rFonts w:ascii="Times New Roman" w:hAnsi="Times New Roman" w:cs="Times New Roman" w:eastAsia="Times New Roman"/>
          <w:color w:val="000000"/>
          <w:sz w:val="24"/>
        </w:rPr>
        <w:t>2.2.3 Dec-POMDP como formalizacion del problema de tesis</w:t>
      </w:r>
    </w:p>
    <w:p>
      <w:pPr>
        <w:spacing w:before="0" w:after="0" w:line="480" w:lineRule="auto"/>
        <w:ind w:firstLine="720"/>
        <w:jc w:val="both"/>
      </w:pPr>
      <w:r>
        <w:rPr>
          <w:rFonts w:ascii="Times New Roman" w:hAnsi="Times New Roman" w:cs="Times New Roman" w:eastAsia="Times New Roman"/>
          <w:color w:val="000000"/>
          <w:sz w:val="24"/>
        </w:rPr>
        <w:t>La gestion energetica estudiada no es un problema de control centralizado simple, porque la decision de cada edificio modifica la demanda agregada, el costo, las emisiones y las condiciones de flexibilidad que observan los demas agentes. Tampoco es un MDP plenamente observable por agente individual: cada edificio observa su propio estado operativo, disponibilidad de equipos, senales temporales y variables exogenas, pero no controla directamente la demanda base ni las restricciones internas de los otros edificios. Por ello, la formalizacion de tesis adecuada es un Proceso de Decision de Markov Parcialmente Observable Descentralizado (Dec-POMDP), que permite representar ejecucion descentralizada, observabilidad parcial, transiciones estocasticas y recompensa cooperativa.</w:t>
      </w:r>
    </w:p>
    <w:p>
      <w:pPr>
        <w:spacing w:before="0" w:after="0" w:line="480" w:lineRule="auto"/>
        <w:ind w:firstLine="720"/>
        <w:jc w:val="both"/>
      </w:pPr>
      <w:r>
        <w:rPr>
          <w:rFonts w:ascii="Times New Roman" w:hAnsi="Times New Roman" w:cs="Times New Roman" w:eastAsia="Times New Roman"/>
          <w:color w:val="000000"/>
          <w:sz w:val="24"/>
        </w:rPr>
        <w:t>La formulacion utilizada en la tesis se expresa como M = &lt;S, {A_i}_{i=1}^{17}, T, R, {O_i}_{i=1}^{17}, Omega, gamma, H&gt;. El estado global S contiene la concatenacion de observaciones locales s_t=[o_1,t,...,o_17,t]; las acciones A_i son heterogeneas por edificio; T representa la dinamica horaria de CityLearn, incluyendo clima, PV, BESS, llegada/salida de vehiculos electricos, demanda base, precio y senal de carbono; R es una recompensa cooperativa con mezcla local-equipo; O_i y Omega modelan la observabilidad parcial; gamma=0.9999 preserva dependencia de largo horizonte; y H=8760 pasos representa un ano horario de evaluacion por episodio.</w:t>
      </w:r>
    </w:p>
    <w:p>
      <w:pPr>
        <w:spacing w:before="0" w:after="0" w:line="480" w:lineRule="auto"/>
        <w:ind w:firstLine="720"/>
        <w:jc w:val="both"/>
      </w:pPr>
      <w:r>
        <w:rPr>
          <w:rFonts w:ascii="Times New Roman" w:hAnsi="Times New Roman" w:cs="Times New Roman" w:eastAsia="Times New Roman"/>
          <w:color w:val="000000"/>
          <w:sz w:val="24"/>
        </w:rPr>
        <w:t>La operacionalizacion empirica no queda en una abstraccion generica. En los artefactos Drive, el Dec-POMDP tiene 17 agentes-edificio, dimensiones locales de observacion entre 54 y 327, dimension global agregada 1856, acciones locales entre 5 y 44 y 219 dimensiones de accion por tratamiento. Las acciones controlan BESS, cargadores EV y cargas flexibles declaradas en building_observation_action_schema.csv; la demanda no controlada permanece como perturbacion/observacion dentro de la demanda base, no como actuador directo.</w:t>
      </w:r>
    </w:p>
    <w:p>
      <w:r>
        <w:rPr>
          <w:rFonts w:ascii="Times New Roman" w:hAnsi="Times New Roman" w:cs="Times New Roman"/>
          <w:b w:val="0"/>
          <w:sz w:val="24"/>
        </w:rPr>
        <w:t>Jerarquia distrito / edificio del Dec-POMDP (valores medidos en CityLearnEnv sobre citylearn_iquitos_2023_2025). No existe un agente-distrito que emita setpoints: el control distrital es emergente de 17 politicas locales.</w:t>
      </w:r>
    </w:p>
    <w:p>
      <w:r>
        <w:rPr>
          <w:rFonts w:ascii="Times New Roman" w:hAnsi="Times New Roman" w:cs="Times New Roman"/>
          <w:b w:val="0"/>
          <w:sz w:val="24"/>
        </w:rPr>
        <w:t>Nivel edificio (agente i): observacion local o_i en R^{d_oi} con d_oi en [54, 327] (calendario, meteo, carga, termica, PV, SoC BESS, precio/CI y 7 canales EV por cargador); accion a_i con d_ai = 2 + n_i^ch en [5, 44] (electrical_storage + electric_vehicle_storage x n_ch + washing_machine); politica pi_i(a_i | o_i) sin ver o_j.</w:t>
      </w:r>
    </w:p>
    <w:p>
      <w:r>
        <w:rPr>
          <w:rFonts w:ascii="Times New Roman" w:hAnsi="Times New Roman" w:cs="Times New Roman"/>
          <w:b w:val="0"/>
          <w:sz w:val="24"/>
        </w:rPr>
        <w:t>Nivel distrito (comunidad SEAI / critico CTDE): estado global s = [o_1, ..., o_17] en R^{1856} (= suma exacta de d_oi), visible solo en entrenamiento; agregados P^com(t) = sum_i P_i^net(t), pico/rampa distritales y KPIs evaluate_v2; team_reward = mean(reward_i) y mixed_reward_i = (1 - r_team)*reward_i + r_team*team_reward con r_team = 0,70 (perfil unified_comparable_v4). gamma = 0,9999; T = 8 760.</w:t>
      </w:r>
    </w:p>
    <w:p>
      <w:r>
        <w:rPr>
          <w:rFonts w:ascii="Times New Roman" w:hAnsi="Times New Roman" w:cs="Times New Roman"/>
          <w:b/>
          <w:sz w:val="24"/>
        </w:rPr>
        <w:t>Tabla 2.A — Dimensiones Dec-POMDP reales por edificio</w:t>
      </w:r>
    </w:p>
    <w:tbl>
      <w:tblPr/>
      <w:tblGrid>
        <w:gridCol/>
        <w:gridCol/>
        <w:gridCol/>
        <w:gridCol/>
        <w:gridCol/>
      </w:tblGrid>
      <w:tr>
        <w:tc>
          <w:tcPr/>
          <w:p>
            <w:r>
              <w:rPr>
                <w:rFonts w:ascii="Times New Roman" w:hAnsi="Times New Roman" w:cs="Times New Roman"/>
                <w:sz w:val="20"/>
              </w:rPr>
              <w:t>ID</w:t>
            </w:r>
          </w:p>
        </w:tc>
        <w:tc>
          <w:tcPr/>
          <w:p>
            <w:r>
              <w:rPr>
                <w:rFonts w:ascii="Times New Roman" w:hAnsi="Times New Roman" w:cs="Times New Roman"/>
                <w:sz w:val="20"/>
              </w:rPr>
              <w:t>Edificio</w:t>
            </w:r>
          </w:p>
        </w:tc>
        <w:tc>
          <w:tcPr/>
          <w:p>
            <w:r>
              <w:rPr>
                <w:rFonts w:ascii="Times New Roman" w:hAnsi="Times New Roman" w:cs="Times New Roman"/>
                <w:sz w:val="20"/>
              </w:rPr>
              <w:t>Carg. EV</w:t>
            </w:r>
          </w:p>
        </w:tc>
        <w:tc>
          <w:tcPr/>
          <w:p>
            <w:r>
              <w:rPr>
                <w:rFonts w:ascii="Times New Roman" w:hAnsi="Times New Roman" w:cs="Times New Roman"/>
                <w:sz w:val="20"/>
              </w:rPr>
              <w:t>d_oi</w:t>
            </w:r>
          </w:p>
        </w:tc>
        <w:tc>
          <w:tcPr/>
          <w:p>
            <w:r>
              <w:rPr>
                <w:rFonts w:ascii="Times New Roman" w:hAnsi="Times New Roman" w:cs="Times New Roman"/>
                <w:sz w:val="20"/>
              </w:rPr>
              <w:t>d_ai</w:t>
            </w:r>
          </w:p>
        </w:tc>
      </w:tr>
      <w:tr>
        <w:tc>
          <w:tcPr/>
          <w:p>
            <w:r>
              <w:rPr>
                <w:rFonts w:ascii="Times New Roman" w:hAnsi="Times New Roman" w:cs="Times New Roman"/>
                <w:sz w:val="20"/>
              </w:rPr>
              <w:t>B01</w:t>
            </w:r>
          </w:p>
        </w:tc>
        <w:tc>
          <w:tcPr/>
          <w:p>
            <w:r>
              <w:rPr>
                <w:rFonts w:ascii="Times New Roman" w:hAnsi="Times New Roman" w:cs="Times New Roman"/>
                <w:sz w:val="20"/>
              </w:rPr>
              <w:t>Electro Oriente S.A.</w:t>
            </w:r>
          </w:p>
        </w:tc>
        <w:tc>
          <w:tcPr/>
          <w:p>
            <w:r>
              <w:rPr>
                <w:rFonts w:ascii="Times New Roman" w:hAnsi="Times New Roman" w:cs="Times New Roman"/>
                <w:sz w:val="20"/>
              </w:rPr>
              <w:t>4</w:t>
            </w:r>
          </w:p>
        </w:tc>
        <w:tc>
          <w:tcPr/>
          <w:p>
            <w:r>
              <w:rPr>
                <w:rFonts w:ascii="Times New Roman" w:hAnsi="Times New Roman" w:cs="Times New Roman"/>
                <w:sz w:val="20"/>
              </w:rPr>
              <w:t>61</w:t>
            </w:r>
          </w:p>
        </w:tc>
        <w:tc>
          <w:tcPr/>
          <w:p>
            <w:r>
              <w:rPr>
                <w:rFonts w:ascii="Times New Roman" w:hAnsi="Times New Roman" w:cs="Times New Roman"/>
                <w:sz w:val="20"/>
              </w:rPr>
              <w:t>6</w:t>
            </w:r>
          </w:p>
        </w:tc>
      </w:tr>
      <w:tr>
        <w:tc>
          <w:tcPr/>
          <w:p>
            <w:r>
              <w:rPr>
                <w:rFonts w:ascii="Times New Roman" w:hAnsi="Times New Roman" w:cs="Times New Roman"/>
                <w:sz w:val="20"/>
              </w:rPr>
              <w:t>B02</w:t>
            </w:r>
          </w:p>
        </w:tc>
        <w:tc>
          <w:tcPr/>
          <w:p>
            <w:r>
              <w:rPr>
                <w:rFonts w:ascii="Times New Roman" w:hAnsi="Times New Roman" w:cs="Times New Roman"/>
                <w:sz w:val="20"/>
              </w:rPr>
              <w:t>Munic. San Juan Bautista</w:t>
            </w:r>
          </w:p>
        </w:tc>
        <w:tc>
          <w:tcPr/>
          <w:p>
            <w:r>
              <w:rPr>
                <w:rFonts w:ascii="Times New Roman" w:hAnsi="Times New Roman" w:cs="Times New Roman"/>
                <w:sz w:val="20"/>
              </w:rPr>
              <w:t>6</w:t>
            </w:r>
          </w:p>
        </w:tc>
        <w:tc>
          <w:tcPr/>
          <w:p>
            <w:r>
              <w:rPr>
                <w:rFonts w:ascii="Times New Roman" w:hAnsi="Times New Roman" w:cs="Times New Roman"/>
                <w:sz w:val="20"/>
              </w:rPr>
              <w:t>75</w:t>
            </w:r>
          </w:p>
        </w:tc>
        <w:tc>
          <w:tcPr/>
          <w:p>
            <w:r>
              <w:rPr>
                <w:rFonts w:ascii="Times New Roman" w:hAnsi="Times New Roman" w:cs="Times New Roman"/>
                <w:sz w:val="20"/>
              </w:rPr>
              <w:t>8</w:t>
            </w:r>
          </w:p>
        </w:tc>
      </w:tr>
      <w:tr>
        <w:tc>
          <w:tcPr/>
          <w:p>
            <w:r>
              <w:rPr>
                <w:rFonts w:ascii="Times New Roman" w:hAnsi="Times New Roman" w:cs="Times New Roman"/>
                <w:sz w:val="20"/>
              </w:rPr>
              <w:t>B03</w:t>
            </w:r>
          </w:p>
        </w:tc>
        <w:tc>
          <w:tcPr/>
          <w:p>
            <w:r>
              <w:rPr>
                <w:rFonts w:ascii="Times New Roman" w:hAnsi="Times New Roman" w:cs="Times New Roman"/>
                <w:sz w:val="20"/>
              </w:rPr>
              <w:t>Aeropuerto Internacional</w:t>
            </w:r>
          </w:p>
        </w:tc>
        <w:tc>
          <w:tcPr/>
          <w:p>
            <w:r>
              <w:rPr>
                <w:rFonts w:ascii="Times New Roman" w:hAnsi="Times New Roman" w:cs="Times New Roman"/>
                <w:sz w:val="20"/>
              </w:rPr>
              <w:t>8</w:t>
            </w:r>
          </w:p>
        </w:tc>
        <w:tc>
          <w:tcPr/>
          <w:p>
            <w:r>
              <w:rPr>
                <w:rFonts w:ascii="Times New Roman" w:hAnsi="Times New Roman" w:cs="Times New Roman"/>
                <w:sz w:val="20"/>
              </w:rPr>
              <w:t>89</w:t>
            </w:r>
          </w:p>
        </w:tc>
        <w:tc>
          <w:tcPr/>
          <w:p>
            <w:r>
              <w:rPr>
                <w:rFonts w:ascii="Times New Roman" w:hAnsi="Times New Roman" w:cs="Times New Roman"/>
                <w:sz w:val="20"/>
              </w:rPr>
              <w:t>10</w:t>
            </w:r>
          </w:p>
        </w:tc>
      </w:tr>
      <w:tr>
        <w:tc>
          <w:tcPr/>
          <w:p>
            <w:r>
              <w:rPr>
                <w:rFonts w:ascii="Times New Roman" w:hAnsi="Times New Roman" w:cs="Times New Roman"/>
                <w:sz w:val="20"/>
              </w:rPr>
              <w:t>B04</w:t>
            </w:r>
          </w:p>
        </w:tc>
        <w:tc>
          <w:tcPr/>
          <w:p>
            <w:r>
              <w:rPr>
                <w:rFonts w:ascii="Times New Roman" w:hAnsi="Times New Roman" w:cs="Times New Roman"/>
                <w:sz w:val="20"/>
              </w:rPr>
              <w:t>Hipermercados Tottus</w:t>
            </w:r>
          </w:p>
        </w:tc>
        <w:tc>
          <w:tcPr/>
          <w:p>
            <w:r>
              <w:rPr>
                <w:rFonts w:ascii="Times New Roman" w:hAnsi="Times New Roman" w:cs="Times New Roman"/>
                <w:sz w:val="20"/>
              </w:rPr>
              <w:t>6</w:t>
            </w:r>
          </w:p>
        </w:tc>
        <w:tc>
          <w:tcPr/>
          <w:p>
            <w:r>
              <w:rPr>
                <w:rFonts w:ascii="Times New Roman" w:hAnsi="Times New Roman" w:cs="Times New Roman"/>
                <w:sz w:val="20"/>
              </w:rPr>
              <w:t>75</w:t>
            </w:r>
          </w:p>
        </w:tc>
        <w:tc>
          <w:tcPr/>
          <w:p>
            <w:r>
              <w:rPr>
                <w:rFonts w:ascii="Times New Roman" w:hAnsi="Times New Roman" w:cs="Times New Roman"/>
                <w:sz w:val="20"/>
              </w:rPr>
              <w:t>8</w:t>
            </w:r>
          </w:p>
        </w:tc>
      </w:tr>
      <w:tr>
        <w:tc>
          <w:tcPr/>
          <w:p>
            <w:r>
              <w:rPr>
                <w:rFonts w:ascii="Times New Roman" w:hAnsi="Times New Roman" w:cs="Times New Roman"/>
                <w:sz w:val="20"/>
              </w:rPr>
              <w:t>B05</w:t>
            </w:r>
          </w:p>
        </w:tc>
        <w:tc>
          <w:tcPr/>
          <w:p>
            <w:r>
              <w:rPr>
                <w:rFonts w:ascii="Times New Roman" w:hAnsi="Times New Roman" w:cs="Times New Roman"/>
                <w:sz w:val="20"/>
              </w:rPr>
              <w:t>Hotel Plaza S.A.</w:t>
            </w:r>
          </w:p>
        </w:tc>
        <w:tc>
          <w:tcPr/>
          <w:p>
            <w:r>
              <w:rPr>
                <w:rFonts w:ascii="Times New Roman" w:hAnsi="Times New Roman" w:cs="Times New Roman"/>
                <w:sz w:val="20"/>
              </w:rPr>
              <w:t>3</w:t>
            </w:r>
          </w:p>
        </w:tc>
        <w:tc>
          <w:tcPr/>
          <w:p>
            <w:r>
              <w:rPr>
                <w:rFonts w:ascii="Times New Roman" w:hAnsi="Times New Roman" w:cs="Times New Roman"/>
                <w:sz w:val="20"/>
              </w:rPr>
              <w:t>54</w:t>
            </w:r>
          </w:p>
        </w:tc>
        <w:tc>
          <w:tcPr/>
          <w:p>
            <w:r>
              <w:rPr>
                <w:rFonts w:ascii="Times New Roman" w:hAnsi="Times New Roman" w:cs="Times New Roman"/>
                <w:sz w:val="20"/>
              </w:rPr>
              <w:t>5</w:t>
            </w:r>
          </w:p>
        </w:tc>
      </w:tr>
      <w:tr>
        <w:tc>
          <w:tcPr/>
          <w:p>
            <w:r>
              <w:rPr>
                <w:rFonts w:ascii="Times New Roman" w:hAnsi="Times New Roman" w:cs="Times New Roman"/>
                <w:sz w:val="20"/>
              </w:rPr>
              <w:t>B06</w:t>
            </w:r>
          </w:p>
        </w:tc>
        <w:tc>
          <w:tcPr/>
          <w:p>
            <w:r>
              <w:rPr>
                <w:rFonts w:ascii="Times New Roman" w:hAnsi="Times New Roman" w:cs="Times New Roman"/>
                <w:sz w:val="20"/>
              </w:rPr>
              <w:t>Mall Aventura</w:t>
            </w:r>
          </w:p>
        </w:tc>
        <w:tc>
          <w:tcPr/>
          <w:p>
            <w:r>
              <w:rPr>
                <w:rFonts w:ascii="Times New Roman" w:hAnsi="Times New Roman" w:cs="Times New Roman"/>
                <w:sz w:val="20"/>
              </w:rPr>
              <w:t>32</w:t>
            </w:r>
          </w:p>
        </w:tc>
        <w:tc>
          <w:tcPr/>
          <w:p>
            <w:r>
              <w:rPr>
                <w:rFonts w:ascii="Times New Roman" w:hAnsi="Times New Roman" w:cs="Times New Roman"/>
                <w:sz w:val="20"/>
              </w:rPr>
              <w:t>257</w:t>
            </w:r>
          </w:p>
        </w:tc>
        <w:tc>
          <w:tcPr/>
          <w:p>
            <w:r>
              <w:rPr>
                <w:rFonts w:ascii="Times New Roman" w:hAnsi="Times New Roman" w:cs="Times New Roman"/>
                <w:sz w:val="20"/>
              </w:rPr>
              <w:t>34</w:t>
            </w:r>
          </w:p>
        </w:tc>
      </w:tr>
      <w:tr>
        <w:tc>
          <w:tcPr/>
          <w:p>
            <w:r>
              <w:rPr>
                <w:rFonts w:ascii="Times New Roman" w:hAnsi="Times New Roman" w:cs="Times New Roman"/>
                <w:sz w:val="20"/>
              </w:rPr>
              <w:t>B07</w:t>
            </w:r>
          </w:p>
        </w:tc>
        <w:tc>
          <w:tcPr/>
          <w:p>
            <w:r>
              <w:rPr>
                <w:rFonts w:ascii="Times New Roman" w:hAnsi="Times New Roman" w:cs="Times New Roman"/>
                <w:sz w:val="20"/>
              </w:rPr>
              <w:t>UNAP Biologia</w:t>
            </w:r>
          </w:p>
        </w:tc>
        <w:tc>
          <w:tcPr/>
          <w:p>
            <w:r>
              <w:rPr>
                <w:rFonts w:ascii="Times New Roman" w:hAnsi="Times New Roman" w:cs="Times New Roman"/>
                <w:sz w:val="20"/>
              </w:rPr>
              <w:t>42</w:t>
            </w:r>
          </w:p>
        </w:tc>
        <w:tc>
          <w:tcPr/>
          <w:p>
            <w:r>
              <w:rPr>
                <w:rFonts w:ascii="Times New Roman" w:hAnsi="Times New Roman" w:cs="Times New Roman"/>
                <w:sz w:val="20"/>
              </w:rPr>
              <w:t>327</w:t>
            </w:r>
          </w:p>
        </w:tc>
        <w:tc>
          <w:tcPr/>
          <w:p>
            <w:r>
              <w:rPr>
                <w:rFonts w:ascii="Times New Roman" w:hAnsi="Times New Roman" w:cs="Times New Roman"/>
                <w:sz w:val="20"/>
              </w:rPr>
              <w:t>44</w:t>
            </w:r>
          </w:p>
        </w:tc>
      </w:tr>
      <w:tr>
        <w:tc>
          <w:tcPr/>
          <w:p>
            <w:r>
              <w:rPr>
                <w:rFonts w:ascii="Times New Roman" w:hAnsi="Times New Roman" w:cs="Times New Roman"/>
                <w:sz w:val="20"/>
              </w:rPr>
              <w:t>B08</w:t>
            </w:r>
          </w:p>
        </w:tc>
        <w:tc>
          <w:tcPr/>
          <w:p>
            <w:r>
              <w:rPr>
                <w:rFonts w:ascii="Times New Roman" w:hAnsi="Times New Roman" w:cs="Times New Roman"/>
                <w:sz w:val="20"/>
              </w:rPr>
              <w:t>PNP Escuela Tecnica</w:t>
            </w:r>
          </w:p>
        </w:tc>
        <w:tc>
          <w:tcPr/>
          <w:p>
            <w:r>
              <w:rPr>
                <w:rFonts w:ascii="Times New Roman" w:hAnsi="Times New Roman" w:cs="Times New Roman"/>
                <w:sz w:val="20"/>
              </w:rPr>
              <w:t>17</w:t>
            </w:r>
          </w:p>
        </w:tc>
        <w:tc>
          <w:tcPr/>
          <w:p>
            <w:r>
              <w:rPr>
                <w:rFonts w:ascii="Times New Roman" w:hAnsi="Times New Roman" w:cs="Times New Roman"/>
                <w:sz w:val="20"/>
              </w:rPr>
              <w:t>152</w:t>
            </w:r>
          </w:p>
        </w:tc>
        <w:tc>
          <w:tcPr/>
          <w:p>
            <w:r>
              <w:rPr>
                <w:rFonts w:ascii="Times New Roman" w:hAnsi="Times New Roman" w:cs="Times New Roman"/>
                <w:sz w:val="20"/>
              </w:rPr>
              <w:t>19</w:t>
            </w:r>
          </w:p>
        </w:tc>
      </w:tr>
      <w:tr>
        <w:tc>
          <w:tcPr/>
          <w:p>
            <w:r>
              <w:rPr>
                <w:rFonts w:ascii="Times New Roman" w:hAnsi="Times New Roman" w:cs="Times New Roman"/>
                <w:sz w:val="20"/>
              </w:rPr>
              <w:t>B09</w:t>
            </w:r>
          </w:p>
        </w:tc>
        <w:tc>
          <w:tcPr/>
          <w:p>
            <w:r>
              <w:rPr>
                <w:rFonts w:ascii="Times New Roman" w:hAnsi="Times New Roman" w:cs="Times New Roman"/>
                <w:sz w:val="20"/>
              </w:rPr>
              <w:t>GORE Loreto COER</w:t>
            </w:r>
          </w:p>
        </w:tc>
        <w:tc>
          <w:tcPr/>
          <w:p>
            <w:r>
              <w:rPr>
                <w:rFonts w:ascii="Times New Roman" w:hAnsi="Times New Roman" w:cs="Times New Roman"/>
                <w:sz w:val="20"/>
              </w:rPr>
              <w:t>10</w:t>
            </w:r>
          </w:p>
        </w:tc>
        <w:tc>
          <w:tcPr/>
          <w:p>
            <w:r>
              <w:rPr>
                <w:rFonts w:ascii="Times New Roman" w:hAnsi="Times New Roman" w:cs="Times New Roman"/>
                <w:sz w:val="20"/>
              </w:rPr>
              <w:t>103</w:t>
            </w:r>
          </w:p>
        </w:tc>
        <w:tc>
          <w:tcPr/>
          <w:p>
            <w:r>
              <w:rPr>
                <w:rFonts w:ascii="Times New Roman" w:hAnsi="Times New Roman" w:cs="Times New Roman"/>
                <w:sz w:val="20"/>
              </w:rPr>
              <w:t>12</w:t>
            </w:r>
          </w:p>
        </w:tc>
      </w:tr>
      <w:tr>
        <w:tc>
          <w:tcPr/>
          <w:p>
            <w:r>
              <w:rPr>
                <w:rFonts w:ascii="Times New Roman" w:hAnsi="Times New Roman" w:cs="Times New Roman"/>
                <w:sz w:val="20"/>
              </w:rPr>
              <w:t>B10</w:t>
            </w:r>
          </w:p>
        </w:tc>
        <w:tc>
          <w:tcPr/>
          <w:p>
            <w:r>
              <w:rPr>
                <w:rFonts w:ascii="Times New Roman" w:hAnsi="Times New Roman" w:cs="Times New Roman"/>
                <w:sz w:val="20"/>
              </w:rPr>
              <w:t>Gobierno Regional Loreto</w:t>
            </w:r>
          </w:p>
        </w:tc>
        <w:tc>
          <w:tcPr/>
          <w:p>
            <w:r>
              <w:rPr>
                <w:rFonts w:ascii="Times New Roman" w:hAnsi="Times New Roman" w:cs="Times New Roman"/>
                <w:sz w:val="20"/>
              </w:rPr>
              <w:t>6</w:t>
            </w:r>
          </w:p>
        </w:tc>
        <w:tc>
          <w:tcPr/>
          <w:p>
            <w:r>
              <w:rPr>
                <w:rFonts w:ascii="Times New Roman" w:hAnsi="Times New Roman" w:cs="Times New Roman"/>
                <w:sz w:val="20"/>
              </w:rPr>
              <w:t>75</w:t>
            </w:r>
          </w:p>
        </w:tc>
        <w:tc>
          <w:tcPr/>
          <w:p>
            <w:r>
              <w:rPr>
                <w:rFonts w:ascii="Times New Roman" w:hAnsi="Times New Roman" w:cs="Times New Roman"/>
                <w:sz w:val="20"/>
              </w:rPr>
              <w:t>8</w:t>
            </w:r>
          </w:p>
        </w:tc>
      </w:tr>
      <w:tr>
        <w:tc>
          <w:tcPr/>
          <w:p>
            <w:r>
              <w:rPr>
                <w:rFonts w:ascii="Times New Roman" w:hAnsi="Times New Roman" w:cs="Times New Roman"/>
                <w:sz w:val="20"/>
              </w:rPr>
              <w:t>B11</w:t>
            </w:r>
          </w:p>
        </w:tc>
        <w:tc>
          <w:tcPr/>
          <w:p>
            <w:r>
              <w:rPr>
                <w:rFonts w:ascii="Times New Roman" w:hAnsi="Times New Roman" w:cs="Times New Roman"/>
                <w:sz w:val="20"/>
              </w:rPr>
              <w:t>Hospital Regional</w:t>
            </w:r>
          </w:p>
        </w:tc>
        <w:tc>
          <w:tcPr/>
          <w:p>
            <w:r>
              <w:rPr>
                <w:rFonts w:ascii="Times New Roman" w:hAnsi="Times New Roman" w:cs="Times New Roman"/>
                <w:sz w:val="20"/>
              </w:rPr>
              <w:t>3</w:t>
            </w:r>
          </w:p>
        </w:tc>
        <w:tc>
          <w:tcPr/>
          <w:p>
            <w:r>
              <w:rPr>
                <w:rFonts w:ascii="Times New Roman" w:hAnsi="Times New Roman" w:cs="Times New Roman"/>
                <w:sz w:val="20"/>
              </w:rPr>
              <w:t>54</w:t>
            </w:r>
          </w:p>
        </w:tc>
        <w:tc>
          <w:tcPr/>
          <w:p>
            <w:r>
              <w:rPr>
                <w:rFonts w:ascii="Times New Roman" w:hAnsi="Times New Roman" w:cs="Times New Roman"/>
                <w:sz w:val="20"/>
              </w:rPr>
              <w:t>5</w:t>
            </w:r>
          </w:p>
        </w:tc>
      </w:tr>
      <w:tr>
        <w:tc>
          <w:tcPr/>
          <w:p>
            <w:r>
              <w:rPr>
                <w:rFonts w:ascii="Times New Roman" w:hAnsi="Times New Roman" w:cs="Times New Roman"/>
                <w:sz w:val="20"/>
              </w:rPr>
              <w:t>B12</w:t>
            </w:r>
          </w:p>
        </w:tc>
        <w:tc>
          <w:tcPr/>
          <w:p>
            <w:r>
              <w:rPr>
                <w:rFonts w:ascii="Times New Roman" w:hAnsi="Times New Roman" w:cs="Times New Roman"/>
                <w:sz w:val="20"/>
              </w:rPr>
              <w:t>EsSalud</w:t>
            </w:r>
          </w:p>
        </w:tc>
        <w:tc>
          <w:tcPr/>
          <w:p>
            <w:r>
              <w:rPr>
                <w:rFonts w:ascii="Times New Roman" w:hAnsi="Times New Roman" w:cs="Times New Roman"/>
                <w:sz w:val="20"/>
              </w:rPr>
              <w:t>3</w:t>
            </w:r>
          </w:p>
        </w:tc>
        <w:tc>
          <w:tcPr/>
          <w:p>
            <w:r>
              <w:rPr>
                <w:rFonts w:ascii="Times New Roman" w:hAnsi="Times New Roman" w:cs="Times New Roman"/>
                <w:sz w:val="20"/>
              </w:rPr>
              <w:t>54</w:t>
            </w:r>
          </w:p>
        </w:tc>
        <w:tc>
          <w:tcPr/>
          <w:p>
            <w:r>
              <w:rPr>
                <w:rFonts w:ascii="Times New Roman" w:hAnsi="Times New Roman" w:cs="Times New Roman"/>
                <w:sz w:val="20"/>
              </w:rPr>
              <w:t>5</w:t>
            </w:r>
          </w:p>
        </w:tc>
      </w:tr>
      <w:tr>
        <w:tc>
          <w:tcPr/>
          <w:p>
            <w:r>
              <w:rPr>
                <w:rFonts w:ascii="Times New Roman" w:hAnsi="Times New Roman" w:cs="Times New Roman"/>
                <w:sz w:val="20"/>
              </w:rPr>
              <w:t>B13</w:t>
            </w:r>
          </w:p>
        </w:tc>
        <w:tc>
          <w:tcPr/>
          <w:p>
            <w:r>
              <w:rPr>
                <w:rFonts w:ascii="Times New Roman" w:hAnsi="Times New Roman" w:cs="Times New Roman"/>
                <w:sz w:val="20"/>
              </w:rPr>
              <w:t>UNAP Cs. Economicas</w:t>
            </w:r>
          </w:p>
        </w:tc>
        <w:tc>
          <w:tcPr/>
          <w:p>
            <w:r>
              <w:rPr>
                <w:rFonts w:ascii="Times New Roman" w:hAnsi="Times New Roman" w:cs="Times New Roman"/>
                <w:sz w:val="20"/>
              </w:rPr>
              <w:t>11</w:t>
            </w:r>
          </w:p>
        </w:tc>
        <w:tc>
          <w:tcPr/>
          <w:p>
            <w:r>
              <w:rPr>
                <w:rFonts w:ascii="Times New Roman" w:hAnsi="Times New Roman" w:cs="Times New Roman"/>
                <w:sz w:val="20"/>
              </w:rPr>
              <w:t>110</w:t>
            </w:r>
          </w:p>
        </w:tc>
        <w:tc>
          <w:tcPr/>
          <w:p>
            <w:r>
              <w:rPr>
                <w:rFonts w:ascii="Times New Roman" w:hAnsi="Times New Roman" w:cs="Times New Roman"/>
                <w:sz w:val="20"/>
              </w:rPr>
              <w:t>13</w:t>
            </w:r>
          </w:p>
        </w:tc>
      </w:tr>
      <w:tr>
        <w:tc>
          <w:tcPr/>
          <w:p>
            <w:r>
              <w:rPr>
                <w:rFonts w:ascii="Times New Roman" w:hAnsi="Times New Roman" w:cs="Times New Roman"/>
                <w:sz w:val="20"/>
              </w:rPr>
              <w:t>B14</w:t>
            </w:r>
          </w:p>
        </w:tc>
        <w:tc>
          <w:tcPr/>
          <w:p>
            <w:r>
              <w:rPr>
                <w:rFonts w:ascii="Times New Roman" w:hAnsi="Times New Roman" w:cs="Times New Roman"/>
                <w:sz w:val="20"/>
              </w:rPr>
              <w:t>Autoridad Portuaria</w:t>
            </w:r>
          </w:p>
        </w:tc>
        <w:tc>
          <w:tcPr/>
          <w:p>
            <w:r>
              <w:rPr>
                <w:rFonts w:ascii="Times New Roman" w:hAnsi="Times New Roman" w:cs="Times New Roman"/>
                <w:sz w:val="20"/>
              </w:rPr>
              <w:t>4</w:t>
            </w:r>
          </w:p>
        </w:tc>
        <w:tc>
          <w:tcPr/>
          <w:p>
            <w:r>
              <w:rPr>
                <w:rFonts w:ascii="Times New Roman" w:hAnsi="Times New Roman" w:cs="Times New Roman"/>
                <w:sz w:val="20"/>
              </w:rPr>
              <w:t>61</w:t>
            </w:r>
          </w:p>
        </w:tc>
        <w:tc>
          <w:tcPr/>
          <w:p>
            <w:r>
              <w:rPr>
                <w:rFonts w:ascii="Times New Roman" w:hAnsi="Times New Roman" w:cs="Times New Roman"/>
                <w:sz w:val="20"/>
              </w:rPr>
              <w:t>6</w:t>
            </w:r>
          </w:p>
        </w:tc>
      </w:tr>
      <w:tr>
        <w:tc>
          <w:tcPr/>
          <w:p>
            <w:r>
              <w:rPr>
                <w:rFonts w:ascii="Times New Roman" w:hAnsi="Times New Roman" w:cs="Times New Roman"/>
                <w:sz w:val="20"/>
              </w:rPr>
              <w:t>B15</w:t>
            </w:r>
          </w:p>
        </w:tc>
        <w:tc>
          <w:tcPr/>
          <w:p>
            <w:r>
              <w:rPr>
                <w:rFonts w:ascii="Times New Roman" w:hAnsi="Times New Roman" w:cs="Times New Roman"/>
                <w:sz w:val="20"/>
              </w:rPr>
              <w:t>DREL Colegio Nacional</w:t>
            </w:r>
          </w:p>
        </w:tc>
        <w:tc>
          <w:tcPr/>
          <w:p>
            <w:r>
              <w:rPr>
                <w:rFonts w:ascii="Times New Roman" w:hAnsi="Times New Roman" w:cs="Times New Roman"/>
                <w:sz w:val="20"/>
              </w:rPr>
              <w:t>8</w:t>
            </w:r>
          </w:p>
        </w:tc>
        <w:tc>
          <w:tcPr/>
          <w:p>
            <w:r>
              <w:rPr>
                <w:rFonts w:ascii="Times New Roman" w:hAnsi="Times New Roman" w:cs="Times New Roman"/>
                <w:sz w:val="20"/>
              </w:rPr>
              <w:t>89</w:t>
            </w:r>
          </w:p>
        </w:tc>
        <w:tc>
          <w:tcPr/>
          <w:p>
            <w:r>
              <w:rPr>
                <w:rFonts w:ascii="Times New Roman" w:hAnsi="Times New Roman" w:cs="Times New Roman"/>
                <w:sz w:val="20"/>
              </w:rPr>
              <w:t>10</w:t>
            </w:r>
          </w:p>
        </w:tc>
      </w:tr>
      <w:tr>
        <w:tc>
          <w:tcPr/>
          <w:p>
            <w:r>
              <w:rPr>
                <w:rFonts w:ascii="Times New Roman" w:hAnsi="Times New Roman" w:cs="Times New Roman"/>
                <w:sz w:val="20"/>
              </w:rPr>
              <w:t>B16</w:t>
            </w:r>
          </w:p>
        </w:tc>
        <w:tc>
          <w:tcPr/>
          <w:p>
            <w:r>
              <w:rPr>
                <w:rFonts w:ascii="Times New Roman" w:hAnsi="Times New Roman" w:cs="Times New Roman"/>
                <w:sz w:val="20"/>
              </w:rPr>
              <w:t>SIMA Iquitos</w:t>
            </w:r>
          </w:p>
        </w:tc>
        <w:tc>
          <w:tcPr/>
          <w:p>
            <w:r>
              <w:rPr>
                <w:rFonts w:ascii="Times New Roman" w:hAnsi="Times New Roman" w:cs="Times New Roman"/>
                <w:sz w:val="20"/>
              </w:rPr>
              <w:t>11</w:t>
            </w:r>
          </w:p>
        </w:tc>
        <w:tc>
          <w:tcPr/>
          <w:p>
            <w:r>
              <w:rPr>
                <w:rFonts w:ascii="Times New Roman" w:hAnsi="Times New Roman" w:cs="Times New Roman"/>
                <w:sz w:val="20"/>
              </w:rPr>
              <w:t>110</w:t>
            </w:r>
          </w:p>
        </w:tc>
        <w:tc>
          <w:tcPr/>
          <w:p>
            <w:r>
              <w:rPr>
                <w:rFonts w:ascii="Times New Roman" w:hAnsi="Times New Roman" w:cs="Times New Roman"/>
                <w:sz w:val="20"/>
              </w:rPr>
              <w:t>13</w:t>
            </w:r>
          </w:p>
        </w:tc>
      </w:tr>
      <w:tr>
        <w:tc>
          <w:tcPr/>
          <w:p>
            <w:r>
              <w:rPr>
                <w:rFonts w:ascii="Times New Roman" w:hAnsi="Times New Roman" w:cs="Times New Roman"/>
                <w:sz w:val="20"/>
              </w:rPr>
              <w:t>B17</w:t>
            </w:r>
          </w:p>
        </w:tc>
        <w:tc>
          <w:tcPr/>
          <w:p>
            <w:r>
              <w:rPr>
                <w:rFonts w:ascii="Times New Roman" w:hAnsi="Times New Roman" w:cs="Times New Roman"/>
                <w:sz w:val="20"/>
              </w:rPr>
              <w:t>Asoc. Civil Selva Amazonica</w:t>
            </w:r>
          </w:p>
        </w:tc>
        <w:tc>
          <w:tcPr/>
          <w:p>
            <w:r>
              <w:rPr>
                <w:rFonts w:ascii="Times New Roman" w:hAnsi="Times New Roman" w:cs="Times New Roman"/>
                <w:sz w:val="20"/>
              </w:rPr>
              <w:t>11</w:t>
            </w:r>
          </w:p>
        </w:tc>
        <w:tc>
          <w:tcPr/>
          <w:p>
            <w:r>
              <w:rPr>
                <w:rFonts w:ascii="Times New Roman" w:hAnsi="Times New Roman" w:cs="Times New Roman"/>
                <w:sz w:val="20"/>
              </w:rPr>
              <w:t>110</w:t>
            </w:r>
          </w:p>
        </w:tc>
        <w:tc>
          <w:tcPr/>
          <w:p>
            <w:r>
              <w:rPr>
                <w:rFonts w:ascii="Times New Roman" w:hAnsi="Times New Roman" w:cs="Times New Roman"/>
                <w:sz w:val="20"/>
              </w:rPr>
              <w:t>13</w:t>
            </w:r>
          </w:p>
        </w:tc>
      </w:tr>
      <w:tr>
        <w:tc>
          <w:tcPr/>
          <w:p>
            <w:r>
              <w:rPr>
                <w:rFonts w:ascii="Times New Roman" w:hAnsi="Times New Roman" w:cs="Times New Roman"/>
                <w:sz w:val="20"/>
              </w:rPr>
              <w:t>Distrito</w:t>
            </w:r>
          </w:p>
        </w:tc>
        <w:tc>
          <w:tcPr/>
          <w:p>
            <w:r>
              <w:rPr>
                <w:rFonts w:ascii="Times New Roman" w:hAnsi="Times New Roman" w:cs="Times New Roman"/>
                <w:sz w:val="20"/>
              </w:rPr>
              <w:t>suma d_oi = d_s; suma acciones</w:t>
            </w:r>
          </w:p>
        </w:tc>
        <w:tc>
          <w:tcPr/>
          <w:p>
            <w:r>
              <w:rPr>
                <w:rFonts w:ascii="Times New Roman" w:hAnsi="Times New Roman" w:cs="Times New Roman"/>
                <w:sz w:val="20"/>
              </w:rPr>
              <w:t>185</w:t>
            </w:r>
          </w:p>
        </w:tc>
        <w:tc>
          <w:tcPr/>
          <w:p>
            <w:r>
              <w:rPr>
                <w:rFonts w:ascii="Times New Roman" w:hAnsi="Times New Roman" w:cs="Times New Roman"/>
                <w:sz w:val="20"/>
              </w:rPr>
              <w:t>1856</w:t>
            </w:r>
          </w:p>
        </w:tc>
        <w:tc>
          <w:tcPr/>
          <w:p>
            <w:r>
              <w:rPr>
                <w:rFonts w:ascii="Times New Roman" w:hAnsi="Times New Roman" w:cs="Times New Roman"/>
                <w:sz w:val="20"/>
              </w:rPr>
              <w:t>219</w:t>
            </w:r>
          </w:p>
        </w:tc>
      </w:tr>
    </w:tbl>
    <w:p>
      <w:r>
        <w:rPr>
          <w:rFonts w:ascii="Times New Roman" w:hAnsi="Times New Roman" w:cs="Times New Roman"/>
          <w:b w:val="0"/>
          <w:sz w:val="20"/>
        </w:rPr>
        <w:t>Nota. Dimensiones medidas con CityLearnEnv(schema Iquitos, central_agent=False). Fuente: elaboracion propia a partir del dataset citylearn_iquitos_2023_2025.</w:t>
      </w:r>
    </w:p>
    <w:p>
      <w:pPr>
        <w:spacing w:before="0" w:after="0" w:line="480" w:lineRule="auto"/>
        <w:ind w:firstLine="720"/>
        <w:jc w:val="both"/>
      </w:pPr>
      <w:r>
        <w:rPr>
          <w:rFonts w:ascii="Times New Roman" w:hAnsi="Times New Roman" w:cs="Times New Roman" w:eastAsia="Times New Roman"/>
          <w:color w:val="000000"/>
          <w:sz w:val="24"/>
        </w:rPr>
        <w:t>Esta formalizacion enlaza directamente el problema general y los objetivos especificos. OE.1 evalua la respuesta del Dec-POMDP cuando la recompensa prioriza flexibilidad; OE.2 cuando prioriza emisiones de CO2; y OE.3 cuando prioriza costos energeticos. La variable independiente no es solo el nombre del algoritmo, sino la politica MADRL aprendida bajo CTDE y bajo pesos de recompensa comparables. La variable dependiente se observa mediante KPIs distritales y por edificio, por lo que el Dec-POMDP justifica simultaneamente el entrenamiento multiagente y la lectura de resultados por distrito, edificio, escenario y KPI.</w:t>
      </w:r>
    </w:p>
    <w:p>
      <w:r>
        <w:rPr>
          <w:rFonts w:ascii="Times New Roman" w:hAnsi="Times New Roman" w:cs="Times New Roman"/>
          <w:b w:val="0"/>
          <w:i w:val="0"/>
          <w:sz w:val="24"/>
        </w:rPr>
        <w:t>La Figura 2.1 sintetiza la formalización teórica precedente: el entorno físico CityLearn v2 (edificio, DER, red y comunidad), la interfaz de control Actor–Crítico bajo CTDE y la tupla Dec-POMDP cooperativa instanciada en el SEAI Iquitos.</w:t>
      </w:r>
    </w:p>
    <w:p>
      <w:pPr>
        <w:jc w:val="center"/>
      </w:pPr>
      <w:r>
        <w:drawing>
          <wp:inline xmlns:a="http://schemas.openxmlformats.org/drawingml/2006/main" xmlns:pic="http://schemas.openxmlformats.org/drawingml/2006/picture">
            <wp:extent cx="5580000" cy="3720000"/>
            <wp:docPr id="211" name="Picture 211"/>
            <wp:cNvGraphicFramePr>
              <a:graphicFrameLocks noChangeAspect="1"/>
            </wp:cNvGraphicFramePr>
            <a:graphic>
              <a:graphicData uri="http://schemas.openxmlformats.org/drawingml/2006/picture">
                <pic:pic>
                  <pic:nvPicPr>
                    <pic:cNvPr id="0" name="CITYLEARN_V3_CONTROL_EDIFICIO_ACTOR_CRITIC.png"/>
                    <pic:cNvPicPr/>
                  </pic:nvPicPr>
                  <pic:blipFill>
                    <a:blip r:embed="rId223"/>
                    <a:stretch>
                      <a:fillRect/>
                    </a:stretch>
                  </pic:blipFill>
                  <pic:spPr>
                    <a:xfrm>
                      <a:off x="0" y="0"/>
                      <a:ext cx="5580000" cy="3720000"/>
                    </a:xfrm>
                    <a:prstGeom prst="rect"/>
                  </pic:spPr>
                </pic:pic>
              </a:graphicData>
            </a:graphic>
          </wp:inline>
        </w:drawing>
      </w:r>
    </w:p>
    <w:p>
      <w:pPr>
        <w:jc w:val="center"/>
      </w:pPr>
      <w:r>
        <w:rPr>
          <w:rFonts w:ascii="Times New Roman" w:hAnsi="Times New Roman" w:cs="Times New Roman"/>
          <w:b w:val="0"/>
          <w:i/>
          <w:color w:val="404040"/>
          <w:sz w:val="20"/>
        </w:rPr>
        <w:t>Figura 2.1. Control por edificio CityLearn v3 propuesto (simbología CityLearn v2): Electro Oriente S.A. (B01), comunidad inteligente Iquitos (B02–B17), red pública/SEAI, Actor–Crítico CTDE y formulación Dec-POMDP.</w:t>
      </w:r>
    </w:p>
    <w:p>
      <w:pPr>
        <w:jc w:val="both"/>
      </w:pPr>
      <w:r>
        <w:rPr>
          <w:rFonts w:ascii="Times New Roman" w:hAnsi="Times New Roman" w:cs="Times New Roman"/>
          <w:b w:val="0"/>
          <w:i/>
          <w:color w:val="404040"/>
          <w:sz w:val="18"/>
        </w:rPr>
        <w:t>Nota. Adaptación de la Fig. 1 de CityLearn v2 (Nweye et al., 2024) a la capa CityLearn v3 propuesto de esta tesis. Se conserva la simbología oficial (energía eléctrica = línea verde punteada; energía térmica = azul discontinua; señal de control = rojo dash-dot con P/C/D; interacción del ocupante = morada punteada; observaciones = naranja long-dash). Building_1/B01 muestra datos reales de Electro Oriente S.A. (PV 3 360,2 kWp; BESS 6 747 kWh / 1 609 kW; 4 tomas EV; d_o = 61; d_a = 6). La comunidad lista B02–B17 con etiquetas del dataset citylearn_iquitos_2023_2025. En CONTROL, el Actor π_i(a_i|o_i) ejecuta de forma descentralizada y el Crítico V/Q opera solo en entrenamiento CTDE con s = [o_1,…,o_17] ∈ ℝ^1856. Acciones MADRL activas: electrical_storage, electric_vehicle_storage y washing_machine; el bloque térmico v2 se mantiene como física (acciones cooling/heating/DHW inactivas en el schema Iquitos). Fuente: elaboración propia a partir de Nweye et al. (2024), Oliehoek y Amato (2016), Lowe et al. (2017) y artefactos del proyecto (docs/architecture/CITYLEARN_V3_CONTROL_EDIFICIO_ACTOR_CRITIC.png).</w:t>
      </w:r>
    </w:p>
    <w:p>
      <w:pPr>
        <w:pStyle w:val="TablaIndice"/>
        <w:spacing w:before="0" w:after="0" w:line="480" w:lineRule="auto"/>
        <w:jc w:val="left"/>
      </w:pPr>
      <w:r>
        <w:rPr>
          <w:rFonts w:ascii="Times New Roman" w:hAnsi="Times New Roman" w:cs="Times New Roman" w:eastAsia="Times New Roman"/>
          <w:b/>
          <w:i w:val="0"/>
          <w:color w:val="000000"/>
          <w:sz w:val="24"/>
        </w:rPr>
        <w:t>Tabla 2.3</w:t>
        <w:br/>
        <w:t>Mapeo del Dec-POMDP de tesis a artefactos reales del proyecto</w:t>
      </w:r>
      <w:r>
        <w:rPr>
          <w:rFonts w:ascii="Times New Roman" w:hAnsi="Times New Roman" w:cs="Times New Roman" w:eastAsia="Times New Roman"/>
          <w:b w:val="0"/>
          <w:i/>
          <w:color w:val="000000"/>
          <w:sz w:val="24"/>
        </w:rPr>
      </w:r>
    </w:p>
    <w:tbl>
      <w:tblPr>
        <w:tblW w:type="auto" w:w="0"/>
        <w:jc w:val="center"/>
        <w:tblLook w:firstColumn="1" w:firstRow="1" w:lastColumn="0" w:lastRow="0" w:noHBand="0" w:noVBand="1" w:val="04A0"/>
      </w:tblPr>
      <w:tblGrid>
        <w:gridCol w:w="2880"/>
        <w:gridCol w:w="2880"/>
        <w:gridCol w:w="2880"/>
      </w:tblGrid>
      <w:tr>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Elemento</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Operacion en la tesis</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Evidencia local</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Agentes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Edificios institucionales/comerciales de la comunidad</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 agentes en building_behavior_summary.csv</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Estado global 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Concatenacion de observaciones locales para critic/entrenamiento CTDE</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suma observation_dim=1856</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Observacion local O_i</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Informacion parcial disponible para cada actor</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rango observado 54-327 variables</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Accion A_i</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Control descentralizado de equipos flexibles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rango observado 5-44; total=219</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Transicion T</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Dinamica horaria de CityLearn: clima, PV, BESS, EV, precio, carbono y demanda</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timeseries.csv y traces por tratamiento</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Recompensa R</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Funcion multiobjetivo comparable por escenario E1/E2/E3</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pesos flex/CO2/costo y agregacion team_mean</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Horizonte H</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Evaluacion anual horaria por episodio</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8760 pasos horarios</w:t>
            </w:r>
          </w:p>
        </w:tc>
      </w:tr>
      <w:tr>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Descuento gamma</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Persistencia de efectos diferidos de almacenamiento y carga EV</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gamma=0.9999</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formalizacion teorica del problema multiagente y sus elementos matematicos. Fuente: Elaboracion propia a partir de Oliehoek y Amato (2016), Lowe et al. (2017) y los artefactos del entorno CityLearn usado en la tesis.</w:t>
      </w:r>
    </w:p>
    <w:p/>
    <w:p>
      <w:pPr>
        <w:pStyle w:val="Heading3"/>
        <w:spacing w:line="480" w:lineRule="auto" w:before="0" w:after="0"/>
        <w:jc w:val="left"/>
      </w:pPr>
      <w:r>
        <w:rPr>
          <w:rFonts w:ascii="Times New Roman" w:hAnsi="Times New Roman" w:cs="Times New Roman" w:eastAsia="Times New Roman"/>
          <w:color w:val="000000"/>
          <w:sz w:val="24"/>
        </w:rPr>
        <w:t>2.2.4 CityLearn y simulacion multiobjetivo</w:t>
      </w:r>
    </w:p>
    <w:p>
      <w:pPr>
        <w:spacing w:after="0" w:line="480" w:lineRule="auto" w:before="0"/>
        <w:ind w:firstLine="720"/>
        <w:jc w:val="both"/>
      </w:pPr>
      <w:r>
        <w:rPr>
          <w:rFonts w:ascii="Times New Roman" w:hAnsi="Times New Roman" w:cs="Times New Roman"/>
          <w:b w:val="0"/>
          <w:sz w:val="24"/>
        </w:rPr>
        <w:t>CityLearn constituye la linea de simulacion mas directamente vinculada con esta tesis. Vázquez-Canteli y Nagy (2019a) introdujeron CityLearn v1.0 como entorno compatible con OpenAI Gym para respuesta a la demanda en edificios, mostrando que un agente de aprendizaje profundo podia superar politicas basadas en reglas en reduccion de pico. Posteriormente, Vázquez-Canteli y Nagy (2019b) sistematizaron algoritmos y tecnicas de modelado para respuesta a la demanda con aprendizaje por refuerzo, y Vázquez-Canteli et al. (2020) reforzaron la necesidad de estandarizar entornos, KPIs y comparaciones en gestion energetica urbana.</w:t>
      </w:r>
    </w:p>
    <w:p>
      <w:pPr>
        <w:spacing w:after="0" w:line="480" w:lineRule="auto" w:before="0"/>
        <w:ind w:firstLine="720"/>
        <w:jc w:val="both"/>
      </w:pPr>
      <w:r>
        <w:rPr>
          <w:rFonts w:ascii="Times New Roman" w:hAnsi="Times New Roman" w:cs="Times New Roman" w:eastAsia="Times New Roman"/>
          <w:color w:val="000000"/>
          <w:sz w:val="24"/>
        </w:rPr>
        <w:t>La evolucion hacia CityLearn v2 es decisiva porque integra edificios grid-interactive, almacenamiento, PV, vehiculos electricos, senales de carbono y costos. Nweye et al. (2024) presentan CityLearn v2 como entorno para gestion energetica flexible, resiliente, centrada en ocupantes y consciente de carbono; Nweye et al. (2023c) describen su formalizacion como entorno Gym para benchmarking de respuesta a la demanda; y Nweye y Nagy (2024b) amplian el uso de CityLearn Gym a evaluacion multiobjetivo. Esta tesis toma CityLearn v2 como base validada, pero no afirma que CityLearn v3 exista oficialmente: CityLearn v3 propuesto es una extension experimental desarrollada para el Dec-POMDP, CTDE y backends MADRL del proyecto.</w:t>
      </w:r>
    </w:p>
    <w:p>
      <w:pPr>
        <w:spacing w:after="0" w:line="480" w:lineRule="auto" w:before="0"/>
        <w:ind w:firstLine="720"/>
        <w:jc w:val="both"/>
      </w:pPr>
      <w:r>
        <w:rPr>
          <w:rFonts w:ascii="Times New Roman" w:hAnsi="Times New Roman" w:cs="Times New Roman" w:eastAsia="Times New Roman"/>
          <w:color w:val="000000"/>
          <w:sz w:val="24"/>
        </w:rPr>
        <w:t>El paso de entornos de un edificio a comunidades heterogeneas demanda tratar problemas de escala, observabilidad parcial y no estacionariedad. Nweye et al. (2022) identifican desafios reales del aprendizaje por refuerzo multiagente en edificios grid-interactive, incluyendo generalizacion, seguridad, heterogeneidad, interaccion con ocupantes y reproducibilidad. Nweye et al. (2023a) proponen MERLIN para aprendizaje offline y transferencia en comunidades de 17 edificios, escala comparable al caso SEAI Iquitos, mientras Nweye et al. (2023b) aplican aprendizaje por refuerzo heterogeneo multiagente en comunidades grid-interactive. Estos antecedentes justifican que la unidad de analisis no sea un edificio aislado, sino una comunidad de 17 agentes.</w:t>
      </w:r>
    </w:p>
    <w:p>
      <w:pPr>
        <w:pStyle w:val="Heading3"/>
      </w:pPr>
      <w:r>
        <w:rPr>
          <w:rFonts w:ascii="Times New Roman" w:hAnsi="Times New Roman" w:cs="Times New Roman"/>
          <w:b/>
          <w:i w:val="0"/>
          <w:sz w:val="24"/>
        </w:rPr>
        <w:t>2.2.5 CityLearn v3 propuesto y distincion UC3M (7 ejes vs 3 ejes)</w:t>
      </w:r>
    </w:p>
    <w:p>
      <w:r>
        <w:rPr>
          <w:rFonts w:ascii="Times New Roman" w:hAnsi="Times New Roman" w:cs="Times New Roman"/>
          <w:b w:val="0"/>
          <w:i w:val="0"/>
          <w:sz w:val="24"/>
        </w:rPr>
        <w:t>CityLearn v3 propuesto es la extension experimental de esta tesis sobre CityLearn v2 (Nweye et al., 2024): conserva fisica y KPIs evaluate_v2, y agrega el contrato Dec-POMDP/CTDE, objetivos OE.1–OE.3, recompensa multiobjetivo y adaptadores a backends MADRL en external/. Modulos: v3/environment.py, v3/objectives.py, v3/config.py, v3/backends.py y CityLearnV3MADRLRewardFunction (perfil unified_comparable_v4).</w:t>
      </w:r>
    </w:p>
    <w:p>
      <w:r>
        <w:rPr>
          <w:rFonts w:ascii="Times New Roman" w:hAnsi="Times New Roman" w:cs="Times New Roman"/>
          <w:b w:val="0"/>
          <w:i w:val="0"/>
          <w:sz w:val="24"/>
        </w:rPr>
        <w:t>El sustento formal agent-skills/madrl-sustento-doc-capa v3/madrl-modeladomatematico.md y el paquete uc3m/ axiomatizan un operador holistico de siete ejes (CO2, costo, flexibilidad, confort, degradacion BESS, resiliencia, ACS) con BACT y HPHI. Las 12 corridas canónicas operacionalizan solo OE.1/OE.2/OE.3. Mapeo: UC3M-1↔OE.2, UC3M-2↔OE.3, UC3M-3↔OE.1; ejes 4–7 son sustento, no evidencia Cap. 5. Parametros: N=17, gamma=0,9999, T=8 760, r_team=0,70.</w:t>
      </w:r>
    </w:p>
    <w:p>
      <w:pPr>
        <w:pStyle w:val="Heading3"/>
      </w:pPr>
      <w:r>
        <w:rPr>
          <w:rFonts w:ascii="Times New Roman" w:hAnsi="Times New Roman" w:cs="Times New Roman"/>
          <w:b/>
          <w:i w:val="0"/>
          <w:sz w:val="24"/>
        </w:rPr>
        <w:t>2.2.6 Formalizacion matematica del Meta-Dec-POMDP UC3M</w:t>
      </w:r>
    </w:p>
    <w:p>
      <w:r>
        <w:rPr>
          <w:rFonts w:ascii="Times New Roman" w:hAnsi="Times New Roman" w:cs="Times New Roman"/>
          <w:b w:val="0"/>
          <w:i w:val="0"/>
          <w:sz w:val="24"/>
        </w:rPr>
        <w:t>Fuente: madrl-modeladomatematico.md (adaptado a Cap. 2). El Meta-Dec-POMDP UC3M es la tupla 11-aria M_UC3M = &lt;I, S, A, O, T, R, Z, gamma, H, b0, Lambda&gt;, que extiende Oliehoek y Amato (2016) con vector R=(r^(1),...,r^(7)) y simplex Lambda. En Iquitos N=17, gamma=0,9999, H=8 760. La ejecucion restringe Lambda al subsimplex OE.1/OE.2/OE.3.</w:t>
      </w:r>
    </w:p>
    <w:p>
      <w:r>
        <w:rPr>
          <w:rFonts w:ascii="Times New Roman" w:hAnsi="Times New Roman" w:cs="Times New Roman"/>
          <w:b w:val="0"/>
          <w:i w:val="0"/>
          <w:sz w:val="24"/>
        </w:rPr>
        <w:t>Definicion 2.1 (BACT): B en R^{N x Ka x Kc x Kb} codifica activos, clima y constructivo (uc3m/env/bact.py). Observaciones parciales: carga, termica, PV, SoC, EV, tarifas, CI y meteorologia; acciones en [-1,1]^{d_ai} heterogeneas. Prop. 2.1: S compacto. Lema 2.2: R escalarizada Borel-medible y acotada. Nucleo T factorizado exogeno (clima/red) x endogeno por edificio.</w:t>
      </w:r>
    </w:p>
    <w:p>
      <w:pPr>
        <w:pStyle w:val="Heading3"/>
      </w:pPr>
      <w:r>
        <w:rPr>
          <w:rFonts w:ascii="Times New Roman" w:hAnsi="Times New Roman" w:cs="Times New Roman"/>
          <w:b/>
          <w:i w:val="0"/>
          <w:sz w:val="24"/>
        </w:rPr>
        <w:t>2.2.7 Operador de recompensa holistico, Pareto y convergencia</w:t>
      </w:r>
    </w:p>
    <w:p>
      <w:r>
        <w:rPr>
          <w:rFonts w:ascii="Times New Roman" w:hAnsi="Times New Roman" w:cs="Times New Roman"/>
          <w:b w:val="0"/>
          <w:i w:val="0"/>
          <w:sz w:val="24"/>
        </w:rPr>
        <w:t>Definicion 2.2: R_i = -sum_k lambda_k * r_i~(k) con normalizacion a base RBC. Teorema 2.3: V_pi existe y |V|&lt;=M/(1-gamma). Prop. 2.4: Lipschitz con L=sum lambda_k L_k. Teorema 2.5: existencia de frontera de Pareto si Pi compacto (Roijers et al., 2013). Definicion 2.4 (HPHI): hipervolumen 7-D normalizado (uc3m/reward/hphi.py); esta tesis no ejecuta HPHI 7-D en Cap. 5. Prop. 2.6: CTDE mitiga no-estacionariedad (Lowe et al., 2017); HAPPO/HATRPO bajo Zhong et al. (2023) y Kuba et al. (2022).</w:t>
      </w:r>
    </w:p>
    <w:p>
      <w:pPr>
        <w:pStyle w:val="Heading3"/>
      </w:pPr>
      <w:r>
        <w:rPr>
          <w:rFonts w:ascii="Times New Roman" w:hAnsi="Times New Roman" w:cs="Times New Roman"/>
          <w:b/>
          <w:i w:val="0"/>
          <w:sz w:val="24"/>
        </w:rPr>
        <w:t>2.2.8 Modelado fisico-matematico de los ejes operacionales</w:t>
      </w:r>
    </w:p>
    <w:p>
      <w:r>
        <w:rPr>
          <w:rFonts w:ascii="Times New Roman" w:hAnsi="Times New Roman" w:cs="Times New Roman"/>
          <w:b w:val="0"/>
          <w:i w:val="0"/>
          <w:sz w:val="24"/>
        </w:rPr>
        <w:t>Ejes ejecutados: UC3M-1/OE.2 (CO2 marginal + desplazamiento EV), UC3M-2/OE.3 (costo TOU Electro Oriente + potencia), UC3M-3/OE.1 (ramping y picos vs umbral DSO; KPIs peak/ramping/load_factor). Ejes de sustento (no Cap. 5): 4 confort adaptativo De Dear-Brager, 5 degradacion Arrhenius-SEI/Peukert, 6 resiliencia isla (CCI/LOLP), 7 ACS con perdidas UA. Balance Kirchhoff: P_net = P_load + P_HP + P_EH + P_BESS + P_EV - P_PV - P_wind.</w:t>
      </w:r>
    </w:p>
    <w:p>
      <w:pPr>
        <w:pStyle w:val="Heading3"/>
      </w:pPr>
      <w:r>
        <w:rPr>
          <w:rFonts w:ascii="Times New Roman" w:hAnsi="Times New Roman" w:cs="Times New Roman"/>
          <w:b/>
          <w:i w:val="0"/>
          <w:sz w:val="24"/>
        </w:rPr>
        <w:t>2.2.9 Arquitectura MARLlib-CTDE y universalidad algoritmica (sustento)</w:t>
      </w:r>
    </w:p>
    <w:p>
      <w:r>
        <w:rPr>
          <w:rFonts w:ascii="Times New Roman" w:hAnsi="Times New Roman" w:cs="Times New Roman"/>
          <w:b w:val="0"/>
          <w:i w:val="0"/>
          <w:sz w:val="24"/>
        </w:rPr>
        <w:t>MARLlib (Hu et al., 2023) y el plugin algoritmico UC3M P=&lt;Theta, Phi, L_actor, L_critic, U_step, B&gt; sustentan universalidad via AlgorithmFactory (uc3m/). CTDE: pi_i(a_i|o_i) descentralizado y Q_centr(s,a) centralizado. HAPPO, MASAC, MATD3 y MAAC son instancias; el launcher de 12 corridas usa wrappers CityLearn/scripts/ + external/, no UC3MEnv/MARLlib como canal de entrenamiento.</w:t>
      </w:r>
    </w:p>
    <w:p>
      <w:r>
        <w:rPr>
          <w:rFonts w:ascii="Times New Roman" w:hAnsi="Times New Roman" w:cs="Times New Roman"/>
          <w:b/>
          <w:sz w:val="24"/>
        </w:rPr>
        <w:t>2.2.10 Adecuaciones de los cuatro backends MADRL al dominio electrico (OE.1 flexibilidad, OE.2 CO2, OE.3 costos)</w:t>
      </w:r>
    </w:p>
    <w:p>
      <w:r>
        <w:rPr>
          <w:rFonts w:ascii="Times New Roman" w:hAnsi="Times New Roman" w:cs="Times New Roman"/>
          <w:b w:val="0"/>
          <w:sz w:val="24"/>
        </w:rPr>
        <w:t>Premisa. Los backends oficiales pinados en external/ (HARL/HAPPO, MARL/src-MASAC, off-policy/MATD3 y MAAC) fueron disenados, validados y entrenados de forma predominante en dominios de referencia multiagente (p. ej. SMAC/StarCraft, MPE u otros benchmarks MARL). En su forma original no estan preparados, ni entrenados, ni aplicados out-of-the-box al control de una comunidad electrica con DER, EV/V2G y senales horarias de precio e intensidad de carbono. Por tanto, no resuelven por si solos el problema de esta tesis: flexibilidad energetica (OE.1), emisiones de CO2 (OE.2) y costos economico-energeticos (OE.3) sobre el SEAI Iquitos.</w:t>
      </w:r>
    </w:p>
    <w:p>
      <w:r>
        <w:rPr>
          <w:rFonts w:ascii="Times New Roman" w:hAnsi="Times New Roman" w:cs="Times New Roman"/>
          <w:b w:val="0"/>
          <w:sz w:val="24"/>
        </w:rPr>
        <w:t>La contribucion teorica no consiste en reinventar HAPPO, MASAC, MATD3 o MAAC, sino en adecuarlos —via la capa CityLearn v3 propuesto, el adaptador comun citylearn_v3_training_common.py y wrappers tipados— a un Dec-POMDP cooperativo de 17 edificios heterogeneos, recompensa multiobjetivo unificada (CityLearnV3MADRLRewardFunction, perfil unified_comparable_v4) y evaluacion con KPIs oficiales evaluate_v2. El Cap. 4 documenta la implementacion; esta seccion fija el sustento teorico de cada adecuacion.</w:t>
      </w:r>
    </w:p>
    <w:p>
      <w:r>
        <w:rPr>
          <w:rFonts w:ascii="Times New Roman" w:hAnsi="Times New Roman" w:cs="Times New Roman"/>
          <w:b w:val="0"/>
          <w:sz w:val="24"/>
        </w:rPr>
        <w:t>Capa comun de adecuacion (los cuatro MADRL): (i) contrato Dec-POMDP/CTDE con estado global s en R^{1856}; (ii) padding / policy mapping ante heterogeneidad d_oi en [54, 327] y d_ai en [5, 44]; (iii) recompensa multiobjetivo con escenarios E1/E2/E3 y r_team = 0,70; (iv) dataset citylearn_iquitos_2023_2025 (BESS, PV, 185 cargadores EV, TOU Electro Oriente, CI dinamico); (v) orquestacion train_citylearn_v3_{happo,masac,matd3,maac}.py bajo matriz 4x3 comparable.</w:t>
      </w:r>
    </w:p>
    <w:p>
      <w:r>
        <w:rPr>
          <w:rFonts w:ascii="Times New Roman" w:hAnsi="Times New Roman" w:cs="Times New Roman"/>
          <w:b w:val="0"/>
          <w:sz w:val="24"/>
        </w:rPr>
        <w:t>HAPPO — CityLearnHARLEnv + external/HARL. El HAPPO original (Kuba et al., 2021; Zhong et al., 2023) aporta actualizacion secuencial con trust region para agentes heterogeneos, pero HARL espera un ShareVecEnv de juegos multiagente, no setpoints BESS/EV. Adecuacion: wrapper CityLearnHARLEnv con observacion local continua y share_observation_space = estado CTDE; acciones continuas en [-1,1]^{d_ai} (BESS + EV + lavadora); recompensa mixta del perfil v4; script train_citylearn_v3_happo.py. Teoricamente es el candidato on-policy a la heterogeneidad tipologica del SEAI.</w:t>
      </w:r>
    </w:p>
    <w:p>
      <w:r>
        <w:rPr>
          <w:rFonts w:ascii="Times New Roman" w:hAnsi="Times New Roman" w:cs="Times New Roman"/>
          <w:b w:val="0"/>
          <w:sz w:val="24"/>
        </w:rPr>
        <w:t>MASAC — CityLearnSMACDiscreteEnv + external/MARL/src. El backend MASAC/mSAC asume API tipo SMAC (get_obs, get_state, acciones discretas). CityLearn expone control continuo multidimensional. Adecuacion: adaptador SMAC-like con get_state() = s CTDE; discretizacion action_bins=3 y discrete_action_mode=axis (base un-eje + no-op; no producto cartesiano 3^{d_ai}, inviable con d_ai hasta 44); mezcla cooperativa tipo QMIX sobre la recompensa energetica de equipo; script train_citylearn_v3_masac.py. Aporta exploracion entropica off-policy sobre un espacio de accion energetico tractable.</w:t>
      </w:r>
    </w:p>
    <w:p>
      <w:r>
        <w:rPr>
          <w:rFonts w:ascii="Times New Roman" w:hAnsi="Times New Roman" w:cs="Times New Roman"/>
          <w:b w:val="0"/>
          <w:sz w:val="24"/>
        </w:rPr>
        <w:t>MATD3 — CityLearnOffPolicyVecEnv + external/off-policy. El repositorio autor (external/MATD3implementation, TensorFlow 1.x / Python 3.6) no es el stack de entrenamiento: se adecua via backend PyTorch marlbenchmark/off-policy (clases MATD3 / R_MATD3). Adecuacion: wrapper vectorizado de un hilo; acciones continuas con doble critico, policy delay y target noise sobre actuadores BESS/EV; policy_mapping_fn y padding para 17 politicas heterogeneas; script train_citylearn_v3_matd3.py. Es el candidato deterministico off-policy al control continuo distrital.</w:t>
      </w:r>
    </w:p>
    <w:p>
      <w:r>
        <w:rPr>
          <w:rFonts w:ascii="Times New Roman" w:hAnsi="Times New Roman" w:cs="Times New Roman"/>
          <w:b w:val="0"/>
          <w:sz w:val="24"/>
        </w:rPr>
        <w:t>MAAC — CityLearnMAACVecEnv + external/MAAC. MAAC (Iqbal y Sha, 2019) introduce atencion multi-cabeza en el critico para dominios donde la relevancia entre agentes cambia; no trae de fabrica recompensa de pico/rampa/CO2/TOU. Adecuacion: wrapper que expone observaciones por agente al mecanismo de atencion; misma discretizacion eje-wise que MASAC (bins=3); atencion sobre los 17 edificios heterogeneos bajo recompensa v4; script train_citylearn_v3_maac.py. Operacionaliza coordinacion selectiva (p. ej. hospital vs mall vs campus) sin comunicacion en ejecucion.</w:t>
      </w:r>
    </w:p>
    <w:p>
      <w:r>
        <w:rPr>
          <w:rFonts w:ascii="Times New Roman" w:hAnsi="Times New Roman" w:cs="Times New Roman"/>
          <w:b/>
          <w:sz w:val="24"/>
        </w:rPr>
        <w:t>Tabla 2.B — Adecuacion de los cuatro MADRL originales al problema electrico (OE.1 / OE.2 / OE.3)</w:t>
      </w:r>
    </w:p>
    <w:tbl>
      <w:tblPr/>
      <w:tblGrid>
        <w:gridCol/>
        <w:gridCol/>
        <w:gridCol/>
        <w:gridCol/>
        <w:gridCol/>
      </w:tblGrid>
      <w:tr>
        <w:tc>
          <w:tcPr/>
          <w:p>
            <w:r>
              <w:rPr>
                <w:b/>
                <w:sz w:val="20"/>
                <w:rFonts w:ascii="Times New Roman" w:hAnsi="Times New Roman" w:cs="Times New Roman"/>
              </w:rPr>
              <w:t xml:space="preserve">Algoritmo</w:t>
            </w:r>
          </w:p>
        </w:tc>
        <w:tc>
          <w:tcPr/>
          <w:p>
            <w:r>
              <w:rPr>
                <w:b/>
                <w:sz w:val="20"/>
                <w:rFonts w:ascii="Times New Roman" w:hAnsi="Times New Roman" w:cs="Times New Roman"/>
              </w:rPr>
              <w:t xml:space="preserve">Dominio tipico del original</w:t>
            </w:r>
          </w:p>
        </w:tc>
        <w:tc>
          <w:tcPr/>
          <w:p>
            <w:r>
              <w:rPr>
                <w:b/>
                <w:sz w:val="20"/>
                <w:rFonts w:ascii="Times New Roman" w:hAnsi="Times New Roman" w:cs="Times New Roman"/>
              </w:rPr>
              <w:t xml:space="preserve">Wrapper / backend en el proyecto</w:t>
            </w:r>
          </w:p>
        </w:tc>
        <w:tc>
          <w:tcPr/>
          <w:p>
            <w:r>
              <w:rPr>
                <w:b/>
                <w:sz w:val="20"/>
                <w:rFonts w:ascii="Times New Roman" w:hAnsi="Times New Roman" w:cs="Times New Roman"/>
              </w:rPr>
              <w:t xml:space="preserve">Adecuacion clave</w:t>
            </w:r>
          </w:p>
        </w:tc>
        <w:tc>
          <w:tcPr/>
          <w:p>
            <w:r>
              <w:rPr>
                <w:b/>
                <w:sz w:val="20"/>
                <w:rFonts w:ascii="Times New Roman" w:hAnsi="Times New Roman" w:cs="Times New Roman"/>
              </w:rPr>
              <w:t xml:space="preserve">Capacidad resultante OE.1–OE.3</w:t>
            </w:r>
          </w:p>
        </w:tc>
      </w:tr>
      <w:tr>
        <w:tc>
          <w:tcPr/>
          <w:p>
            <w:r>
              <w:rPr>
                <w:sz w:val="20"/>
                <w:rFonts w:ascii="Times New Roman" w:hAnsi="Times New Roman" w:cs="Times New Roman"/>
              </w:rPr>
              <w:t xml:space="preserve">HAPPO</w:t>
            </w:r>
          </w:p>
        </w:tc>
        <w:tc>
          <w:tcPr/>
          <w:p>
            <w:r>
              <w:rPr>
                <w:sz w:val="20"/>
                <w:rFonts w:ascii="Times New Roman" w:hAnsi="Times New Roman" w:cs="Times New Roman"/>
              </w:rPr>
              <w:t xml:space="preserve">MARL heterogeneo generico (HARL)</w:t>
            </w:r>
          </w:p>
        </w:tc>
        <w:tc>
          <w:tcPr/>
          <w:p>
            <w:r>
              <w:rPr>
                <w:sz w:val="20"/>
                <w:rFonts w:ascii="Times New Roman" w:hAnsi="Times New Roman" w:cs="Times New Roman"/>
              </w:rPr>
              <w:t xml:space="preserve">CityLearnHARLEnv / external/HARL</w:t>
            </w:r>
          </w:p>
        </w:tc>
        <w:tc>
          <w:tcPr/>
          <w:p>
            <w:r>
              <w:rPr>
                <w:sz w:val="20"/>
                <w:rFonts w:ascii="Times New Roman" w:hAnsi="Times New Roman" w:cs="Times New Roman"/>
              </w:rPr>
              <w:t xml:space="preserve">Share-obs CTDE; accion continua BESS/EV</w:t>
            </w:r>
          </w:p>
        </w:tc>
        <w:tc>
          <w:tcPr/>
          <w:p>
            <w:r>
              <w:rPr>
                <w:sz w:val="20"/>
                <w:rFonts w:ascii="Times New Roman" w:hAnsi="Times New Roman" w:cs="Times New Roman"/>
              </w:rPr>
              <w:t xml:space="preserve">On-policy cooperativo sobre DER/EV heterogeneos</w:t>
            </w:r>
          </w:p>
        </w:tc>
      </w:tr>
      <w:tr>
        <w:tc>
          <w:tcPr/>
          <w:p>
            <w:r>
              <w:rPr>
                <w:sz w:val="20"/>
                <w:rFonts w:ascii="Times New Roman" w:hAnsi="Times New Roman" w:cs="Times New Roman"/>
              </w:rPr>
              <w:t xml:space="preserve">MASAC</w:t>
            </w:r>
          </w:p>
        </w:tc>
        <w:tc>
          <w:tcPr/>
          <w:p>
            <w:r>
              <w:rPr>
                <w:sz w:val="20"/>
                <w:rFonts w:ascii="Times New Roman" w:hAnsi="Times New Roman" w:cs="Times New Roman"/>
              </w:rPr>
              <w:t xml:space="preserve">SMAC-like / accion discreta</w:t>
            </w:r>
          </w:p>
        </w:tc>
        <w:tc>
          <w:tcPr/>
          <w:p>
            <w:r>
              <w:rPr>
                <w:sz w:val="20"/>
                <w:rFonts w:ascii="Times New Roman" w:hAnsi="Times New Roman" w:cs="Times New Roman"/>
              </w:rPr>
              <w:t xml:space="preserve">CityLearnSMACDiscreteEnv / MARL/src</w:t>
            </w:r>
          </w:p>
        </w:tc>
        <w:tc>
          <w:tcPr/>
          <w:p>
            <w:r>
              <w:rPr>
                <w:sz w:val="20"/>
                <w:rFonts w:ascii="Times New Roman" w:hAnsi="Times New Roman" w:cs="Times New Roman"/>
              </w:rPr>
              <w:t xml:space="preserve">API SMAC; bins=3 axis; Q-mix energetico</w:t>
            </w:r>
          </w:p>
        </w:tc>
        <w:tc>
          <w:tcPr/>
          <w:p>
            <w:r>
              <w:rPr>
                <w:sz w:val="20"/>
                <w:rFonts w:ascii="Times New Roman" w:hAnsi="Times New Roman" w:cs="Times New Roman"/>
              </w:rPr>
              <w:t xml:space="preserve">Off-policy entropico sobre control electrico discretizado</w:t>
            </w:r>
          </w:p>
        </w:tc>
      </w:tr>
      <w:tr>
        <w:tc>
          <w:tcPr/>
          <w:p>
            <w:r>
              <w:rPr>
                <w:sz w:val="20"/>
                <w:rFonts w:ascii="Times New Roman" w:hAnsi="Times New Roman" w:cs="Times New Roman"/>
              </w:rPr>
              <w:t xml:space="preserve">MATD3</w:t>
            </w:r>
          </w:p>
        </w:tc>
        <w:tc>
          <w:tcPr/>
          <w:p>
            <w:r>
              <w:rPr>
                <w:sz w:val="20"/>
                <w:rFonts w:ascii="Times New Roman" w:hAnsi="Times New Roman" w:cs="Times New Roman"/>
              </w:rPr>
              <w:t xml:space="preserve">Paper TF1; activo: off-policy PyTorch</w:t>
            </w:r>
          </w:p>
        </w:tc>
        <w:tc>
          <w:tcPr/>
          <w:p>
            <w:r>
              <w:rPr>
                <w:sz w:val="20"/>
                <w:rFonts w:ascii="Times New Roman" w:hAnsi="Times New Roman" w:cs="Times New Roman"/>
              </w:rPr>
              <w:t xml:space="preserve">CityLearnOffPolicyVecEnv / off-policy</w:t>
            </w:r>
          </w:p>
        </w:tc>
        <w:tc>
          <w:tcPr/>
          <w:p>
            <w:r>
              <w:rPr>
                <w:sz w:val="20"/>
                <w:rFonts w:ascii="Times New Roman" w:hAnsi="Times New Roman" w:cs="Times New Roman"/>
              </w:rPr>
              <w:t xml:space="preserve">Backend PyTorch 3.9; accion continua</w:t>
            </w:r>
          </w:p>
        </w:tc>
        <w:tc>
          <w:tcPr/>
          <w:p>
            <w:r>
              <w:rPr>
                <w:sz w:val="20"/>
                <w:rFonts w:ascii="Times New Roman" w:hAnsi="Times New Roman" w:cs="Times New Roman"/>
              </w:rPr>
              <w:t xml:space="preserve">Off-policy deterministico continuo BESS/EV</w:t>
            </w:r>
          </w:p>
        </w:tc>
      </w:tr>
      <w:tr>
        <w:tc>
          <w:tcPr/>
          <w:p>
            <w:r>
              <w:rPr>
                <w:sz w:val="20"/>
                <w:rFonts w:ascii="Times New Roman" w:hAnsi="Times New Roman" w:cs="Times New Roman"/>
              </w:rPr>
              <w:t xml:space="preserve">MAAC</w:t>
            </w:r>
          </w:p>
        </w:tc>
        <w:tc>
          <w:tcPr/>
          <w:p>
            <w:r>
              <w:rPr>
                <w:sz w:val="20"/>
                <w:rFonts w:ascii="Times New Roman" w:hAnsi="Times New Roman" w:cs="Times New Roman"/>
              </w:rPr>
              <w:t xml:space="preserve">Atencion multiagente generica</w:t>
            </w:r>
          </w:p>
        </w:tc>
        <w:tc>
          <w:tcPr/>
          <w:p>
            <w:r>
              <w:rPr>
                <w:sz w:val="20"/>
                <w:rFonts w:ascii="Times New Roman" w:hAnsi="Times New Roman" w:cs="Times New Roman"/>
              </w:rPr>
              <w:t xml:space="preserve">CityLearnMAACVecEnv / external/MAAC</w:t>
            </w:r>
          </w:p>
        </w:tc>
        <w:tc>
          <w:tcPr/>
          <w:p>
            <w:r>
              <w:rPr>
                <w:sz w:val="20"/>
                <w:rFonts w:ascii="Times New Roman" w:hAnsi="Times New Roman" w:cs="Times New Roman"/>
              </w:rPr>
              <w:t xml:space="preserve">Atencion 17 agentes + bins=3</w:t>
            </w:r>
          </w:p>
        </w:tc>
        <w:tc>
          <w:tcPr/>
          <w:p>
            <w:r>
              <w:rPr>
                <w:sz w:val="20"/>
                <w:rFonts w:ascii="Times New Roman" w:hAnsi="Times New Roman" w:cs="Times New Roman"/>
              </w:rPr>
              <w:t xml:space="preserve">Coordinacion atencional bajo flex/CO2/costo</w:t>
            </w:r>
          </w:p>
        </w:tc>
      </w:tr>
    </w:tbl>
    <w:p>
      <w:r>
        <w:rPr>
          <w:rFonts w:ascii="Times New Roman" w:hAnsi="Times New Roman" w:cs="Times New Roman"/>
          <w:b w:val="0"/>
          <w:sz w:val="20"/>
        </w:rPr>
        <w:t>Nota. Los backends originales no fueron preparados ni entrenados ni aplicados out-of-the-box a flexibilidad, CO2 y costos energeticos. La adecuacion se sustenta en wrappers y adaptadores del proyecto (citylearn_v3_training_common.py; Cap. 4). Fuente: elaboracion propia a partir de external/HARL, external/MARL/src, external/off-policy, external/MAAC y la capa CityLearn v3 propuesto.</w:t>
      </w:r>
    </w:p>
    <w:p>
      <w:r>
        <w:rPr>
          <w:rFonts w:ascii="Times New Roman" w:hAnsi="Times New Roman" w:cs="Times New Roman"/>
          <w:b w:val="0"/>
          <w:sz w:val="24"/>
        </w:rPr>
        <w:t>En sintesis: los cuatro MADRL originales no resuelven por si solos el problema electrico multiobjetivo; las adecuaciones del proyecto (wrappers + Dec-POMDP/CTDE + recompensa unified_comparable_v4 + dataset Iquitos + evaluate_v2) son la condicion de posibilidad teorica y operativa del cuasiexperimento 4x3 (Caps. 3–5).</w:t>
      </w:r>
    </w:p>
    <w:p>
      <w:pPr>
        <w:pStyle w:val="Heading2"/>
        <w:spacing w:line="480" w:lineRule="auto" w:before="0" w:after="0"/>
        <w:jc w:val="left"/>
      </w:pPr>
      <w:r>
        <w:rPr>
          <w:rFonts w:ascii="Times New Roman" w:hAnsi="Times New Roman" w:cs="Times New Roman" w:eastAsia="Times New Roman"/>
          <w:color w:val="000000"/>
          <w:sz w:val="24"/>
        </w:rPr>
        <w:t>2.2 Variables de la investigacion</w:t>
      </w:r>
    </w:p>
    <w:p>
      <w:pPr>
        <w:spacing w:after="0" w:line="480" w:lineRule="auto" w:before="0"/>
        <w:ind w:firstLine="720"/>
        <w:jc w:val="both"/>
      </w:pPr>
      <w:r>
        <w:rPr>
          <w:rFonts w:ascii="Times New Roman" w:hAnsi="Times New Roman" w:cs="Times New Roman" w:eastAsia="Times New Roman"/>
          <w:color w:val="000000"/>
          <w:sz w:val="24"/>
        </w:rPr>
        <w:t>La variable independiente (VI) y la variable dependiente (VD) se definen operativamente en esta seccion y se triangulan con autores de la bibliografia (Tabla 2.1). La triangulacion bibliografica asegura que cada dimension tenga al menos dos fuentes independientes que sustenten su definicion, siguiendo normas APA 7 en citas narrativas y parenteticas. La operacionalizacion computacional completa se desarrolla en el Capitulo 3, Seccion 3.4, que remite a esta seccion como marco conceptual.</w:t>
      </w:r>
    </w:p>
    <w:p>
      <w:pPr>
        <w:pStyle w:val="Heading3"/>
        <w:spacing w:line="480" w:lineRule="auto" w:before="0" w:after="0"/>
        <w:jc w:val="left"/>
      </w:pPr>
      <w:r>
        <w:rPr>
          <w:rFonts w:ascii="Times New Roman" w:hAnsi="Times New Roman" w:cs="Times New Roman" w:eastAsia="Times New Roman"/>
          <w:color w:val="000000"/>
          <w:sz w:val="24"/>
        </w:rPr>
        <w:t>2.3.1 Variable independiente (VI)</w:t>
      </w:r>
    </w:p>
    <w:p>
      <w:pPr>
        <w:spacing w:after="0" w:line="480" w:lineRule="auto" w:before="0"/>
        <w:ind w:firstLine="720"/>
        <w:jc w:val="both"/>
      </w:pPr>
      <w:r>
        <w:rPr>
          <w:rFonts w:ascii="Times New Roman" w:hAnsi="Times New Roman" w:cs="Times New Roman" w:eastAsia="Times New Roman"/>
          <w:color w:val="000000"/>
          <w:sz w:val="24"/>
        </w:rPr>
        <w:t>La variable independiente es la capa MADRL cooperativa implementada sobre CityLearn v2 (CityLearn v3 propuesto), manipulada en tres dimensiones: D-VI.1 algoritmo, D-VI.2 escenario experimental y D-VI.3 control metodologico. Sutton y Barto (2018) y Oliehoek y Amato (2016) fundamentan la formulacion Dec-POMDP cooperativa que constituye el marco comun de la VI; Lowe et al. (2017) justifican el paradigma CTDE bajo el cual se entrenan las politicas.</w:t>
      </w:r>
    </w:p>
    <w:p>
      <w:pPr>
        <w:spacing w:after="0" w:line="480" w:lineRule="auto" w:before="0"/>
        <w:ind w:firstLine="720"/>
        <w:jc w:val="both"/>
      </w:pPr>
      <w:r>
        <w:rPr>
          <w:rFonts w:ascii="Times New Roman" w:hAnsi="Times New Roman" w:cs="Times New Roman" w:eastAsia="Times New Roman"/>
          <w:color w:val="000000"/>
          <w:sz w:val="24"/>
        </w:rPr>
        <w:t>D-VI.1 — Algoritmo MADRL. Comprende cuatro niveles del factor experimental: HAPPO (on-policy con region de confianza para agentes heterogeneos; Kuba et al., 2021; Zhong et al., 2023), MASAC (off-policy de maxima entropia; Haarnoja et al., 2018; Gao et al., 2023), MATD3 (off-policy con doble critico centralizado; Lowe et al., 2017; Hu et al., 2023) y MAAC (critico con atencion selectiva; Iqbal y Sha, 2019). Cada algoritmo representa una familia teorica distinta de coordinacion multiagente bajo el mismo entorno y la misma funcion de recompensa.</w:t>
      </w:r>
    </w:p>
    <w:p>
      <w:pPr>
        <w:spacing w:after="0" w:line="480" w:lineRule="auto" w:before="0"/>
        <w:ind w:firstLine="720"/>
        <w:jc w:val="both"/>
      </w:pPr>
      <w:r>
        <w:rPr>
          <w:rFonts w:ascii="Times New Roman" w:hAnsi="Times New Roman" w:cs="Times New Roman"/>
          <w:b w:val="0"/>
          <w:sz w:val="24"/>
        </w:rPr>
        <w:t>D-VI.2 — Escenario E1/E2/E3. Los escenarios condicionan la politica hacia un objetivo dominante mediante vectores de peso distintos en la funcion de recompensa multiobjetivo. E1 prioriza flexibilidad [0,70; 0,15; 0,15] y se sustenta en KPIs de pico y rampa (Vázquez-Canteli et al., 2020; Yao et al., 2023); E2 prioriza emisiones de CO2 [0,15; 0,70; 0,15] y se fundamenta en control consciente de intensidad de carbono (Liu et al., 2022; Tranberg et al., 2020); E3 prioriza costos [0,25; 0,15; 0,60] y se ancla en respuesta a precios y cargos por demanda (Dang et al., 2023; OSINERGMIN, 2024).</w:t>
      </w:r>
    </w:p>
    <w:p>
      <w:pPr>
        <w:spacing w:after="0" w:line="480" w:lineRule="auto" w:before="0"/>
        <w:ind w:firstLine="720"/>
        <w:jc w:val="both"/>
      </w:pPr>
      <w:r>
        <w:rPr>
          <w:rFonts w:ascii="Times New Roman" w:hAnsi="Times New Roman" w:cs="Times New Roman" w:eastAsia="Times New Roman"/>
          <w:color w:val="000000"/>
          <w:sz w:val="24"/>
        </w:rPr>
        <w:t>D-VI.3 — Control experimental. Para aislar el efecto de D-VI.1 y D-VI.2, la tesis mantiene constantes el dataset citylearn_iquitos_2023_2025 (Nweye et al., 2024; Nweye et al., 2023a), la funcion de recompensa unified_comparable_v4, la semilla de reproducibilidad y el protocolo CTDE (Nweye et al., 2022; Hu et al., 2023). Esta dimension de control asegura que las diferencias observadas en D-VD.1, D-VD.2 y D-VD.3 se atribuyan al algoritmo y al escenario, no a variaciones del entorno o del protocolo.</w:t>
      </w:r>
    </w:p>
    <w:p>
      <w:pPr>
        <w:pStyle w:val="Heading3"/>
        <w:spacing w:line="480" w:lineRule="auto" w:before="0" w:after="0"/>
        <w:jc w:val="left"/>
      </w:pPr>
      <w:r>
        <w:rPr>
          <w:rFonts w:ascii="Times New Roman" w:hAnsi="Times New Roman" w:cs="Times New Roman" w:eastAsia="Times New Roman"/>
          <w:color w:val="000000"/>
          <w:sz w:val="24"/>
        </w:rPr>
        <w:t>2.3.2 Variable dependiente (VD)</w:t>
      </w:r>
    </w:p>
    <w:p>
      <w:pPr>
        <w:spacing w:after="0" w:line="480" w:lineRule="auto" w:before="0"/>
        <w:ind w:firstLine="720"/>
        <w:jc w:val="both"/>
      </w:pPr>
      <w:r>
        <w:rPr>
          <w:rFonts w:ascii="Times New Roman" w:hAnsi="Times New Roman" w:cs="Times New Roman"/>
          <w:b w:val="0"/>
          <w:sz w:val="24"/>
        </w:rPr>
        <w:t>La variable dependiente es el desempeno coordinado de la comunidad energetica medido en tres ejes: D-VD.1 flexibilidad energetica, D-VD.2 emisiones de CO2 y D-VD.3 costos energeticos. Cada eje se descompone en tres dimensiones operativas, alineadas con los KPIs oficiales de CityLearn v2 (Vázquez-Canteli et al., 2020; Nweye et al., 2024). La lectura correcta del Capitulo 5 combina las tres dimensiones de cada eje, no un KPI aislado.</w:t>
      </w:r>
    </w:p>
    <w:p>
      <w:pPr>
        <w:spacing w:after="0" w:line="480" w:lineRule="auto" w:before="0"/>
        <w:ind w:firstLine="720"/>
        <w:jc w:val="both"/>
      </w:pPr>
      <w:r>
        <w:rPr>
          <w:rFonts w:ascii="Times New Roman" w:hAnsi="Times New Roman" w:cs="Times New Roman"/>
          <w:b w:val="0"/>
          <w:sz w:val="24"/>
        </w:rPr>
        <w:t>D-VD.1 — Flexibilidad energetica. Dimension 1 (pico): capacidad de reducir la importacion maxima distrital, medida con peak_average. Lund et al. (2017) ubican la reduccion de pico dentro de los sistemas energeticos inteligentes, mientras Vázquez-Canteli et al. (2020) estandarizan peak_average como KPI comparable en CityLearn. Dimension 2 (rampa): suavizado de variaciones horarias de importacion, medido con ramping_average. Nweye et al. (2024) incorporan ramping como KPI distrital en CityLearn v2, y Yao et al. (2023) reportan mejoras de coordinacion MADRL en perfiles de demanda. Dimension 3 (factor de carga): equilibrio entre pico y demanda media, medido con one_minus_load_factor_average y el indicador compuesto flex_composite. Vázquez-Canteli y Nagy (2019b) vinculan el factor de carga con respuesta a la demanda, y Xie et al. (2023) demuestran que mecanismos de atencion multiagente mejoran la suavidad del perfil agregado.</w:t>
      </w:r>
    </w:p>
    <w:p>
      <w:pPr>
        <w:spacing w:after="0" w:line="480" w:lineRule="auto" w:before="0"/>
        <w:ind w:firstLine="720"/>
        <w:jc w:val="both"/>
      </w:pPr>
      <w:r>
        <w:rPr>
          <w:rFonts w:ascii="Times New Roman" w:hAnsi="Times New Roman" w:cs="Times New Roman" w:eastAsia="Times New Roman"/>
          <w:color w:val="000000"/>
          <w:sz w:val="24"/>
        </w:rPr>
        <w:t>D-VD.2 — Emisiones de CO2. Dimension 1 (emisiones totales): carbon_emissions_total como indicador agregado anual del distrito. Liu et al. (2022) muestran reducciones de emisiones con MADRL en sistemas con energia renovable, y MINAM (2019) proporciona el factor de emision base para contextualizar redes aisladas peruanas. Dimension 2 (delta CO2): carbon_emissions_delta como reduccion frente a baseline CityLearn v2. Tranberg et al. (2020) fundamentan la contabilidad temporal de carbono, y Sarkar et al. (2024) aplican desplazamiento temporal de carga hacia periodos de baja intensidad de carbono. Dimension 3 (consumo ponderado por CI): importacion electrica ponderada por CI(t). Cao et al. (2023) estudian pronostico de intensidad de carbono para gestion de edificios, y Ye et al. (2025) avanzan hacia MARL seguro para operacion baja en carbono.</w:t>
      </w:r>
    </w:p>
    <w:p>
      <w:pPr>
        <w:spacing w:after="0" w:line="480" w:lineRule="auto" w:before="0"/>
        <w:ind w:firstLine="720"/>
        <w:jc w:val="both"/>
      </w:pPr>
      <w:r>
        <w:rPr>
          <w:rFonts w:ascii="Times New Roman" w:hAnsi="Times New Roman" w:cs="Times New Roman" w:eastAsia="Times New Roman"/>
          <w:color w:val="000000"/>
          <w:sz w:val="24"/>
        </w:rPr>
        <w:t>D-VD.3 — Costos energeticos. Dimension 1 (costo total): electricity_cost_total como indicador agregado anual. Fang et al. (2021) proponen gestion distribuida de energia en microredes mediante MADRL, y Gao et al. (2023) validan MASAC para programacion colaborativa con respuesta a precios. Dimension 2 (delta costo): electricity_cost_delta como reduccion frente a baseline. Dang et al. (2023) muestran que BESS puede reducir cargos de demanda bajo precios dinamicos, y Xiong et al. (2024) confirman que DRL puede responder a tarifas TOU y almacenamiento. Dimension 3 (pico facturable): reduccion de demanda maxima en ventana de facturacion y desviacion respecto a la senal de precio (price_signal_deviation). OSINERGMIN (2024) justifica el uso de maxima demanda y tarifa en el contexto regulatorio peruano, y Shojaeighadikolaei et al. (2022) plantean gestion energetica distribuida y respuesta a la demanda en smart grids.</w:t>
      </w:r>
    </w:p>
    <w:p>
      <w:pPr>
        <w:pStyle w:val="TablaIndice"/>
        <w:spacing w:before="0" w:after="0" w:line="480" w:lineRule="auto"/>
        <w:ind/>
        <w:jc w:val="left"/>
      </w:pPr>
      <w:r>
        <w:rPr>
          <w:rFonts w:ascii="Times New Roman" w:hAnsi="Times New Roman" w:cs="Times New Roman" w:eastAsia="Times New Roman"/>
          <w:b/>
          <w:i w:val="0"/>
          <w:color w:val="000000"/>
          <w:sz w:val="24"/>
        </w:rPr>
        <w:t>Tabla 2.1</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Triangulacion bibliografica de variables independientes y dependientes (VI/VD)</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Variable</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Dimension</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Definicion operativa</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Autor(es) APA</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KPI tesis</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D-VI.1 — Algoritmo MADRL</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Capa cooperativa multiagente bajo Dec-POMDP/CTDE (HAPPO, MASAC, MATD3, MAAC).</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Sutton y Barto (2018); Oliehoek y Amato (2016)</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Factor experimental (4 niveles)</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D-VI.1 — 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On-policy con region de confianza para agentes heterogeneos.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Kuba et al. (2021); Zhong et al. (2023)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T01-T03</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D-VI.1 — MASAC</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Off-policy de maxima entropia con exploracion robusta.</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Haarnoja et al. (2018); Gao et al. (2023)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T04-T06</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D-VI.1 — MATD3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Off-policy con doble critico centralizado y retardo de politica.</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Lowe et al. (2017); Hu et al. (2023)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T07-T09</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D-VI.1 — MAAC</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Critico con atencion selectiva entre agentes.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Iqbal y Sha (2019)</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T10-T12</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D-VI.2 — Escenario E1</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Ponderacion dominante flexibilidad [0,70; 0,15; 0,15].</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b w:val="0"/>
                <w:sz w:val="24"/>
              </w:rPr>
              <w:t>Vázquez-Canteli et al. (2020); Yao et al. (2023)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OE.1 / D-VD.1</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D-VI.2 — Escenario E2</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Ponderacion dominante CO2 [0,15; 0,70; 0,15].</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Liu et al. (2022); Tranberg et al. (2020)</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OE.2 / D-VD.2</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D-VI.2 — Escenario E3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Ponderacion dominante costos [0,25; 0,15; 0,60].</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Dang et al. (2023); OSINERGMIN (2024)</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OE.3 / D-VD.3</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D-VI.3 — Control dataset</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Dataset comun citylearn_iquitos_2023_2025 (17 edificios, 8 760 h).</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Nweye et al. (2024); Nweye et al. (2023a)</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Mismo schema y semilla</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D-VI.3 — Control protocolo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Funcion de recompensa unified_comparable_v4 y protocolo CTDE.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Nweye et al. (2022); Hu et al. (2023)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12 tratamientos 4x3</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VD</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D-VD.1 — Dim.1 pico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Reduccion de demanda/importacion maxima distrital.</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b w:val="0"/>
                <w:sz w:val="24"/>
              </w:rPr>
              <w:t>Vázquez-Canteli et al. (2020); Lund et al. (2017)</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peak_average</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VD</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D-VD.1 — Dim.2 rampa</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Suavizado de variaciones horarias de importacion.</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Nweye et al. (2024); Yao et al. (2023)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ramping_average</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VD</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D-VD.1 — Dim.3 factor de carga</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Equilibrio entre pico y demanda media (load factor).</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b w:val="0"/>
                <w:sz w:val="24"/>
              </w:rPr>
              <w:t>Vázquez-Canteli y Nagy (2019b); Xie et al. (2023)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one_minus_load_factor_average; flex_composite</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VD</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D-VD.2 — Dim.1 emisiones totales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Emisiones anuales agregadas del distrito.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Liu et al. (2022); MINAM (2019)</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carbon_emissions_total</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VD</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D-VD.2 — Dim.2 delta CO2</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Reduccion frente a baseline CityLearn v2.</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Tranberg et al. (2020); Sarkar et al. (2024)</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carbon_emissions_delta</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VD</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D-VD.2 — Dim.3 consumo ponderado CI</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Importacion ponderada por intensidad de carbono horaria.</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Cao et al. (2023); Ye et al. (2025)</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CI-weighted consumption</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VD</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D-VD.3 — Dim.1 costo total</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Costo electrico anual agregado del distrito.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Fang et al. (2021); Gao et al. (2023)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electricity_cost_total</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VD</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D-VD.3 — Dim.2 delta costo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Reduccion de costo frente a baseline.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Dang et al. (2023); Xiong et al. (2024)</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electricity_cost_delta</w:t>
            </w:r>
          </w:p>
        </w:tc>
      </w:tr>
      <w:tr>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VD</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D-VD.3 — Dim.3 pico facturable</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Reduccion de demanda maxima en ventana de facturacion.</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OSINERGMIN (2024); Shojaeighadikolaei et al. (2022)</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peak_billing; price_signal_deviation</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organizacion conceptual del marco teorico y de las variables de investigacion. Fuente: Elaboracion propia a partir de la literatura citada en el Capitulo 2.</w:t>
      </w:r>
    </w:p>
    <w:p/>
    <w:p>
      <w:pPr>
        <w:pStyle w:val="Heading2"/>
        <w:spacing w:line="480" w:lineRule="auto" w:before="0" w:after="0"/>
        <w:jc w:val="left"/>
      </w:pPr>
      <w:r>
        <w:rPr>
          <w:rFonts w:ascii="Times New Roman" w:hAnsi="Times New Roman" w:cs="Times New Roman" w:eastAsia="Times New Roman"/>
          <w:color w:val="000000"/>
          <w:sz w:val="24"/>
        </w:rPr>
        <w:t>2.3 Bases teoricas por eje</w:t>
      </w:r>
    </w:p>
    <w:p>
      <w:pPr>
        <w:pStyle w:val="Heading3"/>
        <w:spacing w:line="480" w:lineRule="auto" w:before="0" w:after="0"/>
        <w:jc w:val="left"/>
      </w:pPr>
      <w:r>
        <w:rPr>
          <w:rFonts w:ascii="Times New Roman" w:hAnsi="Times New Roman" w:cs="Times New Roman" w:eastAsia="Times New Roman"/>
          <w:color w:val="000000"/>
          <w:sz w:val="24"/>
        </w:rPr>
        <w:t>2.4.1 Flexibilidad energetica</w:t>
      </w:r>
    </w:p>
    <w:p>
      <w:pPr>
        <w:spacing w:after="0" w:line="480" w:lineRule="auto" w:before="0"/>
        <w:ind w:firstLine="720"/>
        <w:jc w:val="both"/>
      </w:pPr>
      <w:r>
        <w:rPr>
          <w:rFonts w:ascii="Times New Roman" w:hAnsi="Times New Roman" w:cs="Times New Roman"/>
          <w:b w:val="0"/>
          <w:sz w:val="24"/>
        </w:rPr>
        <w:t>La flexibilidad energetica se entiende como la capacidad de modificar el perfil temporal de demanda, importacion, exportacion, carga de almacenamiento y consumo flexible para aportar servicios al sistema electrico. En comunidades con PV, BESS y EV, la flexibilidad no equivale solamente a reducir demanda pico; incluye reducir rampas, mejorar factor de carga, incrementar autoconsumo y desplazar consumo hacia periodos de mayor disponibilidad renovable. Este concepto se alinea con los KPIs peak_average, ramping_average, one_minus_load_factor_average, autoconsumo y autosuficiencia empleados en CityLearn (Vázquez-Canteli et al., 2020; Nweye et al., 2024).</w:t>
      </w:r>
    </w:p>
    <w:p>
      <w:pPr>
        <w:spacing w:after="0" w:line="480" w:lineRule="auto" w:before="0"/>
        <w:ind w:firstLine="720"/>
        <w:jc w:val="both"/>
      </w:pPr>
      <w:r>
        <w:rPr>
          <w:rFonts w:ascii="Times New Roman" w:hAnsi="Times New Roman" w:cs="Times New Roman" w:eastAsia="Times New Roman"/>
          <w:color w:val="000000"/>
          <w:sz w:val="24"/>
        </w:rPr>
        <w:t>Los antecedentes recientes muestran que la flexibilidad requiere coordinacion y no solo optimizacion local. Yao et al. (2023) proponen una estrategia MADRL para gestion energetica de comunidades con PV, BESS y EV, reportando mejoras en pico y costo; Xie et al. (2023) introducen mecanismos de atencion multiagente para respuesta a la demanda en edificios grid-responsive; y Hribar et al. (2025) demuestran mejoras de autonomia energetica en distritos de energia positiva mediante MADRL. En paralelo, Felicetti et al. (2024) combinan programacion entera y aprendizaje por refuerzo para maximizar autoconsumo y recorte de picos, mientras Li et al. (2024) estudian programacion online de PV+BESS con DRL. Estos trabajos sustentan el eje OE.1.</w:t>
      </w:r>
    </w:p>
    <w:p>
      <w:pPr>
        <w:spacing w:after="0" w:line="480" w:lineRule="auto" w:before="0"/>
        <w:ind w:firstLine="720"/>
        <w:jc w:val="both"/>
      </w:pPr>
      <w:r>
        <w:rPr>
          <w:rFonts w:ascii="Times New Roman" w:hAnsi="Times New Roman" w:cs="Times New Roman" w:eastAsia="Times New Roman"/>
          <w:color w:val="000000"/>
          <w:sz w:val="24"/>
        </w:rPr>
        <w:t>La tesis se diferencia porque no evalua una politica unica de flexibilidad. Define E1 como escenario dominante de flexibilidad y compara cuatro familias MADRL bajo condiciones identicas. La literatura muestra que la flexibilidad depende de la interaccion entre edificios, almacenamiento y cargas flexibles; por ello, el Capitulo 5 no debe interpretar un KPI aislado como evidencia suficiente. La lectura correcta combina resultados distritales, resultados por edificio, trazas de accion y carga controlada/no controlada.</w:t>
      </w:r>
    </w:p>
    <w:p>
      <w:pPr>
        <w:spacing w:after="0" w:line="480" w:lineRule="auto" w:before="0"/>
        <w:ind w:firstLine="720"/>
        <w:jc w:val="both"/>
      </w:pPr>
      <w:r>
        <w:rPr>
          <w:rFonts w:ascii="Times New Roman" w:hAnsi="Times New Roman" w:cs="Times New Roman" w:eastAsia="Times New Roman"/>
          <w:color w:val="000000"/>
          <w:sz w:val="24"/>
        </w:rPr>
        <w:t>Los recursos que producen flexibilidad en el SEAI Iquitos son BESS, EV, PV y cargas desplazables. La teoria de PV+BESS indica que el almacenamiento permite transferir energia solar a horas de demanda o costo mayor; los estudios de Li et al. (2024) y Felicetti et al. (2024) respaldan esa logica. En la tesis, dicha teoria se materializa con acciones electrical_storage, electric_vehicle_storage_charger_* y washing_machine_*, mientras la carga base no controlada se mantiene como referencia para evaluar el efecto real de la accion.</w:t>
      </w:r>
    </w:p>
    <w:p>
      <w:pPr>
        <w:pStyle w:val="Heading3"/>
        <w:spacing w:line="480" w:lineRule="auto" w:before="0" w:after="0"/>
        <w:jc w:val="left"/>
      </w:pPr>
      <w:r>
        <w:rPr>
          <w:rFonts w:ascii="Times New Roman" w:hAnsi="Times New Roman" w:cs="Times New Roman" w:eastAsia="Times New Roman"/>
          <w:color w:val="000000"/>
          <w:sz w:val="24"/>
        </w:rPr>
        <w:t>2.4.2 Emisiones de carbono y control consciente de intensidad de carbono</w:t>
      </w:r>
    </w:p>
    <w:p>
      <w:pPr>
        <w:spacing w:after="0" w:line="480" w:lineRule="auto" w:before="0"/>
        <w:ind w:firstLine="720"/>
        <w:jc w:val="both"/>
      </w:pPr>
      <w:r>
        <w:rPr>
          <w:rFonts w:ascii="Times New Roman" w:hAnsi="Times New Roman" w:cs="Times New Roman" w:eastAsia="Times New Roman"/>
          <w:color w:val="000000"/>
          <w:sz w:val="24"/>
        </w:rPr>
        <w:t>El segundo eje teorico se relaciona con la gestion energetica orientada a carbono. En sistemas donde la intensidad de carbono varia temporalmente, el control puede reducir emisiones desplazando consumo hacia periodos de baja CI o cargando almacenamiento cuando la energia renovable desplaza generacion fosil. Tranberg et al. (2020) discuten metodos de contabilidad de carbono en tiempo real; Cao et al. (2023) estudian pronostico de intensidad de carbono para gestion energetica de edificios; y el MINAM (2019) proporciona la referencia de factor de emision usada para contextualizar redes aisladas peruanas.</w:t>
      </w:r>
    </w:p>
    <w:p>
      <w:pPr>
        <w:spacing w:after="0" w:line="480" w:lineRule="auto" w:before="0"/>
        <w:ind w:firstLine="720"/>
        <w:jc w:val="both"/>
      </w:pPr>
      <w:r>
        <w:rPr>
          <w:rFonts w:ascii="Times New Roman" w:hAnsi="Times New Roman" w:cs="Times New Roman" w:eastAsia="Times New Roman"/>
          <w:color w:val="000000"/>
          <w:sz w:val="24"/>
        </w:rPr>
        <w:t>En aprendizaje por refuerzo aplicado a energia, Liu et al. (2022) muestran que MADRL puede reducir costos y emisiones en sistemas de edificios con energia renovable. Ye et al. (2025) y Ma et al. (2025) avanzan hacia MARL seguro para operacion baja en carbono en redes activas y microredes heterogeneas. Sarkar et al. (2024) plantean reduccion de huella de carbono mediante desplazamiento temporal de carga, lo que es conceptualmente transferible a la tesis porque E2 tambien depende de desplazar consumo respecto a una senal de CI. Ren et al. (2025) extienden la discusion a mercados P2P de baja emision con decisiones multiagente.</w:t>
      </w:r>
    </w:p>
    <w:p>
      <w:pPr>
        <w:spacing w:after="0" w:line="480" w:lineRule="auto" w:before="0"/>
        <w:ind w:firstLine="720"/>
        <w:jc w:val="both"/>
      </w:pPr>
      <w:r>
        <w:rPr>
          <w:rFonts w:ascii="Times New Roman" w:hAnsi="Times New Roman" w:cs="Times New Roman" w:eastAsia="Times New Roman"/>
          <w:color w:val="000000"/>
          <w:sz w:val="24"/>
        </w:rPr>
        <w:t>El caso SEAI Iquitos requiere adaptar este eje a una red aislada diesel+PV. La intensidad CI(t) de la tesis se deriva de un factor base de 0,790 kgCO2/kWh y un desplazamiento asociado a irradiancia, con rango aproximado 0,672-0,790 kgCO2/kWh. Esta construccion se sostiene teoricamente en la necesidad de hacer carbon-aware control, pero se implementa como CarbonIntensityModel en el motor CityLearn v3 propuesto. Asi, la teoria de carbono no queda desconectada del codigo: se transforma en senal de observacion, componente de recompensa y KPI de evaluacion en D-VD.2.</w:t>
      </w:r>
    </w:p>
    <w:p>
      <w:pPr>
        <w:pStyle w:val="Heading3"/>
        <w:spacing w:line="480" w:lineRule="auto" w:before="0" w:after="0"/>
        <w:jc w:val="left"/>
      </w:pPr>
      <w:r>
        <w:rPr>
          <w:rFonts w:ascii="Times New Roman" w:hAnsi="Times New Roman" w:cs="Times New Roman" w:eastAsia="Times New Roman"/>
          <w:color w:val="000000"/>
          <w:sz w:val="24"/>
        </w:rPr>
        <w:t>2.4.3 Costos energeticos, precios dinamicos y respuesta economica</w:t>
      </w:r>
    </w:p>
    <w:p>
      <w:pPr>
        <w:spacing w:after="0" w:line="480" w:lineRule="auto" w:before="0"/>
        <w:ind w:firstLine="720"/>
        <w:jc w:val="both"/>
      </w:pPr>
      <w:r>
        <w:rPr>
          <w:rFonts w:ascii="Times New Roman" w:hAnsi="Times New Roman" w:cs="Times New Roman" w:eastAsia="Times New Roman"/>
          <w:color w:val="000000"/>
          <w:sz w:val="24"/>
        </w:rPr>
        <w:t>El tercer eje se refiere a costos energeticos y respuesta a precios. En edificios comerciales, los costos no dependen solo de energia total, sino de horarios de consumo, precios, cargos de demanda y comportamiento frente a picos. Dang et al. (2023) estudian reduccion de cargos por demanda mediante BESS bajo precios en tiempo real; Xiong et al. (2024) analizan estrategias DRL para sistemas con tarifa por uso horario y almacenamiento; y Chen et al. (2024) modelan EV como almacenamiento movil en sistemas energeticos integrados. Estas bases justifican que la tesis incorpore costo energetico como D-VD.3 y no como metrica secundaria.</w:t>
      </w:r>
    </w:p>
    <w:p>
      <w:pPr>
        <w:spacing w:after="0" w:line="480" w:lineRule="auto" w:before="0"/>
        <w:ind w:firstLine="720"/>
        <w:jc w:val="both"/>
      </w:pPr>
      <w:r>
        <w:rPr>
          <w:rFonts w:ascii="Times New Roman" w:hAnsi="Times New Roman" w:cs="Times New Roman" w:eastAsia="Times New Roman"/>
          <w:color w:val="000000"/>
          <w:sz w:val="24"/>
        </w:rPr>
        <w:t>La literatura MADRL de costos refuerza la necesidad de coordinacion. Fang et al. (2021) proponen gestion distribuida de energia y estrategia de mercado en microredes mediante MADRL; Gao et al. (2023) desarrollan MASAC mejorado para programacion colaborativa multi-microgrid; Shojaeighadikolaei et al. (2022) plantean gestion energetica distribuida y respuesta a la demanda en smart grids; y Shojaeighadikolaei et al. (2024) comparan enfoques centralizados y descentralizados para control de redes de carga EV. Estos estudios muestran que el costo emerge de decisiones coordinadas de multiples recursos, no de la optimizacion aislada de un edificio.</w:t>
      </w:r>
    </w:p>
    <w:p>
      <w:pPr>
        <w:spacing w:after="0" w:line="480" w:lineRule="auto" w:before="0"/>
        <w:ind w:firstLine="720"/>
        <w:jc w:val="both"/>
      </w:pPr>
      <w:r>
        <w:rPr>
          <w:rFonts w:ascii="Times New Roman" w:hAnsi="Times New Roman" w:cs="Times New Roman" w:eastAsia="Times New Roman"/>
          <w:color w:val="000000"/>
          <w:sz w:val="24"/>
        </w:rPr>
        <w:t>La tesis adopta una senal TOU propia del contexto Iquitos y la incorpora en E3. En consecuencia, el marco teorico de costos se vincula con decisiones de carga/descarga BESS, programacion EV, respuesta a precio y reduccion de picos facturables. La inclusion de OSINERGMIN (2024) permite conectar el KPI de pico y costo con reglas regulatorias peruanas, evitando que el analisis economico sea un ejercicio abstracto separado de la realidad institucional. La importancia de tesis de este eje es que costo, flexibilidad y carbono pueden entrar en conflicto; por eso, la recompensa multiobjetivo y los escenarios E1/E2/E3 son teoricamente necesarios.</w:t>
      </w:r>
    </w:p>
    <w:p>
      <w:pPr>
        <w:pStyle w:val="Heading3"/>
        <w:spacing w:line="480" w:lineRule="auto" w:before="0" w:after="0"/>
        <w:jc w:val="left"/>
      </w:pPr>
      <w:r>
        <w:rPr>
          <w:rFonts w:ascii="Times New Roman" w:hAnsi="Times New Roman" w:cs="Times New Roman" w:eastAsia="Times New Roman"/>
          <w:color w:val="000000"/>
          <w:sz w:val="24"/>
        </w:rPr>
        <w:t>2.4.4 Algoritmos MADRL evaluados</w:t>
      </w:r>
    </w:p>
    <w:p>
      <w:pPr>
        <w:spacing w:after="0" w:line="480" w:lineRule="auto" w:before="0"/>
        <w:ind w:firstLine="720"/>
        <w:jc w:val="both"/>
      </w:pPr>
      <w:r>
        <w:rPr>
          <w:rFonts w:ascii="Times New Roman" w:hAnsi="Times New Roman" w:cs="Times New Roman" w:eastAsia="Times New Roman"/>
          <w:color w:val="000000"/>
          <w:sz w:val="24"/>
        </w:rPr>
        <w:t>HAPPO se fundamenta en optimizacion de politica con restricciones de region de confianza para agentes heterogeneos. Kuba et al. (2021) desarrollan una formulacion de trust-region policy optimization multiagente, y Zhong et al. (2023) profundizan el aprendizaje por refuerzo de agentes heterogeneos. En la tesis, HAPPO es relevante porque los edificios difieren en area, cargas, PV, BESS y numero de EV.</w:t>
      </w:r>
    </w:p>
    <w:p>
      <w:pPr>
        <w:spacing w:after="0" w:line="480" w:lineRule="auto" w:before="0"/>
        <w:ind w:firstLine="720"/>
        <w:jc w:val="both"/>
      </w:pPr>
      <w:r>
        <w:rPr>
          <w:rFonts w:ascii="Times New Roman" w:hAnsi="Times New Roman" w:cs="Times New Roman" w:eastAsia="Times New Roman"/>
          <w:color w:val="000000"/>
          <w:sz w:val="24"/>
        </w:rPr>
        <w:t>MASAC deriva conceptualmente de Soft Actor-Critic y su regularizacion de entropia (Haarnoja et al., 2018). Gao et al. (2023) muestran la aplicabilidad de un MASAC mejorado en programacion colaborativa multi-microgrid. En la tesis, MASAC representa un enfoque off-policy con exploracion robusta y adaptacion de acciones para el entorno CityLearn v3 propuesto.</w:t>
      </w:r>
    </w:p>
    <w:p>
      <w:pPr>
        <w:spacing w:after="0" w:line="480" w:lineRule="auto" w:before="0"/>
        <w:ind w:firstLine="720"/>
        <w:jc w:val="both"/>
      </w:pPr>
      <w:r>
        <w:rPr>
          <w:rFonts w:ascii="Times New Roman" w:hAnsi="Times New Roman" w:cs="Times New Roman" w:eastAsia="Times New Roman"/>
          <w:color w:val="000000"/>
          <w:sz w:val="24"/>
        </w:rPr>
        <w:t>MATD3 se basa en la idea de reducir sobreestimacion mediante criticos dobles, retraso de actualizacion de politica y ruido objetivo en la familia actor-critic multiagente (Lowe et al., 2017). En la tesis, MATD3 se plantea en las hipotesis como candidato de mayor efecto coordinado porque su doble critico puede ser ventajoso en horizontes largos y acciones energeticas continuas.</w:t>
      </w:r>
    </w:p>
    <w:p>
      <w:pPr>
        <w:spacing w:after="0" w:line="480" w:lineRule="auto" w:before="0"/>
        <w:ind w:firstLine="720"/>
        <w:jc w:val="both"/>
      </w:pPr>
      <w:r>
        <w:rPr>
          <w:rFonts w:ascii="Times New Roman" w:hAnsi="Times New Roman" w:cs="Times New Roman" w:eastAsia="Times New Roman"/>
          <w:color w:val="000000"/>
          <w:sz w:val="24"/>
        </w:rPr>
        <w:t>MAAC se sustenta en Actor-Attention-Critic. Iqbal y Sha (2019) proponen que el critico utilice atencion para seleccionar los agentes mas relevantes durante la evaluacion de acciones. En comunidades energeticas, esta idea es pertinente porque no todos los edificios interactuan con la misma intensidad en cada hora: un hospital, un mall y una universidad presentan perfiles de carga y EV diferentes.</w:t>
      </w:r>
    </w:p>
    <w:p>
      <w:pPr>
        <w:spacing w:after="0" w:line="480" w:lineRule="auto" w:before="0"/>
        <w:ind w:firstLine="720"/>
        <w:jc w:val="both"/>
      </w:pPr>
      <w:r>
        <w:rPr>
          <w:rFonts w:ascii="Times New Roman" w:hAnsi="Times New Roman" w:cs="Times New Roman" w:eastAsia="Times New Roman"/>
          <w:color w:val="000000"/>
          <w:sz w:val="24"/>
        </w:rPr>
        <w:t>El paradigma CTDE separa dos fases: durante el entrenamiento, los criticos pueden acceder al estado global; durante la ejecucion, las politicas actuan solo con observaciones locales (Lowe et al., 2017; Iqbal y Sha, 2019). MARLlib se considera solo como nombre propio de una biblioteca de referencia (Hu et al., 2023), no como sustituto conceptual de MADRL.</w:t>
      </w:r>
    </w:p>
    <w:p>
      <w:pPr>
        <w:pStyle w:val="TablaIndice"/>
        <w:spacing w:before="0" w:after="0" w:line="480" w:lineRule="auto"/>
        <w:ind/>
        <w:jc w:val="left"/>
      </w:pPr>
      <w:r>
        <w:rPr>
          <w:rFonts w:ascii="Times New Roman" w:hAnsi="Times New Roman" w:cs="Times New Roman" w:eastAsia="Times New Roman"/>
          <w:b/>
          <w:i w:val="0"/>
          <w:color w:val="000000"/>
          <w:sz w:val="24"/>
        </w:rPr>
        <w:t>Tabla 2.3</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Fundamento teorico de los algoritmos MADRL evaluados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Algoritmo</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Base teorica</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Ventaja esperada</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Riesgo metodologico</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Relacion con VI</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Trust-region y agentes heterogeneos (Kuba et al., 2021; Zhong et al., 2023).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Estabilidad on-policy y tratamiento de heterogeneidad entre edificios.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Costo de muestreo y cobertura parcial de artefactos finales.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Nivel D-VI.1 del factor algoritmo.</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SAC y regularizacion de entropia (Haarnoja et al., 2018; Gao et al., 2023).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Exploracion robusta y aprendizaje off-policy.</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Adaptacion de acciones continuas/discretas y sensibilidad a hiperparametros.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Nivel D-VI.1 del factor algoritmo.</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Criticos dobles, retardo de politica y control continuo off-policy (Lowe et al., 2017).</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Reduccion de sobreestimacion y estabilidad en acciones continuas.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Puede optimizar algunos ejes mejor que otros; requiere lectura por escenario.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Nivel D-VI.1 e hipotesis direccional HE.2.</w:t>
            </w:r>
          </w:p>
        </w:tc>
      </w:tr>
      <w:tr>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Critico con atencion multiagente (Iqbal y Sha, 2019).</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Coordinacion selectiva entre edificios heterogeneos.</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Complejidad computacional y sensibilidad a estructura de interacciones.</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Nivel D-VI.1 del factor algoritmo.</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organizacion conceptual del marco teorico y de las variables de investigacion. Fuente: Elaboracion propia a partir de la literatura citada en el Capitulo 2.</w:t>
      </w:r>
    </w:p>
    <w:p/>
    <w:p>
      <w:pPr>
        <w:pStyle w:val="Heading3"/>
        <w:spacing w:line="480" w:lineRule="auto" w:before="0" w:after="0"/>
        <w:jc w:val="left"/>
      </w:pPr>
      <w:r>
        <w:rPr>
          <w:rFonts w:ascii="Times New Roman" w:hAnsi="Times New Roman" w:cs="Times New Roman" w:eastAsia="Times New Roman"/>
          <w:color w:val="000000"/>
          <w:sz w:val="24"/>
        </w:rPr>
        <w:t>2.4.5 Aportes fisicos al motor como base teorica de CityLearn v3 propuesto</w:t>
      </w:r>
    </w:p>
    <w:p>
      <w:pPr>
        <w:spacing w:after="0" w:line="480" w:lineRule="auto" w:before="0"/>
        <w:ind w:firstLine="720"/>
        <w:jc w:val="both"/>
      </w:pPr>
      <w:r>
        <w:rPr>
          <w:rFonts w:ascii="Times New Roman" w:hAnsi="Times New Roman" w:cs="Times New Roman" w:eastAsia="Times New Roman"/>
          <w:color w:val="000000"/>
          <w:sz w:val="24"/>
        </w:rPr>
        <w:t>El marco teorico tambien debe sustentar los aportes del motor de simulacion. La degradacion BESS con C-rate y temperatura se justifica por literatura de envejecimiento de baterias LiFePO4 y modelado de degradacion (Naumann et al., 2021; Rajagopalan et al., 2024; Reniers et al., 2022; Xu et al., 2021). Esto evita que el entorno trate toda accion de almacenamiento como equivalente, ignorando condiciones termicas propias de Iquitos.</w:t>
      </w:r>
    </w:p>
    <w:p>
      <w:pPr>
        <w:spacing w:after="0" w:line="480" w:lineRule="auto" w:before="0"/>
        <w:ind w:firstLine="720"/>
        <w:jc w:val="both"/>
      </w:pPr>
      <w:r>
        <w:rPr>
          <w:rFonts w:ascii="Times New Roman" w:hAnsi="Times New Roman" w:cs="Times New Roman" w:eastAsia="Times New Roman"/>
          <w:color w:val="000000"/>
          <w:sz w:val="24"/>
        </w:rPr>
        <w:t>La correccion PV por temperatura tropical se sustenta en IEC 61215-1:2021, Tamoor et al. (2022) y Antonanzas et al. (2021). En Iquitos, alta temperatura y humedad pueden reducir produccion frente a condiciones STC, por lo que un modelo sin correccion termica sesgaria las politicas MADRL hacia una confianza excesiva en PV de mediodia. El KPI de pico con ventana de facturacion se fundamenta en OSINERGMIN (2024) y en estudios de reduccion de demanda maxima con BESS (Dang et al., 2023). Finalmente, CarbonIntensityModel se sostiene en MINAM (2019), Tranberg et al. (2020) y Cao et al. (2023).</w:t>
      </w:r>
    </w:p>
    <w:p>
      <w:pPr>
        <w:pStyle w:val="TablaIndice"/>
        <w:spacing w:before="0" w:after="0" w:line="480" w:lineRule="auto"/>
        <w:ind/>
        <w:jc w:val="left"/>
      </w:pPr>
      <w:r>
        <w:rPr>
          <w:rFonts w:ascii="Times New Roman" w:hAnsi="Times New Roman" w:cs="Times New Roman" w:eastAsia="Times New Roman"/>
          <w:b/>
          <w:i w:val="0"/>
          <w:color w:val="000000"/>
          <w:sz w:val="24"/>
        </w:rPr>
        <w:t>Tabla 2.6</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Constructos teoricos, indicadores y fuentes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Constructo</w:t>
            </w:r>
          </w:p>
        </w:tc>
        <w:tc>
          <w:tcPr>
            <w:tcW w:type="dxa" w:w="22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Indicadores en tesis</w:t>
            </w:r>
          </w:p>
        </w:tc>
        <w:tc>
          <w:tcPr>
            <w:tcW w:type="dxa" w:w="22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Fuentes teoricas principales</w:t>
            </w:r>
          </w:p>
        </w:tc>
        <w:tc>
          <w:tcPr>
            <w:tcW w:type="dxa" w:w="22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Uso en Cap. 5</w:t>
            </w:r>
          </w:p>
        </w:tc>
      </w:tr>
      <w:tr>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Flexibilidad energetica</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peak_average, ramping_average, one_minus_load_factor_average, autoconsumo, autosuficiencia.</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b w:val="0"/>
                <w:sz w:val="24"/>
              </w:rPr>
              <w:t>Vázquez-Canteli et al. (2020); Nweye et al. (2024); Lund et al. (2017).</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Comparacion E1, figuras A.1-A.2/A.7-A.8 y KPIs edificio.</w:t>
            </w:r>
          </w:p>
        </w:tc>
      </w:tr>
      <w:tr>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Emisiones CO2</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carbon_emissions_total, carbon_emissions_delta, CI-weighted consumption.</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Liu et al. (2022); Tranberg et al. (2020); Cao et al. (2023); MINAM (2019).</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Comparacion E2, figura A.4/A.6 y tablas por edificio.</w:t>
            </w:r>
          </w:p>
        </w:tc>
      </w:tr>
      <w:tr>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Costos energeticos</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electricity_cost_total, electricity_cost_delta, price_signal_deviation.</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Dang et al. (2023); Xiong et al. (2024); OSINERGMIN (2024); Gao et al. (2023).</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Comparacion E3, figura A.3/A.5 y deltas por edificio.</w:t>
            </w:r>
          </w:p>
        </w:tc>
      </w:tr>
      <w:tr>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Coordinacion MADRL</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reward, trace por agente, acciones controladas, checkpoints.</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Lowe et al. (2017); Oliehoek y Amato (2016); Iqbal y Sha (2019); Kuba et al. (2021).</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Interpretacion distrito-edificio y reproducibilidad de politica.</w:t>
            </w:r>
          </w:p>
        </w:tc>
      </w:tr>
      <w:tr>
        <w:tc>
          <w:tcPr>
            <w:tcW w:type="dxa" w:w="22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Fidelidad fisica del simulador</w:t>
            </w:r>
          </w:p>
        </w:tc>
        <w:tc>
          <w:tcPr>
            <w:tcW w:type="dxa" w:w="22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degradacion BESS, PV tropical, CI dinamica, pico facturable.</w:t>
            </w:r>
          </w:p>
        </w:tc>
        <w:tc>
          <w:tcPr>
            <w:tcW w:type="dxa" w:w="22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Naumann et al. (2021); Tamoor et al. (2022); IEC (2021); MINAM (2019).</w:t>
            </w:r>
          </w:p>
        </w:tc>
        <w:tc>
          <w:tcPr>
            <w:tcW w:type="dxa" w:w="22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Justifica CityLearn v3 propuesto y anexos de arquitectura.</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organizacion conceptual del marco teorico y de las variables de investigacion. Fuente: Elaboracion propia a partir de la literatura citada en el Capitulo 2.</w:t>
      </w:r>
    </w:p>
    <w:p/>
    <w:p>
      <w:pPr>
        <w:pStyle w:val="Heading2"/>
        <w:spacing w:line="480" w:lineRule="auto" w:before="0" w:after="0"/>
        <w:jc w:val="left"/>
      </w:pPr>
      <w:r>
        <w:rPr>
          <w:rFonts w:ascii="Times New Roman" w:hAnsi="Times New Roman" w:cs="Times New Roman" w:eastAsia="Times New Roman"/>
          <w:color w:val="000000"/>
          <w:sz w:val="24"/>
        </w:rPr>
        <w:t>2.4 Antecedentes</w:t>
      </w:r>
    </w:p>
    <w:p>
      <w:pPr>
        <w:spacing w:after="0" w:line="480" w:lineRule="auto" w:before="0"/>
        <w:ind w:firstLine="720"/>
        <w:jc w:val="both"/>
      </w:pPr>
      <w:r>
        <w:rPr>
          <w:rFonts w:ascii="Times New Roman" w:hAnsi="Times New Roman" w:cs="Times New Roman" w:eastAsia="Times New Roman"/>
          <w:color w:val="000000"/>
          <w:sz w:val="24"/>
        </w:rPr>
        <w:t>Los antecedentes se organizan en internacionales (Tabla 2.4), nacionales/peruanos (Tabla 2.5) y una sintesis critica de brecha cientifica. La Tabla 2.7 resume la relacion entre antecedentes, ejes teoricos y aportes de esta tesis.</w:t>
      </w:r>
    </w:p>
    <w:p>
      <w:pPr>
        <w:pStyle w:val="TablaIndice"/>
        <w:spacing w:before="0" w:after="0" w:line="480" w:lineRule="auto"/>
        <w:ind/>
        <w:jc w:val="left"/>
      </w:pPr>
      <w:r>
        <w:rPr>
          <w:rFonts w:ascii="Times New Roman" w:hAnsi="Times New Roman" w:cs="Times New Roman" w:eastAsia="Times New Roman"/>
          <w:b/>
          <w:i w:val="0"/>
          <w:color w:val="000000"/>
          <w:sz w:val="24"/>
        </w:rPr>
        <w:t>Tabla 2.7</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Antecedentes usados por eje teorico y relacion con la tesis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Eje</w:t>
            </w:r>
          </w:p>
        </w:tc>
        <w:tc>
          <w:tcPr>
            <w:tcW w:type="dxa" w:w="22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Autores fuente</w:t>
            </w:r>
          </w:p>
        </w:tc>
        <w:tc>
          <w:tcPr>
            <w:tcW w:type="dxa" w:w="22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Aporte teorico usado</w:t>
            </w:r>
          </w:p>
        </w:tc>
        <w:tc>
          <w:tcPr>
            <w:tcW w:type="dxa" w:w="22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Limitacion que cubre esta tesis</w:t>
            </w:r>
          </w:p>
        </w:tc>
      </w:tr>
      <w:tr>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 y benchmarking</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b w:val="0"/>
                <w:sz w:val="24"/>
              </w:rPr>
              <w:t>Vázquez-Canteli y Nagy (2019a, 2019b); Vázquez-Canteli et al. (2020); Nweye et al. (2023c, 2024); Nweye y Nagy (2024b)</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Entorno estandarizado, KPIs, comunidades grid-interactive, carbon-aware control.</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 extiende a CityLearn v3 propuesto con Dec-POMDP/CTDE y cuatro backends MADRL.</w:t>
            </w:r>
          </w:p>
        </w:tc>
      </w:tr>
      <w:tr>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Escala multiagente realista</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Nweye et al. (2022, 2023a, 2023b)</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Desafios reales, MERLIN y comunidades heterogeneas de 17 edificios.</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 aplica a SEAI Iquitos con 17 edificios reales y artefactos Drive.</w:t>
            </w:r>
          </w:p>
        </w:tc>
      </w:tr>
      <w:tr>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Flexibilidad energetica</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Yao et al. (2023); Xie et al. (2023); Hribar et al. (2025); Felicetti et al. (2024); Li et al. (2024); Zhao et al. (2024); Wu et al. (2025)</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Peak shaving, ramping, autoconsumo, coordinacion DR, PV+BESS, control seguro.</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 compara HAPPO/MASAC/MATD3/MAAC bajo mismo dataset y KPIs.</w:t>
            </w:r>
          </w:p>
        </w:tc>
      </w:tr>
      <w:tr>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Emisiones CO2</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Liu et al. (2022); Ye et al. (2025); Ma et al. (2025); Sarkar et al. (2024); Ren et al. (2025); Tranberg et al. (2020); Cao et al. (2023)</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Control bajo intensidad de carbono, operacion baja en carbono, desplazamiento temporal de carga.</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 usa CI de red aislada Iquitos y CarbonIntensityModel.</w:t>
            </w:r>
          </w:p>
        </w:tc>
      </w:tr>
      <w:tr>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Costos energeticos</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Fang et al. (2021); Gao et al. (2023); Shojaeighadikolaei et al. (2022, 2024); Xiong et al. (2024); Chen et al. (2024); Dang et al. (2023)</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Respuesta a precios, costo electrico, microredes, EV, BESS y demanda maxima.</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 vincula TOU local, BESS, EV, carga desplazable y costo distrital/edificio.</w:t>
            </w:r>
          </w:p>
        </w:tc>
      </w:tr>
      <w:tr>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Fundamentos MADRL</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Sutton y Barto (2018); Oliehoek y Amato (2016); Lowe et al. (2017); Haarnoja et al. (2018); Iqbal y Sha (2019); Kuba et al. (2021); Zhong et al. (2023); Hu et al. (2023)</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MDP, Dec-POMDP, CTDE, SAC, atencion, HAPPO, MARLlib.</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 operacionaliza en wrappers reales y tratamientos experimentales.</w:t>
            </w:r>
          </w:p>
        </w:tc>
      </w:tr>
      <w:tr>
        <w:tc>
          <w:tcPr>
            <w:tcW w:type="dxa" w:w="22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Modelado fisico y regulatorio</w:t>
            </w:r>
          </w:p>
        </w:tc>
        <w:tc>
          <w:tcPr>
            <w:tcW w:type="dxa" w:w="22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Naumann et al. (2021); Rajagopalan et al. (2024); Reniers et al. (2022); Xu et al. (2021); Tamoor et al. (2022); Antonanzas et al. (2021); IEC (2021); MINAM (2019); OSINERGMIN (2024)</w:t>
            </w:r>
          </w:p>
        </w:tc>
        <w:tc>
          <w:tcPr>
            <w:tcW w:type="dxa" w:w="22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Degradacion BESS, correccion PV tropical, carbono y tarifa.</w:t>
            </w:r>
          </w:p>
        </w:tc>
        <w:tc>
          <w:tcPr>
            <w:tcW w:type="dxa" w:w="22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Aportes A1-A4 del motor CityLearn v3 propuesto.</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sintesis de antecedentes academicos y su relacion con la brecha teorica de la tesis. Fuente: Elaboracion propia con base en la revision bibliografica sistematizada en el Capitulo 2 y en las referencias APA del documento.</w:t>
      </w:r>
    </w:p>
    <w:p/>
    <w:p>
      <w:pPr>
        <w:pStyle w:val="Heading3"/>
        <w:spacing w:line="480" w:lineRule="auto" w:before="0" w:after="0"/>
        <w:jc w:val="left"/>
      </w:pPr>
      <w:r>
        <w:rPr>
          <w:rFonts w:ascii="Times New Roman" w:hAnsi="Times New Roman" w:cs="Times New Roman" w:eastAsia="Times New Roman"/>
          <w:color w:val="000000"/>
          <w:sz w:val="24"/>
        </w:rPr>
        <w:t>2.5.1 Antecedentes internacionales</w:t>
      </w:r>
    </w:p>
    <w:p>
      <w:pPr>
        <w:spacing w:after="0" w:line="480" w:lineRule="auto" w:before="0"/>
        <w:ind w:firstLine="720"/>
        <w:jc w:val="both"/>
      </w:pPr>
      <w:r>
        <w:rPr>
          <w:rFonts w:ascii="Times New Roman" w:hAnsi="Times New Roman" w:cs="Times New Roman" w:eastAsia="Times New Roman"/>
          <w:color w:val="000000"/>
          <w:sz w:val="24"/>
        </w:rPr>
        <w:t>La Tabla 2.4 sistematiza cinco antecedentes internacionales directamente vinculados con CityLearn, MADRL (HAPPO/MAAC/MADDPG), flexibilidad, CO2 y costos. Estos estudios constituyen la linea de comparacion externa para PE.1-PE.3 y para la contrastacion de hipotesis en el Capitulo 5.</w:t>
      </w:r>
    </w:p>
    <w:p>
      <w:pPr>
        <w:pStyle w:val="TablaIndice"/>
        <w:spacing w:before="0" w:after="0" w:line="480" w:lineRule="auto"/>
        <w:ind/>
        <w:jc w:val="left"/>
      </w:pPr>
      <w:r>
        <w:rPr>
          <w:rFonts w:ascii="Times New Roman" w:hAnsi="Times New Roman" w:cs="Times New Roman" w:eastAsia="Times New Roman"/>
          <w:b/>
          <w:i w:val="0"/>
          <w:color w:val="000000"/>
          <w:sz w:val="24"/>
        </w:rPr>
        <w:t>Tabla 2.4</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Antecedentes internacionales seleccionados (Modulo A)</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Autor(es)</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Titulo</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Variables VI/VD</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Aporte para esta tesis</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DOI / enlace</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Nweye et al. (2024)</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 v2: Energy-flexible, resilient, occupant-centric, and carbon-aware management of grid-interactive communities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 D-VD.1 flexibilidad; D-VD.2 CO2; D-VD.3 costos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Entorno base oficial y KPIs D-VD.1-D-VD.3; justifica extension CityLearn v3 propuesto con Dec-POMDP/CTDE y cuatro backends MADRL.</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10.1080/19401493.2024.2418813</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Nweye et al. (2023b)</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Heterogeneous Multi-Agent Reinforcement Learning for Grid-Interactive Communities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 HAPPO; CityLearn; D-VD.1 flexibilidad; CTDE; Dec-POMDP</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Antecedente directo del backend HAPPO a escala multiedificio; precedente mas cercano antes de comparar HAPPO, MASAC, MATD3 y MAAC bajo recompensa unificada.</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10.1145/3600100.3626276</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Yao et al. (2023)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Multi-Agent Reinforcement Learning for Smart Community Energy Management</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MADRL; D-VD.1 flexibilidad; D-VD.3 costos; PV+BESS+EV</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Referente de flexibilidad y costos (OE.1/OE.3) para contrastar si MATD3/MAAC superan mejoras reportadas (~15-18%) bajo dataset SEAI Iquitos.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10.3390/en17205211</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Liu et al. (2022)</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Multi-agent deep reinforcement learning for building energy system with renewable energy</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MADRL; D-VD.2 CO2; D-VD.3 costos; BESS+PV</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Antecedente de D-VD.2 y D-VD.3 para contrastar deltas de CO2 y costo de MATD3/MAAC en escenario E2/E3 del SEAI Iquitos.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10.1016/j.apenergy.2022.118703</w:t>
            </w:r>
          </w:p>
        </w:tc>
      </w:tr>
      <w:tr>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Iqbal y Sha (2019)</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Actor-Attention-Critic for Multi-Agent Reinforcement Learning</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VI MAAC; CTDE; Dec-POMDP/POMDP cooperativo</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Fundamento del backend MAAC; explica por que MAAC puede liderar costos (OE.3) al ponderar interacciones entre edificios bajo senales TOU.</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proceedings.mlr.press/v97/iqbal19a.html</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sintesis de antecedentes academicos y su relacion con la brecha teorica de la tesis. Fuente: Elaboracion propia con base en la revision bibliografica sistematizada en el Capitulo 2 y en las referencias APA del documento.</w:t>
      </w:r>
    </w:p>
    <w:p/>
    <w:p>
      <w:pPr>
        <w:pStyle w:val="Heading4"/>
        <w:spacing w:line="480" w:lineRule="auto" w:before="0" w:after="0"/>
        <w:ind w:firstLine="720"/>
        <w:jc w:val="left"/>
      </w:pPr>
      <w:r>
        <w:rPr>
          <w:rFonts w:ascii="Times New Roman" w:hAnsi="Times New Roman" w:cs="Times New Roman" w:eastAsia="Times New Roman"/>
          <w:color w:val="000000"/>
          <w:sz w:val="24"/>
        </w:rPr>
        <w:t>Nweye et al. (2024)</w:t>
      </w:r>
    </w:p>
    <w:p>
      <w:pPr>
        <w:spacing w:line="480" w:lineRule="auto" w:before="0" w:after="0"/>
        <w:ind w:firstLine="720"/>
        <w:jc w:val="both"/>
      </w:pPr>
      <w:r>
        <w:rPr>
          <w:rFonts w:ascii="Times New Roman" w:hAnsi="Times New Roman" w:cs="Times New Roman" w:eastAsia="Times New Roman"/>
          <w:b/>
          <w:color w:val="000000"/>
          <w:sz w:val="24"/>
        </w:rPr>
        <w:t>Ficha antecedente internacional — Nweye et al. (2024).</w:t>
      </w:r>
    </w:p>
    <w:tbl>
      <w:tblPr>
        <w:tblStyle w:val="LightGrid-Accent1"/>
        <w:tblW w:type="auto" w:w="0"/>
        <w:jc w:val="center"/>
        <w:tblLook w:firstColumn="1" w:firstRow="1" w:lastColumn="0" w:lastRow="0" w:noHBand="0" w:noVBand="1" w:val="04A0"/>
      </w:tblPr>
      <w:tblGrid>
        <w:gridCol w:w="4561"/>
        <w:gridCol w:w="4561"/>
      </w:tblGrid>
      <w:tr>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Campo</w:t>
            </w:r>
          </w:p>
        </w:tc>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Contenido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Titulo de la tesis/estudio</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 v2: Energy-flexible, resilient, occupant-centric, and carbon-aware management of grid-interactive communities</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Objetivo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Desarrollar CityLearn v2 integrando EV/V2G, intensidad de carbono dinamica, BESS, PV y KPIs de flexibilidad, emisiones y costos en comunidades grid-interactive.</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Tipo de metodologia</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Desarrollo de entorno de simulacion; evaluacion multiobjetivo con SAC, RBC y MPC.</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Diseno de investigacion</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Aplicada; no experimental; simulacion comparativa en CityLearn v2.</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Resultados cuantitativos</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KPIs distritales y por edificio (peak_average, ramping, carbon_emissions, electricity_cost); magnitudes especificas dependen de configuracion experimental.</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Conclusion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 v2 habilita investigacion reproducible en comunidades inteligentes multidimensionales con flexibilidad, carbono y costo.</w:t>
            </w:r>
          </w:p>
        </w:tc>
      </w:tr>
      <w:tr>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Aporte para esta tesis</w:t>
            </w:r>
          </w:p>
        </w:tc>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Entorno base oficial y KPIs D-VD.1-D-VD.3; justifica extension CityLearn v3 propuesto con Dec-POMDP/CTDE y cuatro backends MADRL.</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
      <w:pPr>
        <w:pStyle w:val="Heading4"/>
        <w:spacing w:line="480" w:lineRule="auto" w:before="0" w:after="0"/>
        <w:ind w:firstLine="720"/>
        <w:jc w:val="left"/>
      </w:pPr>
      <w:r>
        <w:rPr>
          <w:rFonts w:ascii="Times New Roman" w:hAnsi="Times New Roman" w:cs="Times New Roman" w:eastAsia="Times New Roman"/>
          <w:color w:val="000000"/>
          <w:sz w:val="24"/>
        </w:rPr>
        <w:t>Nweye et al. (2023b)</w:t>
      </w:r>
    </w:p>
    <w:p>
      <w:pPr>
        <w:spacing w:line="480" w:lineRule="auto" w:before="0" w:after="0"/>
        <w:ind w:firstLine="720"/>
        <w:jc w:val="both"/>
      </w:pPr>
      <w:r>
        <w:rPr>
          <w:rFonts w:ascii="Times New Roman" w:hAnsi="Times New Roman" w:cs="Times New Roman" w:eastAsia="Times New Roman"/>
          <w:b/>
          <w:color w:val="000000"/>
          <w:sz w:val="24"/>
        </w:rPr>
        <w:t>Ficha antecedente internacional — Nweye et al. (2023b).</w:t>
      </w:r>
    </w:p>
    <w:tbl>
      <w:tblPr>
        <w:tblStyle w:val="LightGrid-Accent1"/>
        <w:tblW w:type="auto" w:w="0"/>
        <w:jc w:val="center"/>
        <w:tblLook w:firstColumn="1" w:firstRow="1" w:lastColumn="0" w:lastRow="0" w:noHBand="0" w:noVBand="1" w:val="04A0"/>
      </w:tblPr>
      <w:tblGrid>
        <w:gridCol w:w="4561"/>
        <w:gridCol w:w="4561"/>
      </w:tblGrid>
      <w:tr>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Campo</w:t>
            </w:r>
          </w:p>
        </w:tc>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Contenido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Titulo de la tesis/estudio</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Heterogeneous Multi-Agent Reinforcement Learning for Grid-Interactive Communities</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Objetivo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Evaluar HARL/HAPPO para gestion energetica heterogenea en comunidades grid-interactive modeladas en CityLearn.</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Tipo de metodologia</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MARL heterogeneo on-policy (HAPPO/HARL) bajo CTDE en CityLearn.</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Diseno de investigacion</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Aplicada; no experimental; simulacion CityLearn con agentes heterogeneos.</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Resultados cuantitativos</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 heterogeneo comparable o superior a MAPPO en KPIs CityLearn (peak, ramping, emisiones, costo); magnitudes exactas [PV] por configuracion.</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Conclusion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 es viable para coordinacion heterogenea en comunidades inteligentes grid-interactive.</w:t>
            </w:r>
          </w:p>
        </w:tc>
      </w:tr>
      <w:tr>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Aporte para esta tesis</w:t>
            </w:r>
          </w:p>
        </w:tc>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Antecedente directo del backend HAPPO a escala multiedificio; precedente mas cercano antes de comparar HAPPO, MASAC, MATD3 y MAAC bajo recompensa unificada.</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
      <w:pPr>
        <w:pStyle w:val="Heading4"/>
        <w:spacing w:line="480" w:lineRule="auto" w:before="0" w:after="0"/>
        <w:ind w:firstLine="720"/>
        <w:jc w:val="left"/>
      </w:pPr>
      <w:r>
        <w:rPr>
          <w:rFonts w:ascii="Times New Roman" w:hAnsi="Times New Roman" w:cs="Times New Roman" w:eastAsia="Times New Roman"/>
          <w:color w:val="000000"/>
          <w:sz w:val="24"/>
        </w:rPr>
        <w:t>Yao et al. (2023)</w:t>
      </w:r>
    </w:p>
    <w:p>
      <w:pPr>
        <w:spacing w:line="480" w:lineRule="auto" w:before="0" w:after="0"/>
        <w:ind w:firstLine="720"/>
        <w:jc w:val="both"/>
      </w:pPr>
      <w:r>
        <w:rPr>
          <w:rFonts w:ascii="Times New Roman" w:hAnsi="Times New Roman" w:cs="Times New Roman" w:eastAsia="Times New Roman"/>
          <w:b/>
          <w:color w:val="000000"/>
          <w:sz w:val="24"/>
        </w:rPr>
        <w:t>Ficha antecedente internacional — Yao et al. (2023).</w:t>
      </w:r>
    </w:p>
    <w:tbl>
      <w:tblPr>
        <w:tblStyle w:val="LightGrid-Accent1"/>
        <w:tblW w:type="auto" w:w="0"/>
        <w:jc w:val="center"/>
        <w:tblLook w:firstColumn="1" w:firstRow="1" w:lastColumn="0" w:lastRow="0" w:noHBand="0" w:noVBand="1" w:val="04A0"/>
      </w:tblPr>
      <w:tblGrid>
        <w:gridCol w:w="4561"/>
        <w:gridCol w:w="4561"/>
      </w:tblGrid>
      <w:tr>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Campo</w:t>
            </w:r>
          </w:p>
        </w:tc>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Contenido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Titulo de la tesis/estudio</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Multi-Agent Reinforcement Learning for Smart Community Energy Management</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Objetivo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Proponer un marco MARL (LSD-MADDPG) para gestion coordinada de energia en comunidades inteligentes con PV, BESS y EV.</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Tipo de metodologia</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MARL cooperativo con estrategia local descentralizada (LSD-MADDPG); CTDE.</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Diseno de investigacion</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Aplicada; no experimental; simulacion de comunidad inteligente sintetica.</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Resultados cuantitativos</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Reduccion de costo ~18% y de pico ~15% frente a MADDPG no cooperativo.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Conclusion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La estrategia local MARL mejora coordinacion y reduce fallos de escalabilidad en comunidades con DER.</w:t>
            </w:r>
          </w:p>
        </w:tc>
      </w:tr>
      <w:tr>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Aporte para esta tesis</w:t>
            </w:r>
          </w:p>
        </w:tc>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Referente de flexibilidad y costos (OE.1/OE.3) para contrastar si MATD3/MAAC superan mejoras reportadas (~15-18%) bajo dataset SEAI Iquitos.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
      <w:pPr>
        <w:pStyle w:val="Heading4"/>
        <w:spacing w:line="480" w:lineRule="auto" w:before="0" w:after="0"/>
        <w:ind w:firstLine="720"/>
        <w:jc w:val="left"/>
      </w:pPr>
      <w:r>
        <w:rPr>
          <w:rFonts w:ascii="Times New Roman" w:hAnsi="Times New Roman" w:cs="Times New Roman" w:eastAsia="Times New Roman"/>
          <w:color w:val="000000"/>
          <w:sz w:val="24"/>
        </w:rPr>
        <w:t>Liu et al. (2022)</w:t>
      </w:r>
    </w:p>
    <w:p>
      <w:pPr>
        <w:spacing w:line="480" w:lineRule="auto" w:before="0" w:after="0"/>
        <w:ind w:firstLine="720"/>
        <w:jc w:val="both"/>
      </w:pPr>
      <w:r>
        <w:rPr>
          <w:rFonts w:ascii="Times New Roman" w:hAnsi="Times New Roman" w:cs="Times New Roman" w:eastAsia="Times New Roman"/>
          <w:b/>
          <w:color w:val="000000"/>
          <w:sz w:val="24"/>
        </w:rPr>
        <w:t>Ficha antecedente internacional — Liu et al. (2022).</w:t>
      </w:r>
    </w:p>
    <w:tbl>
      <w:tblPr>
        <w:tblStyle w:val="LightGrid-Accent1"/>
        <w:tblW w:type="auto" w:w="0"/>
        <w:jc w:val="center"/>
        <w:tblLook w:firstColumn="1" w:firstRow="1" w:lastColumn="0" w:lastRow="0" w:noHBand="0" w:noVBand="1" w:val="04A0"/>
      </w:tblPr>
      <w:tblGrid>
        <w:gridCol w:w="4561"/>
        <w:gridCol w:w="4561"/>
      </w:tblGrid>
      <w:tr>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Campo</w:t>
            </w:r>
          </w:p>
        </w:tc>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Contenido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Titulo de la tesis/estudio</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Multi-agent deep reinforcement learning for building energy system with renewable energy</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Objetivo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Proponer MADRL (MADDPG) para coordinar BESS y PV en edificios con energia renovable bajo incertidumbre operativa.</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Tipo de metodologia</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MADDPG cooperativo con critico centralizado; comparacion con control basado en reglas.</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Diseno de investigacion</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Aplicada; no experimental; simulacion con datos reales de edificios en China.</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Resultados cuantitativos</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Reduccion de costo ~20% y de emisiones CO2 ~15% frente a reglas.</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Conclusion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MADRL cooperativo supera agentes independientes en eficiencia energetica y emisiones.</w:t>
            </w:r>
          </w:p>
        </w:tc>
      </w:tr>
      <w:tr>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Aporte para esta tesis</w:t>
            </w:r>
          </w:p>
        </w:tc>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Antecedente de D-VD.2 y D-VD.3 para contrastar deltas de CO2 y costo de MATD3/MAAC en escenario E2/E3 del SEAI Iquitos.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
      <w:pPr>
        <w:pStyle w:val="Heading4"/>
        <w:spacing w:line="480" w:lineRule="auto" w:before="0" w:after="0"/>
        <w:ind w:firstLine="720"/>
        <w:jc w:val="left"/>
      </w:pPr>
      <w:r>
        <w:rPr>
          <w:rFonts w:ascii="Times New Roman" w:hAnsi="Times New Roman" w:cs="Times New Roman" w:eastAsia="Times New Roman"/>
          <w:color w:val="000000"/>
          <w:sz w:val="24"/>
        </w:rPr>
        <w:t>Iqbal y Sha (2019)</w:t>
      </w:r>
    </w:p>
    <w:p>
      <w:pPr>
        <w:spacing w:line="480" w:lineRule="auto" w:before="0" w:after="0"/>
        <w:ind w:firstLine="720"/>
        <w:jc w:val="both"/>
      </w:pPr>
      <w:r>
        <w:rPr>
          <w:rFonts w:ascii="Times New Roman" w:hAnsi="Times New Roman" w:cs="Times New Roman" w:eastAsia="Times New Roman"/>
          <w:b/>
          <w:color w:val="000000"/>
          <w:sz w:val="24"/>
        </w:rPr>
        <w:t>Ficha antecedente internacional — Iqbal y Sha (2019).</w:t>
      </w:r>
    </w:p>
    <w:tbl>
      <w:tblPr>
        <w:tblStyle w:val="LightGrid-Accent1"/>
        <w:tblW w:type="auto" w:w="0"/>
        <w:jc w:val="center"/>
        <w:tblLook w:firstColumn="1" w:firstRow="1" w:lastColumn="0" w:lastRow="0" w:noHBand="0" w:noVBand="1" w:val="04A0"/>
      </w:tblPr>
      <w:tblGrid>
        <w:gridCol w:w="4561"/>
        <w:gridCol w:w="4561"/>
      </w:tblGrid>
      <w:tr>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Campo</w:t>
            </w:r>
          </w:p>
        </w:tc>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Contenido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Titulo de la tesis/estudio</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Actor-Attention-Critic for Multi-Agent Reinforcement Learning</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Objetivo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Introducir mecanismos de atencion en el critico centralizado MARL para coordinacion selectiva bajo observabilidad parcial.</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Tipo de metodologia</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Actor-critic multiagente con atencion multi-cabeza; evaluacion en benchmarks MPE y cooperativos.</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Diseno de investigacion</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Basica-algoritmica; experimental con entornos benchmark MARL.</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Resultados cuantitativos</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Mejora de recompensa ~15-30% frente a MADDPG/COMA en tareas cooperativas.</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Conclusion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La atencion mejora coordinacion selectiva entre agentes heterogeneos bajo CTDE.</w:t>
            </w:r>
          </w:p>
        </w:tc>
      </w:tr>
      <w:tr>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Aporte para esta tesis</w:t>
            </w:r>
          </w:p>
        </w:tc>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Fundamento del backend MAAC; explica por que MAAC puede liderar costos (OE.3) al ponderar interacciones entre edificios bajo senales TOU.</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
      <w:pPr>
        <w:pStyle w:val="Heading3"/>
        <w:spacing w:line="480" w:lineRule="auto" w:before="0" w:after="0"/>
        <w:jc w:val="left"/>
      </w:pPr>
      <w:r>
        <w:rPr>
          <w:rFonts w:ascii="Times New Roman" w:hAnsi="Times New Roman" w:cs="Times New Roman" w:eastAsia="Times New Roman"/>
          <w:color w:val="000000"/>
          <w:sz w:val="24"/>
        </w:rPr>
        <w:t>2.5.2 Antecedentes nacionales y peruanos</w:t>
      </w:r>
    </w:p>
    <w:p>
      <w:pPr>
        <w:spacing w:after="0" w:line="480" w:lineRule="auto" w:before="0"/>
        <w:ind w:firstLine="720"/>
        <w:jc w:val="both"/>
      </w:pPr>
      <w:r>
        <w:rPr>
          <w:rFonts w:ascii="Times New Roman" w:hAnsi="Times New Roman" w:cs="Times New Roman" w:eastAsia="Times New Roman"/>
          <w:color w:val="000000"/>
          <w:sz w:val="24"/>
        </w:rPr>
        <w:t>La Tabla 2.5 integra antecedentes nacionales y del contexto SEAI Iquitos: tesises peruanas/latinoamericanas y marcos regulatorios MINAM/OSINERGMIN. Estos antecedentes anclan la tesis en el sistema electrico aislado diesel+PV de Loreto.</w:t>
      </w:r>
    </w:p>
    <w:p>
      <w:pPr>
        <w:pStyle w:val="TablaIndice"/>
        <w:spacing w:before="0" w:after="0" w:line="480" w:lineRule="auto"/>
        <w:ind/>
        <w:jc w:val="left"/>
      </w:pPr>
      <w:r>
        <w:rPr>
          <w:rFonts w:ascii="Times New Roman" w:hAnsi="Times New Roman" w:cs="Times New Roman" w:eastAsia="Times New Roman"/>
          <w:b/>
          <w:i w:val="0"/>
          <w:color w:val="000000"/>
          <w:sz w:val="24"/>
        </w:rPr>
        <w:t>Tabla 2.5</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Antecedentes nacionales/peruanos seleccionados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Autor(es)</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Titulo</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Variables VI/VD</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Aporte para esta tesis</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DOI / enlace</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Chevarria Moscoso (2024)</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Analisis de la generacion hidroelectrica en la central hidroelectrica de Machupicchu aplicando metodos estocasticos y mo...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Contexto Peru; generacion renovable; incertidumbre operativa</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Contextualiza optimizacion energetica nacional y variabilidad de recursos renovables aplicable al balance PV+diesel del SEAI Iquitos.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http://hdl.handle.net/20.500.14076/28894</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Peñalva Sanchez (2024)</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Optimizacion de un sistema fotovoltaico hibrido y la prediccion de la demanda energetica y variables climaticas utilizan...</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Contexto Peru/UNI; PV; demanda; clima tropical</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Sustenta el uso de datos climaticos y demanda reales (PVGIS/NASA POWER) en el dataset citylearn_iquitos_2023_2025 y la relevancia de prediccion para control flexible.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http://hdl.handle.net/20.500.14076/27731</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Rosero Bernal (2022)</w:t>
            </w:r>
            <w:r>
              <w:rPr>
                <w:sz w:val="13"/>
              </w:rPr>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Modelo de un sistema de administracion de energia autonomo operado desde la nube para optimizar la gestion de un grupo d...</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Microredes; coordinacion; gestion energetica autonoma</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Paralelo latinoamericano de coordinacion multiagente en redes locales; informa la lectura CTDE del distrito SEAI como comunidad de 17 nodos energeticos.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[PV]</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MINAM (2019)</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INFOCARBONO — RAGEI 2019 Energia (factor de emision del sector electrico peruano)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D-VD.2 CO2; SEAI Iquitos; intensidad de carbono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Fundamenta CarbonIntensityModel (A4) y el escenario E2 (D-VD.2) con factor MINAM aplicado al SEAI Iquitos.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https://infocarbono.minam.gob.pe/</w:t>
            </w:r>
          </w:p>
        </w:tc>
      </w:tr>
      <w:tr>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OSINERGMIN (2024)</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Resolucion de Consejo Directivo N. 0024-2024-OS/CD — Tarifas de distribucion electrica MT-3/MT-4, Electro Oriente S.A.</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D-VD.3 costos; D-VD.1 flexibilidad (pico); SEAI Iquitos</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Justifica KPI de pico con ventana OSINERGMIN (A3) y el escenario E3 (D-VD.3 costos) con senales TOU locales de Iquitos.</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[PV — resolucion OSINERGMIN 0024-2024-OS/CD]</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sintesis de antecedentes academicos y su relacion con la brecha teorica de la tesis. Fuente: Elaboracion propia con base en la revision bibliografica sistematizada en el Capitulo 2 y en las referencias APA del documento.</w:t>
      </w:r>
    </w:p>
    <w:p/>
    <w:p>
      <w:pPr>
        <w:pStyle w:val="Heading4"/>
        <w:spacing w:line="480" w:lineRule="auto" w:before="0" w:after="0"/>
        <w:ind w:firstLine="720"/>
        <w:jc w:val="left"/>
      </w:pPr>
      <w:r>
        <w:rPr>
          <w:rFonts w:ascii="Times New Roman" w:hAnsi="Times New Roman" w:cs="Times New Roman" w:eastAsia="Times New Roman"/>
          <w:color w:val="000000"/>
          <w:sz w:val="24"/>
        </w:rPr>
        <w:t>Chevarria Moscoso (2024)</w:t>
      </w:r>
    </w:p>
    <w:p>
      <w:pPr>
        <w:spacing w:line="480" w:lineRule="auto" w:before="0" w:after="0"/>
        <w:ind w:firstLine="720"/>
        <w:jc w:val="both"/>
      </w:pPr>
      <w:r>
        <w:rPr>
          <w:rFonts w:ascii="Times New Roman" w:hAnsi="Times New Roman" w:cs="Times New Roman" w:eastAsia="Times New Roman"/>
          <w:b/>
          <w:color w:val="000000"/>
          <w:sz w:val="24"/>
        </w:rPr>
        <w:t>Ficha antecedente nacional — Chevarria Moscoso (2024).</w:t>
      </w:r>
    </w:p>
    <w:tbl>
      <w:tblPr>
        <w:tblStyle w:val="LightGrid-Accent1"/>
        <w:tblW w:type="auto" w:w="0"/>
        <w:jc w:val="center"/>
        <w:tblLook w:firstColumn="1" w:firstRow="1" w:lastColumn="0" w:lastRow="0" w:noHBand="0" w:noVBand="1" w:val="04A0"/>
      </w:tblPr>
      <w:tblGrid>
        <w:gridCol w:w="4561"/>
        <w:gridCol w:w="4561"/>
      </w:tblGrid>
      <w:tr>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Campo</w:t>
            </w:r>
          </w:p>
        </w:tc>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Contenido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Titulo de la tesis/estudio</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Analisis de la generacion hidroelectrica en la central hidroelectrica de Machupicchu aplicando metodos estocasticos y modelo de optimizacion</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Objetivo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Optimizar la generacion hidroelectrica de Machupicchu mediante metodos estocasticos y un modelo de optimizacion bajo incertidumbre hidrologica.</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Tipo de metodologia</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Modelado estocastico y optimizacion matematica aplicada a generacion renovable peruana.</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Diseno de investigacion</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t>Aplicada; tesis UNI; estudio de caso en generacion hidroelectrica.</w:t>
            </w:r>
            <w:r>
              <w:rPr>
                <w:rFonts w:ascii="Times New Roman" w:hAnsi="Times New Roman" w:cs="Times New Roman" w:eastAsia="Times New Roman"/>
                <w:b w:val="0"/>
                <w:i w:val="0"/>
                <w:color w:val="000000"/>
                <w:sz w:val="20"/>
              </w:rPr>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Resultados cuantitativos</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[PV] Mejoras de eficiencia operativa y asignacion de generacion respecto a escenarios base; magnitudes cuantitativas pendientes de extraccion del repositorio UNI.</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Conclusion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Los metodos estocasticos permiten decisiones mas robustas en generacion renovable bajo variabilidad hidrologica en el contexto peruano.</w:t>
            </w:r>
          </w:p>
        </w:tc>
      </w:tr>
      <w:tr>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Aporte para esta tesis</w:t>
            </w:r>
          </w:p>
        </w:tc>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Contextualiza optimizacion energetica nacional y variabilidad de recursos renovables aplicable al balance PV+diesel del SEAI Iquitos.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
      <w:pPr>
        <w:pStyle w:val="Heading4"/>
        <w:spacing w:line="480" w:lineRule="auto" w:before="0" w:after="0"/>
        <w:ind w:firstLine="720"/>
        <w:jc w:val="left"/>
      </w:pPr>
      <w:r>
        <w:rPr>
          <w:rFonts w:ascii="Times New Roman" w:hAnsi="Times New Roman" w:cs="Times New Roman" w:eastAsia="Times New Roman"/>
          <w:color w:val="000000"/>
          <w:sz w:val="24"/>
        </w:rPr>
        <w:t>Peñalva Sanchez (2024)</w:t>
      </w:r>
    </w:p>
    <w:p>
      <w:pPr>
        <w:spacing w:line="480" w:lineRule="auto" w:before="0" w:after="0"/>
        <w:ind w:firstLine="720"/>
        <w:jc w:val="both"/>
      </w:pPr>
      <w:r>
        <w:rPr>
          <w:rFonts w:ascii="Times New Roman" w:hAnsi="Times New Roman" w:cs="Times New Roman" w:eastAsia="Times New Roman"/>
          <w:b/>
          <w:color w:val="000000"/>
          <w:sz w:val="24"/>
        </w:rPr>
        <w:t>Ficha antecedente nacional — Peñalva Sanchez (2024).</w:t>
      </w:r>
    </w:p>
    <w:tbl>
      <w:tblPr>
        <w:tblStyle w:val="LightGrid-Accent1"/>
        <w:tblW w:type="auto" w:w="0"/>
        <w:jc w:val="center"/>
        <w:tblLook w:firstColumn="1" w:firstRow="1" w:lastColumn="0" w:lastRow="0" w:noHBand="0" w:noVBand="1" w:val="04A0"/>
      </w:tblPr>
      <w:tblGrid>
        <w:gridCol w:w="4561"/>
        <w:gridCol w:w="4561"/>
      </w:tblGrid>
      <w:tr>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Campo</w:t>
            </w:r>
          </w:p>
        </w:tc>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Contenido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Titulo de la tesis/estudio</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Optimizacion de un sistema fotovoltaico hibrido y la prediccion de la demanda energetica y variables climaticas utilizando la inteligencia artificial</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Objetivo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Optimizar un sistema fotovoltaico hibrido e integrar prediccion de demanda y variables climaticas mediante inteligencia artificial.</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Tipo de metodologia</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Modelado de sistema PV hibrido; aprendizaje automatico para pronostico de demanda y clima.</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Diseno de investigacion</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t>Aplicada; tesis UNI; estudio de caso con datos locales.</w:t>
            </w:r>
            <w:r>
              <w:rPr>
                <w:rFonts w:ascii="Times New Roman" w:hAnsi="Times New Roman" w:cs="Times New Roman" w:eastAsia="Times New Roman"/>
                <w:b w:val="0"/>
                <w:i w:val="0"/>
                <w:color w:val="000000"/>
                <w:sz w:val="20"/>
              </w:rPr>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Resultados cuantitativos</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[PV] Reduccion de error de prediccion de demanda y mejora de desempeno del sistema hibrido; valores numericos pendientes de verificacion en repositorio UNI.</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Conclusion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La IA mejora la operacion de sistemas PV hibridos al anticipar demanda y condiciones climaticas en contexto peruano.</w:t>
            </w:r>
          </w:p>
        </w:tc>
      </w:tr>
      <w:tr>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Aporte para esta tesis</w:t>
            </w:r>
          </w:p>
        </w:tc>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Sustenta el uso de datos climaticos y demanda reales (PVGIS/NASA POWER) en el dataset citylearn_iquitos_2023_2025 y la relevancia de prediccion para control flexible.</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
      <w:pPr>
        <w:pStyle w:val="Heading4"/>
        <w:spacing w:line="480" w:lineRule="auto" w:before="0" w:after="0"/>
        <w:ind w:firstLine="720"/>
        <w:jc w:val="left"/>
      </w:pPr>
      <w:r>
        <w:rPr>
          <w:rFonts w:ascii="Times New Roman" w:hAnsi="Times New Roman" w:cs="Times New Roman" w:eastAsia="Times New Roman"/>
          <w:color w:val="000000"/>
          <w:sz w:val="24"/>
        </w:rPr>
        <w:t>Rosero Bernal (2022)</w:t>
      </w:r>
    </w:p>
    <w:p>
      <w:pPr>
        <w:spacing w:line="480" w:lineRule="auto" w:before="0" w:after="0"/>
        <w:ind w:firstLine="720"/>
        <w:jc w:val="both"/>
      </w:pPr>
      <w:r>
        <w:rPr>
          <w:rFonts w:ascii="Times New Roman" w:hAnsi="Times New Roman" w:cs="Times New Roman" w:eastAsia="Times New Roman"/>
          <w:b/>
          <w:color w:val="000000"/>
          <w:sz w:val="24"/>
        </w:rPr>
        <w:t>Ficha antecedente nacional — Rosero Bernal (2022).</w:t>
      </w:r>
    </w:p>
    <w:tbl>
      <w:tblPr>
        <w:tblStyle w:val="LightGrid-Accent1"/>
        <w:tblW w:type="auto" w:w="0"/>
        <w:jc w:val="center"/>
        <w:tblLook w:firstColumn="1" w:firstRow="1" w:lastColumn="0" w:lastRow="0" w:noHBand="0" w:noVBand="1" w:val="04A0"/>
      </w:tblPr>
      <w:tblGrid>
        <w:gridCol w:w="4561"/>
        <w:gridCol w:w="4561"/>
      </w:tblGrid>
      <w:tr>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Campo</w:t>
            </w:r>
          </w:p>
        </w:tc>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Contenido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Titulo de la tesis/estudio</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Modelo de un sistema de administracion de energia autonomo operado desde la nube para optimizar la gestion de un grupo de microredes</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Objetivo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Disenar un sistema autonomo de administracion de energia en la nube para optimizar la gestion coordinada de un grupo de microredes.</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Tipo de metodologia</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Arquitectura de gestion energetica distribuida en la nube; optimizacion multi-microred.</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Diseno de investigacion</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t>Aplicada; tesis; estudio de caso en microredes.</w:t>
            </w:r>
            <w:r>
              <w:rPr>
                <w:rFonts w:ascii="Times New Roman" w:hAnsi="Times New Roman" w:cs="Times New Roman" w:eastAsia="Times New Roman"/>
                <w:b w:val="0"/>
                <w:i w:val="0"/>
                <w:color w:val="000000"/>
                <w:sz w:val="20"/>
              </w:rPr>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Resultados cuantitativos</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[PV] Mejoras de eficiencia energetica y coordinacion inter-microred respecto a operacion descentralizada sin orquestacion en la nube.</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Conclusion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La administracion autonoma en la nube mejora la coordinacion operativa de microredes heterogeneas.</w:t>
            </w:r>
          </w:p>
        </w:tc>
      </w:tr>
      <w:tr>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Aporte para esta tesis</w:t>
            </w:r>
          </w:p>
        </w:tc>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Paralelo latinoamericano de coordinacion multiagente en redes locales; informa la lectura CTDE del distrito SEAI como comunidad de 17 nodos energeticos.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
      <w:pPr>
        <w:pStyle w:val="Heading4"/>
        <w:spacing w:line="480" w:lineRule="auto" w:before="0" w:after="0"/>
        <w:ind w:firstLine="720"/>
        <w:jc w:val="left"/>
      </w:pPr>
      <w:r>
        <w:rPr>
          <w:rFonts w:ascii="Times New Roman" w:hAnsi="Times New Roman" w:cs="Times New Roman" w:eastAsia="Times New Roman"/>
          <w:color w:val="000000"/>
          <w:sz w:val="24"/>
        </w:rPr>
        <w:t>MINAM (2019)</w:t>
      </w:r>
    </w:p>
    <w:p>
      <w:pPr>
        <w:spacing w:line="480" w:lineRule="auto" w:before="0" w:after="0"/>
        <w:ind w:firstLine="720"/>
        <w:jc w:val="both"/>
      </w:pPr>
      <w:r>
        <w:rPr>
          <w:rFonts w:ascii="Times New Roman" w:hAnsi="Times New Roman" w:cs="Times New Roman" w:eastAsia="Times New Roman"/>
          <w:b/>
          <w:color w:val="000000"/>
          <w:sz w:val="24"/>
        </w:rPr>
        <w:t>Ficha antecedente nacional — MINAM (2019).</w:t>
      </w:r>
    </w:p>
    <w:tbl>
      <w:tblPr>
        <w:tblStyle w:val="LightGrid-Accent1"/>
        <w:tblW w:type="auto" w:w="0"/>
        <w:jc w:val="center"/>
        <w:tblLook w:firstColumn="1" w:firstRow="1" w:lastColumn="0" w:lastRow="0" w:noHBand="0" w:noVBand="1" w:val="04A0"/>
      </w:tblPr>
      <w:tblGrid>
        <w:gridCol w:w="4561"/>
        <w:gridCol w:w="4561"/>
      </w:tblGrid>
      <w:tr>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Campo</w:t>
            </w:r>
          </w:p>
        </w:tc>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Contenido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Titulo de la tesis/estudio</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INFOCARBONO — RAGEI 2019 Energia (factor de emision del sector electrico peruano)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Objetivo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Documentar factores de emision de gases de efecto invernadero del sector energetico peruano para contabilidad de carbono nacional.</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Tipo de metodologia</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Inventario nacional de emisiones; contabilidad de carbono por sector y tecnologia.</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Diseno de investigacion</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Descriptiva-documental; fuente regulatoria oficial del Estado peruano.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Resultados cuantitativos</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Factor de emision del sistema diesel aislado: 0,790 kgCO2/kWh (base para SEAI Iquitos); modulacion solar en tesis: CI(t) en rango 0,672-0,790 kgCO2/kWh.</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Conclusion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La contabilidad oficial peruana permite parametrizar control consciente de carbono en redes con alta dependencia de diesel.</w:t>
            </w:r>
          </w:p>
        </w:tc>
      </w:tr>
      <w:tr>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Aporte para esta tesis</w:t>
            </w:r>
          </w:p>
        </w:tc>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Fundamenta CarbonIntensityModel (A4) y el escenario E2 (D-VD.2) con factor MINAM aplicado al SEAI Iquitos.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
      <w:pPr>
        <w:pStyle w:val="Heading4"/>
        <w:spacing w:line="480" w:lineRule="auto" w:before="0" w:after="0"/>
        <w:ind w:firstLine="720"/>
        <w:jc w:val="left"/>
      </w:pPr>
      <w:r>
        <w:rPr>
          <w:rFonts w:ascii="Times New Roman" w:hAnsi="Times New Roman" w:cs="Times New Roman" w:eastAsia="Times New Roman"/>
          <w:color w:val="000000"/>
          <w:sz w:val="24"/>
        </w:rPr>
        <w:t>OSINERGMIN (2024)</w:t>
      </w:r>
    </w:p>
    <w:p>
      <w:pPr>
        <w:spacing w:line="480" w:lineRule="auto" w:before="0" w:after="0"/>
        <w:ind w:firstLine="720"/>
        <w:jc w:val="both"/>
      </w:pPr>
      <w:r>
        <w:rPr>
          <w:rFonts w:ascii="Times New Roman" w:hAnsi="Times New Roman" w:cs="Times New Roman" w:eastAsia="Times New Roman"/>
          <w:b/>
          <w:color w:val="000000"/>
          <w:sz w:val="24"/>
        </w:rPr>
        <w:t>Ficha antecedente nacional — OSINERGMIN (2024).</w:t>
      </w:r>
    </w:p>
    <w:tbl>
      <w:tblPr>
        <w:tblStyle w:val="LightGrid-Accent1"/>
        <w:tblW w:type="auto" w:w="0"/>
        <w:jc w:val="center"/>
        <w:tblLook w:firstColumn="1" w:firstRow="1" w:lastColumn="0" w:lastRow="0" w:noHBand="0" w:noVBand="1" w:val="04A0"/>
      </w:tblPr>
      <w:tblGrid>
        <w:gridCol w:w="4561"/>
        <w:gridCol w:w="4561"/>
      </w:tblGrid>
      <w:tr>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Campo</w:t>
            </w:r>
          </w:p>
        </w:tc>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Contenido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Titulo de la tesis/estudio</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Resolucion de Consejo Directivo N. 0024-2024-OS/CD — Tarifas de distribucion electrica MT-3/MT-4, Electro Oriente S.A.</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Objetivo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Establecer tarifas de distribucion electrica y estructura de facturacion por demanda maxima para usuarios MT-3/MT-4 de Electro Oriente S.A. (Loreto).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Tipo de metodologia</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Marco regulatorio tarifario; analisis de cargos por energia y demanda maxima.</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Diseno de investigacion</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Normativa aplicada; estudio de caso regulatorio en red de distribucion Loreto.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Resultados cuantitativos</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Estructura TOU y cargo por demanda maxima en ventanas de facturacion (15 min); tarifas punta/fuera punta usadas en escenario E3 de la tesis.</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Conclusion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La regulacion peruana vincula costos energeticos a picos facturables, haciendo necesaria la coordinacion distrital de flexibilidad.</w:t>
            </w:r>
          </w:p>
        </w:tc>
      </w:tr>
      <w:tr>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Aporte para esta tesis</w:t>
            </w:r>
          </w:p>
        </w:tc>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Justifica KPI de pico con ventana OSINERGMIN (A3) y el escenario E3 (D-VD.3 costos) con senales TOU locales de Iquitos.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
      <w:pPr>
        <w:pStyle w:val="Heading3"/>
        <w:spacing w:line="480" w:lineRule="auto" w:before="0" w:after="0"/>
        <w:jc w:val="left"/>
      </w:pPr>
      <w:r>
        <w:rPr>
          <w:rFonts w:ascii="Times New Roman" w:hAnsi="Times New Roman" w:cs="Times New Roman" w:eastAsia="Times New Roman"/>
          <w:color w:val="000000"/>
          <w:sz w:val="24"/>
        </w:rPr>
        <w:t>2.5.3 Sintesis critica de antecedentes y brecha cientifica</w:t>
      </w:r>
    </w:p>
    <w:p>
      <w:pPr>
        <w:spacing w:after="0" w:line="480" w:lineRule="auto" w:before="0"/>
        <w:ind w:firstLine="720"/>
        <w:jc w:val="both"/>
      </w:pPr>
      <w:r>
        <w:rPr>
          <w:rFonts w:ascii="Times New Roman" w:hAnsi="Times New Roman" w:cs="Times New Roman" w:eastAsia="Times New Roman"/>
          <w:color w:val="000000"/>
          <w:sz w:val="24"/>
        </w:rPr>
        <w:t>La revision muestra cinco patrones. Primero, CityLearn proporciona un entorno estandarizado, pero no resuelve por si mismo la comparacion entre HAPPO, MASAC, MATD3 y MAAC. Segundo, los estudios de flexibilidad muestran beneficios de control aprendido, pero frecuentemente se concentran en pico o autoconsumo. Tercero, los estudios de carbono muestran utilidad de senales CI, pero rara vez se integran con costo y flexibilidad en un unico diseno factorial. Cuarto, la literatura de costos evidencia la importancia de precios y BESS, pero no siempre considera emisiones. Quinto, los algoritmos MADRL tienen fundamentos distintos, por lo que comparar solo resultados agregados sin control metodologico puede inducir conclusiones debiles.</w:t>
      </w:r>
    </w:p>
    <w:p>
      <w:pPr>
        <w:spacing w:after="0" w:line="480" w:lineRule="auto" w:before="0"/>
        <w:ind w:firstLine="720"/>
        <w:jc w:val="both"/>
      </w:pPr>
      <w:r>
        <w:rPr>
          <w:rFonts w:ascii="Times New Roman" w:hAnsi="Times New Roman" w:cs="Times New Roman" w:eastAsia="Times New Roman"/>
          <w:color w:val="000000"/>
          <w:sz w:val="24"/>
        </w:rPr>
        <w:t>La brecha que sostiene esta tesis es metodologica y experimental: falta una evaluacion comparativa, reproducible y multiobjetivo de HAPPO, MASAC, MATD3 y MAAC en una comunidad inteligente realista de 17 edificios, bajo Dec-POMDP, CTDE, dataset comun, recompensa unificada y resultados trazables por distrito, edificio, escenario, KPIs y checkpoints. Esta brecha justifica la variable independiente, la variable dependiente y la matriz de operacionalizacion (Tabla 2.1 y Capitulo 3, Seccion 3.4).</w:t>
      </w:r>
    </w:p>
    <w:p>
      <w:pPr>
        <w:pStyle w:val="Heading2"/>
        <w:spacing w:line="480" w:lineRule="auto" w:before="0" w:after="0"/>
        <w:jc w:val="left"/>
      </w:pPr>
      <w:r>
        <w:rPr>
          <w:rFonts w:ascii="Times New Roman" w:hAnsi="Times New Roman" w:cs="Times New Roman" w:eastAsia="Times New Roman"/>
          <w:color w:val="000000"/>
          <w:sz w:val="24"/>
        </w:rPr>
        <w:t>2.5 Definicion de terminos y posicion teorica</w:t>
      </w:r>
    </w:p>
    <w:p>
      <w:pPr>
        <w:pStyle w:val="Heading3"/>
        <w:spacing w:line="480" w:lineRule="auto" w:before="0" w:after="0"/>
        <w:jc w:val="left"/>
      </w:pPr>
      <w:r>
        <w:rPr>
          <w:rFonts w:ascii="Times New Roman" w:hAnsi="Times New Roman" w:cs="Times New Roman" w:eastAsia="Times New Roman"/>
          <w:color w:val="000000"/>
          <w:sz w:val="24"/>
        </w:rPr>
        <w:t>2.6.1 Definicion de terminos y delimitaciones conceptuales</w:t>
      </w:r>
    </w:p>
    <w:p>
      <w:pPr>
        <w:spacing w:after="0" w:line="480" w:lineRule="auto" w:before="0"/>
        <w:ind w:firstLine="720"/>
        <w:jc w:val="both"/>
      </w:pPr>
      <w:r>
        <w:rPr>
          <w:rFonts w:ascii="Times New Roman" w:hAnsi="Times New Roman" w:cs="Times New Roman" w:eastAsia="Times New Roman"/>
          <w:color w:val="000000"/>
          <w:sz w:val="24"/>
        </w:rPr>
        <w:t>MADRL: aprendizaje por refuerzo profundo multiagente, donde multiples agentes aprenden politicas mediante redes neuronales y senales de recompensa. En esta tesis se usa MADRL para referirse a HAPPO, MASAC, MATD3 y MAAC bajo formulacion cooperativa. No se sustituye por MARL salvo cuando aparece como parte del nombre propio de una referencia, repositorio o biblioteca.</w:t>
      </w:r>
    </w:p>
    <w:p>
      <w:pPr>
        <w:spacing w:after="0" w:line="480" w:lineRule="auto" w:before="0"/>
        <w:ind w:firstLine="720"/>
        <w:jc w:val="both"/>
      </w:pPr>
      <w:r>
        <w:rPr>
          <w:rFonts w:ascii="Times New Roman" w:hAnsi="Times New Roman" w:cs="Times New Roman" w:eastAsia="Times New Roman"/>
          <w:color w:val="000000"/>
          <w:sz w:val="24"/>
        </w:rPr>
        <w:t>CityLearn v2: entorno base oficial de simulacion para comunidades energeticas grid-interactive, con KPIs de energia, carbono y costo. CityLearn v3 propuesto: extension experimental de esta tesis, implementada localmente para Dec-POMDP, CTDE, recompensa multiobjetivo, wrappers MADRL y artefactos reproducibles. Esta distincion es obligatoria para no atribuir al paquete oficial una funcionalidad propia del proyecto.</w:t>
      </w:r>
    </w:p>
    <w:p>
      <w:pPr>
        <w:spacing w:after="0" w:line="480" w:lineRule="auto" w:before="0"/>
        <w:ind w:firstLine="720"/>
        <w:jc w:val="both"/>
      </w:pPr>
      <w:r>
        <w:rPr>
          <w:rFonts w:ascii="Times New Roman" w:hAnsi="Times New Roman" w:cs="Times New Roman" w:eastAsia="Times New Roman"/>
          <w:color w:val="000000"/>
          <w:sz w:val="24"/>
        </w:rPr>
        <w:t>Tratamiento experimental: combinacion de un nivel D-VI.1 algoritmo y un nivel D-VI.2 escenario. El diseno factorial completo tiene 12 tratamientos. Distrito: agregacion de los 17 edificios para medir efecto comunitario. Edificio: agente individual con observacion local y acciones propias. Equipo controlado: variable de accion sobre BESS, EV o carga desplazable. Carga no controlada: demanda base observada o de referencia que no es actuada directamente por el agente.</w:t>
      </w:r>
    </w:p>
    <w:p>
      <w:pPr>
        <w:spacing w:after="0" w:line="480" w:lineRule="auto" w:before="0"/>
        <w:ind w:firstLine="720"/>
        <w:jc w:val="both"/>
      </w:pPr>
      <w:r>
        <w:rPr>
          <w:rFonts w:ascii="Times New Roman" w:hAnsi="Times New Roman" w:cs="Times New Roman" w:eastAsia="Times New Roman"/>
          <w:color w:val="000000"/>
          <w:sz w:val="24"/>
        </w:rPr>
        <w:t>KPI: indicador cuantitativo usado para medir la variable dependiente. Los KPIs no son adornos del resultado; son la operacionalizacion de D-VD.1, D-VD.2 y D-VD.3. Por ello, toda grafica o tabla del Capitulo 5 debe indicar si corresponde a flexibilidad, carbono, costo, distrito, edificio, escenario o reproducibilidad de modelo.</w:t>
      </w:r>
    </w:p>
    <w:p>
      <w:pPr>
        <w:pStyle w:val="Heading3"/>
        <w:spacing w:line="480" w:lineRule="auto" w:before="0" w:after="0"/>
        <w:jc w:val="left"/>
      </w:pPr>
      <w:r>
        <w:rPr>
          <w:rFonts w:ascii="Times New Roman" w:hAnsi="Times New Roman" w:cs="Times New Roman" w:eastAsia="Times New Roman"/>
          <w:color w:val="000000"/>
          <w:sz w:val="24"/>
        </w:rPr>
        <w:t>2.6.2 Posicion teorica de la tesis</w:t>
      </w:r>
    </w:p>
    <w:p>
      <w:pPr>
        <w:spacing w:after="0" w:line="480" w:lineRule="auto" w:before="0"/>
        <w:ind w:firstLine="720"/>
        <w:jc w:val="both"/>
      </w:pPr>
      <w:r>
        <w:rPr>
          <w:rFonts w:ascii="Times New Roman" w:hAnsi="Times New Roman" w:cs="Times New Roman"/>
          <w:b w:val="0"/>
          <w:sz w:val="24"/>
        </w:rPr>
        <w:t>La posicion teorica adoptada es que una comunidad inteligente con recursos DER heterogeneos debe modelarse como un sistema multiagente parcialmente observable y no como un problema de control centralizado unico. El criterio de calidad no es solo minimizar un KPI, sino producir desempeno coordinado medible en tres dimensiones por eje (Tabla 2.1). Esta posicion combina la teoria Dec-POMDP de Oliehoek y Amato (2016), el paradigma CTDE de Lowe et al. (2017), la estandarizacion de CityLearn de Vázquez-Canteli et al. (2020) y Nweye et al. (2024), y la literatura de gestion energetica multiobjetivo.</w:t>
      </w:r>
    </w:p>
    <w:p>
      <w:pPr>
        <w:spacing w:after="0" w:line="480" w:lineRule="auto" w:before="0"/>
        <w:ind w:firstLine="720"/>
        <w:jc w:val="both"/>
      </w:pPr>
      <w:r>
        <w:rPr>
          <w:rFonts w:ascii="Times New Roman" w:hAnsi="Times New Roman" w:cs="Times New Roman" w:eastAsia="Times New Roman"/>
          <w:color w:val="000000"/>
          <w:sz w:val="24"/>
        </w:rPr>
        <w:t>Desde esta posicion, el Capitulo 5 debe interpretar los resultados con tres reglas. Primero, no hay superioridad universal sin declarar escenario, KPI y escala. Segundo, un resultado distrital no reemplaza la evidencia por edificio. Tercero, un algoritmo con artefactos incompletos no debe usarse para comparaciones donde falten archivos. Estas reglas derivan directamente del marco teorico y evitan conclusiones no sustentadas.</w:t>
      </w:r>
    </w:p>
    <w:p>
      <w:pPr>
        <w:pStyle w:val="Heading2"/>
        <w:spacing w:line="480" w:lineRule="auto" w:before="0" w:after="0"/>
        <w:jc w:val="left"/>
      </w:pPr>
      <w:r>
        <w:rPr>
          <w:rFonts w:ascii="Times New Roman" w:hAnsi="Times New Roman" w:cs="Times New Roman" w:eastAsia="Times New Roman"/>
          <w:color w:val="000000"/>
          <w:sz w:val="24"/>
        </w:rPr>
        <w:t>2.7 Sintesis critica y triangulacion del marco teorico</w:t>
      </w:r>
    </w:p>
    <w:p>
      <w:pPr>
        <w:spacing w:before="0" w:after="0" w:line="480" w:lineRule="auto"/>
        <w:ind w:firstLine="720"/>
        <w:jc w:val="both"/>
      </w:pPr>
      <w:r>
        <w:rPr>
          <w:rFonts w:ascii="Times New Roman" w:hAnsi="Times New Roman" w:cs="Times New Roman"/>
          <w:b w:val="0"/>
          <w:sz w:val="24"/>
        </w:rPr>
        <w:t>El marco teorico contiene estado del arte, bases teoricas, trabajos relacionados, definicion de variables y posicion teorica. La triangulacion central se organiza en tres capas. Primero, CityLearn aporta el marco de evaluacion reproducible para comunidades de edificios y demanda flexible; CityLearn v2 agrega objetivos de flexibilidad, resiliencia, ocupacion y carbono; EVLearn extiende el mismo ecosistema a vehiculos electricos y estrategias V1G/V2G (Vázquez-Canteli et al., 2020; Nweye et al., 2024; Fonseca et al., 2024). Segundo, la teoria MADRL fundamenta la ejecucion descentralizada con entrenamiento centralizado: MAAC introduce criticos con atencion para seleccionar interacciones relevantes entre agentes, HAPPO extiende optimizacion de region de confianza a agentes heterogeneos, SAC/MASAC aporta exploracion por maxima entropia y TD3/MATD3 controla sesgo de sobreestimacion con criticos dobles y actualizaciones retrasadas (Iqbal &amp; Sha, 2019; Kuba et al., 2021; Haarnoja et al., 2018; Fujimoto et al., 2018). Tercero, la literatura de evaluacion de RL advierte que una comparacion algoritmica debe acompanar los promedios con dispersion, pruebas estadisticas y trazabilidad experimental (Henderson et al., 2018; Agarwal et al., 2021).</w:t>
      </w:r>
    </w:p>
    <w:p>
      <w:pPr>
        <w:spacing w:before="0" w:after="0" w:line="480" w:lineRule="auto"/>
        <w:ind w:firstLine="720"/>
        <w:jc w:val="both"/>
      </w:pPr>
      <w:r>
        <w:rPr>
          <w:rFonts w:ascii="Times New Roman" w:hAnsi="Times New Roman" w:cs="Times New Roman" w:eastAsia="Times New Roman"/>
          <w:color w:val="000000"/>
          <w:sz w:val="24"/>
        </w:rPr>
        <w:t>La principal mejora incorporada al Capitulo 2 consiste en separar el soporte teorico de cada decision metodologica. El Dec-POMDP no se presenta como formalismo decorativo, sino como condicion necesaria para representar 17 agentes con observacion parcial, acciones heterogeneas, recompensa cooperativa y horizonte anual. La funcion de recompensa multiobjetivo se sustenta en la literatura de control de comunidades energeticas, pero se interpreta dentro de CityLearn v2 para evitar que flexibilidad, emisiones y costos sean confundidos como una unica variable latente. Esta posicion teorica permite que el Capitulo 5 lea resultados por escenario y no solo por algoritmo.</w:t>
      </w:r>
    </w:p>
    <w:p>
      <w:pPr>
        <w:pStyle w:val="TablaIndice"/>
        <w:spacing w:before="0" w:after="0" w:line="480" w:lineRule="auto"/>
        <w:jc w:val="left"/>
      </w:pPr>
      <w:r>
        <w:rPr>
          <w:rFonts w:ascii="Times New Roman" w:hAnsi="Times New Roman" w:cs="Times New Roman" w:eastAsia="Times New Roman"/>
          <w:b/>
          <w:i w:val="0"/>
          <w:color w:val="000000"/>
          <w:sz w:val="24"/>
        </w:rPr>
        <w:t>Tabla 2.6</w:t>
        <w:br/>
      </w:r>
      <w:r>
        <w:rPr>
          <w:rFonts w:ascii="Times New Roman" w:hAnsi="Times New Roman" w:cs="Times New Roman" w:eastAsia="Times New Roman"/>
          <w:b w:val="0"/>
          <w:i/>
          <w:color w:val="000000"/>
          <w:sz w:val="24"/>
        </w:rPr>
        <w:t>Triangulacion teorica por eje de la tesis</w:t>
      </w:r>
    </w:p>
    <w:tbl>
      <w:tblPr>
        <w:tblW w:type="auto" w:w="0"/>
        <w:jc w:val="center"/>
        <w:tblLook w:firstColumn="1" w:firstRow="1" w:lastColumn="0" w:lastRow="0" w:noHBand="0" w:noVBand="1" w:val="04A0"/>
      </w:tblPr>
      <w:tblGrid>
        <w:gridCol w:w="2880"/>
        <w:gridCol w:w="2880"/>
        <w:gridCol w:w="2880"/>
      </w:tblGrid>
      <w:tr>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Eje</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Fuentes trianguladas</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Uso en la tesis</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Entorno y KPIs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 v1/v2; CityLearn Challenge; EVLearn</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Justifica benchmark, KPIs evaluate_v2 y control de EV/BESS.</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MADRL</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 HAPPO; SAC; TD3</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Justifica comparacion de familias actor-critic multiagente.</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Evaluacion rigurosa</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Henderson et al.; Agarwal et al.</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Justifica pruebas no parametricas y cautela ante una sola corrida.</w:t>
            </w:r>
          </w:p>
        </w:tc>
      </w:tr>
      <w:tr>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Variables</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Flexibilidad, CO2 y costo en comunidades grid-interactive</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Sostiene D-VD.1, D-VD.2 y D-VD.3.</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organizacion conceptual del marco teorico y de las variables de investigacion. Fuente: Elaboracion propia a partir de la literatura citada en el Capitulo 2.</w:t>
      </w:r>
    </w:p>
    <w:p/>
    <w:p>
      <w:r>
        <w:br w:type="page"/>
      </w:r>
    </w:p>
    <w:p>
      <w:pPr>
        <w:pStyle w:val="Heading1"/>
        <w:spacing w:line="480" w:lineRule="auto" w:before="0" w:after="0"/>
        <w:jc w:val="center"/>
      </w:pPr>
      <w:r>
        <w:rPr>
          <w:rFonts w:ascii="Times New Roman" w:hAnsi="Times New Roman" w:cs="Times New Roman" w:eastAsia="Times New Roman"/>
          <w:color w:val="000000"/>
          <w:sz w:val="24"/>
        </w:rPr>
        <w:t>Capitulo 3. Metodologia</w:t>
      </w:r>
    </w:p>
    <w:p>
      <w:pPr>
        <w:spacing w:before="0" w:after="0" w:line="480" w:lineRule="auto"/>
        <w:ind w:firstLine="720"/>
        <w:jc w:val="both"/>
      </w:pPr>
      <w:r>
        <w:rPr>
          <w:rFonts w:ascii="Times New Roman" w:hAnsi="Times New Roman" w:cs="Times New Roman" w:eastAsia="Times New Roman"/>
          <w:color w:val="000000"/>
          <w:sz w:val="24"/>
        </w:rPr>
        <w:t>El presente estudio adopta una metodologia cuantitativa, aplicada y explicativa-comparativa, sustentada en simulacion computacional controlada. Esta decision responde a la naturaleza del problema de tesis: evaluar en que medida distintos algoritmos MADRL modifican indicadores cuantificables de flexibilidad energetica, emisiones de CO2 y costos energeticos en una comunidad electrica modelada bajo CityLearn. De acuerdo con Hernandez-Sampieri y Mendoza (2018), la ruta cuantitativa se caracteriza por la medicion de variables, el uso de procedimientos sistematicos y la contrastacion de hipotesis; Creswell y Creswell (2023) enfatizan que los disenos cuantitativos permiten examinar relaciones entre variables mediante mediciones numericas y analisis estadistico. En esta tesis, la variable independiente se manipula computacionalmente mediante el algoritmo MADRL y el escenario de recompensa, mientras que la variable dependiente se observa mediante KPIs oficiales y resultados episodicos.</w:t>
      </w:r>
    </w:p>
    <w:p>
      <w:pPr>
        <w:pStyle w:val="Heading2"/>
        <w:spacing w:line="480" w:lineRule="auto" w:before="0" w:after="0"/>
        <w:jc w:val="left"/>
      </w:pPr>
      <w:r>
        <w:rPr>
          <w:rFonts w:ascii="Times New Roman" w:hAnsi="Times New Roman" w:cs="Times New Roman" w:eastAsia="Times New Roman"/>
          <w:color w:val="000000"/>
          <w:sz w:val="24"/>
        </w:rPr>
        <w:t>3.1 Enfoque, tipo, nivel y diseno de investigacion</w:t>
      </w:r>
    </w:p>
    <w:p>
      <w:pPr>
        <w:spacing w:before="0" w:after="0" w:line="480" w:lineRule="auto"/>
        <w:ind w:firstLine="720"/>
        <w:jc w:val="both"/>
      </w:pPr>
      <w:r>
        <w:rPr>
          <w:rFonts w:ascii="Times New Roman" w:hAnsi="Times New Roman" w:cs="Times New Roman"/>
          <w:b w:val="0"/>
          <w:i w:val="0"/>
          <w:sz w:val="24"/>
        </w:rPr>
        <w:t>La investigacion es aplicada porque desarrolla y evalua una solucion computacional para gestion energetica multiagente en una comunidad del SEAI Iquitos. Es cuantitativa porque los resultados se expresan en metricas numericas: recompensa, costo, emisiones, pico, rampa, factor de carga, energia de almacenamiento, exito EV y KPIs evaluate_v2. Es explicativa-comparativa porque no se limita a describir los algoritmos; contrasta si la variacion de la variable independiente produce efectos diferenciados sobre las dimensiones D-VD.1, D-VD.2 y D-VD.3. Esta clasificacion es coherente con los criterios de alcance y diseno propuestos por Hernandez-Sampieri y Mendoza (2018), con la logica de diseno cuantitativo de Creswell y Creswell (2023), y con la tradicion de disecuasiexperimental orientado a factores, tratamientos y respuestas descrita por Montgomery (2019).</w:t>
      </w:r>
    </w:p>
    <w:p>
      <w:pPr>
        <w:spacing w:before="0" w:after="0" w:line="480" w:lineRule="auto"/>
        <w:ind w:firstLine="720"/>
        <w:jc w:val="both"/>
      </w:pPr>
      <w:r>
        <w:rPr>
          <w:rFonts w:ascii="Times New Roman" w:hAnsi="Times New Roman" w:cs="Times New Roman"/>
          <w:b w:val="0"/>
          <w:i w:val="0"/>
          <w:sz w:val="24"/>
        </w:rPr>
        <w:t>El diseño no se considera cuasiexperimental en sentido estricto, porque sí existe manipulación controlada de factores dentro del entorno de simulación: algoritmo MADRL y escenario de recompensa. Tampoco corresponde a un experimento de campo con sujetos humanos, sino a un cuasiexperimento computacional in silico (sin aleatorización de unidades naturales). Por ello, se define como diseño cuasiexperimental factorial 4×3, con control de dataset, entorno, recompensa, horizonte temporal, agentes y protocolo de evaluación. La inferencia es intra-corrida y se interpreta con cautela (Shadish, Cook y Campbell, 2002): la validez externa queda limitada por la ausencia de múltiples semillas independientes. Métricas primarias: KPIs y recompensa; accuracy/F1 no son centrales.</w:t>
      </w:r>
    </w:p>
    <w:p>
      <w:pPr>
        <w:pStyle w:val="TablaIndice"/>
        <w:spacing w:before="0" w:after="0" w:line="480" w:lineRule="auto"/>
        <w:jc w:val="left"/>
      </w:pPr>
      <w:r>
        <w:rPr>
          <w:rFonts w:ascii="Times New Roman" w:hAnsi="Times New Roman" w:cs="Times New Roman" w:eastAsia="Times New Roman"/>
          <w:b/>
          <w:i w:val="0"/>
          <w:color w:val="000000"/>
          <w:sz w:val="24"/>
        </w:rPr>
        <w:t>Tabla 3.1</w:t>
        <w:br/>
      </w:r>
      <w:r>
        <w:rPr>
          <w:rFonts w:ascii="Times New Roman" w:hAnsi="Times New Roman" w:cs="Times New Roman" w:eastAsia="Times New Roman"/>
          <w:b w:val="0"/>
          <w:i/>
          <w:color w:val="000000"/>
          <w:sz w:val="24"/>
        </w:rPr>
        <w:t>Clasificacion metodologica de la investigacion</w:t>
      </w:r>
    </w:p>
    <w:tbl>
      <w:tblPr>
        <w:tblW w:type="auto" w:w="0"/>
        <w:jc w:val="center"/>
        <w:tblLook w:firstColumn="1" w:firstRow="1" w:lastColumn="0" w:lastRow="0" w:noHBand="0" w:noVBand="1" w:val="04A0"/>
      </w:tblPr>
      <w:tblGrid>
        <w:gridCol w:w="2880"/>
        <w:gridCol w:w="2880"/>
        <w:gridCol w:w="2880"/>
      </w:tblGrid>
      <w:tr>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Criterio</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Decision metodologica</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Sustento</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Enfoque</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Cuantitativo</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Medicion numerica de KPIs y contrastacion estadistica.</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Tipo</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Aplicada</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Desarrollo y evaluacion de una propuesta MADRL para gestion energetica.</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Nivel</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Explicativo-comparativo</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Evalua efecto de algoritmos y escenarios sobre dimensiones VD.</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Diseno</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Experimental-computacional factorial 4x3</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Manipulacion controlada de algoritmo y escenario en simulacion.</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Temporalidad</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Longitudinal por episodios y horizonte anual horario</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Cada episodio recorre una trayectoria anual de 8760 pasos.</w:t>
            </w:r>
          </w:p>
        </w:tc>
      </w:tr>
      <w:tr>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Inferencia</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Intra-corrida con limitacion multi-semilla</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No se generaliza mas alla de los artefactos auditados.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el diseno metodologico, las variables, herramientas, datos y procedimiento experimental. Fuente: Elaboracion propia a partir del proyecto local, scripts de metodologia, dataset citylearn_iquitos_2023_2025 y artefactos Drive de entrenamiento.</w:t>
      </w:r>
    </w:p>
    <w:p/>
    <w:p>
      <w:pPr>
        <w:pStyle w:val="Heading2"/>
        <w:spacing w:line="480" w:lineRule="auto" w:before="0" w:after="0"/>
        <w:jc w:val="left"/>
      </w:pPr>
      <w:r>
        <w:rPr>
          <w:rFonts w:ascii="Times New Roman" w:hAnsi="Times New Roman" w:cs="Times New Roman"/>
          <w:b w:val="0"/>
          <w:sz w:val="24"/>
        </w:rPr>
        <w:t>3.2 Diseno cuasiexperimental (simulación controlada) factorial 4x3</w:t>
      </w:r>
    </w:p>
    <w:p>
      <w:pPr>
        <w:spacing w:before="0" w:after="0" w:line="480" w:lineRule="auto"/>
        <w:ind w:firstLine="720"/>
        <w:jc w:val="both"/>
      </w:pPr>
      <w:r>
        <w:rPr>
          <w:rFonts w:ascii="Times New Roman" w:hAnsi="Times New Roman" w:cs="Times New Roman" w:eastAsia="Times New Roman"/>
          <w:color w:val="000000"/>
          <w:sz w:val="24"/>
        </w:rPr>
        <w:t>El diseno factorial se compone de dos factores principales. El primer factor es el algoritmo MADRL, con cuatro niveles: HAPPO, MAAC, MASAC y MATD3. El segundo factor es el escenario de recompensa, con tres niveles: E1 orientado a flexibilidad, E2 orientado a emisiones de CO2 y E3 orientado a costos energeticos. La combinacion genera 12 tratamientos algoritmo x escenario. Montgomery (2019) sostiene que los disenos factoriales permiten estudiar efectos de factores bajo condiciones controladas; en esta tesis, el control se materializa en el mismo dataset, el mismo entorno CityLearn, la misma comunidad de 17 edificios, el mismo horizonte de evaluacion y la misma familia de KPIs.</w:t>
      </w:r>
    </w:p>
    <w:p>
      <w:pPr>
        <w:spacing w:before="0" w:after="0" w:line="480" w:lineRule="auto"/>
        <w:ind w:firstLine="720"/>
        <w:jc w:val="both"/>
      </w:pPr>
      <w:r>
        <w:rPr>
          <w:rFonts w:ascii="Times New Roman" w:hAnsi="Times New Roman" w:cs="Times New Roman" w:eastAsia="Times New Roman"/>
          <w:color w:val="000000"/>
          <w:sz w:val="24"/>
        </w:rPr>
        <w:t>La unidad experimental principal es el tratamiento algoritmo-escenario. La unidad de observacion episodica es el episodio conservado en los artefactos de Drive, y la unidad de observacion espacial es el edificio-agente. Esta doble lectura permite responder los objetivos en tres escalas: distrito, edificio y politica multiagente. Para la inferencia estadistica se usan los episodios materializados: MAAC, MASAC y MATD3 conservan cobertura completa en los tres escenarios; HAPPO registra entrenamiento completado, pero conserva 49 filas episodicas por escenario en el CSV materializado, por lo que se reporta como evidencia descriptiva y no como grupo inferencial completo.</w:t>
      </w:r>
    </w:p>
    <w:p>
      <w:pPr>
        <w:pStyle w:val="TablaIndice"/>
        <w:spacing w:before="0" w:after="0" w:line="480" w:lineRule="auto"/>
        <w:jc w:val="left"/>
      </w:pPr>
      <w:r>
        <w:rPr>
          <w:rFonts w:ascii="Times New Roman" w:hAnsi="Times New Roman" w:cs="Times New Roman" w:eastAsia="Times New Roman"/>
          <w:b/>
          <w:i w:val="0"/>
          <w:color w:val="000000"/>
          <w:sz w:val="24"/>
        </w:rPr>
        <w:t>Tabla 3.2</w:t>
        <w:br/>
      </w:r>
      <w:r>
        <w:rPr>
          <w:rFonts w:ascii="Times New Roman" w:hAnsi="Times New Roman" w:cs="Times New Roman" w:eastAsia="Times New Roman"/>
          <w:b w:val="0"/>
          <w:i/>
          <w:color w:val="000000"/>
          <w:sz w:val="24"/>
        </w:rPr>
        <w:t>Matriz factorial 4x3 de tratamientos experimentales</w:t>
      </w:r>
    </w:p>
    <w:tbl>
      <w:tblPr>
        <w:tblW w:type="auto" w:w="0"/>
        <w:jc w:val="center"/>
        <w:tblLook w:firstColumn="1" w:firstRow="1" w:lastColumn="0" w:lastRow="0" w:noHBand="0" w:noVBand="1" w:val="04A0"/>
      </w:tblPr>
      <w:tblGrid>
        <w:gridCol w:w="2880"/>
        <w:gridCol w:w="2880"/>
        <w:gridCol w:w="2880"/>
      </w:tblGrid>
      <w:tr>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Factor</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Niveles</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Funcion metodologica</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Algoritmo MADRL</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 MAAC, MASAC, MATD3</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Variable independiente principal; compara familias actor-critic multiagente.</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Escenario de recompensa</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 E2, E3</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Manipulacion de prioridad multiobjetivo: flexibilidad, CO2 y costo.</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Tratamientos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12 combinaciones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Base de comparacion para resultados por objetivo especifico.</w:t>
            </w:r>
          </w:p>
        </w:tc>
      </w:tr>
      <w:tr>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Horizonte</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50 episodios registrados por tratamiento</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Evidencia de entrenamiento Drive; se declara cobertura materializada por algoritmo.</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el diseno metodologico, las variables, herramientas, datos y procedimiento experimental. Fuente: Elaboracion propia a partir del proyecto local, scripts de metodologia, dataset citylearn_iquitos_2023_2025 y artefactos Drive de entrenamiento.</w:t>
      </w:r>
    </w:p>
    <w:p/>
    <w:p>
      <w:pPr>
        <w:pStyle w:val="Heading2"/>
        <w:spacing w:line="480" w:lineRule="auto" w:before="0" w:after="0"/>
        <w:jc w:val="left"/>
      </w:pPr>
      <w:r>
        <w:rPr>
          <w:rFonts w:ascii="Times New Roman" w:hAnsi="Times New Roman" w:cs="Times New Roman" w:eastAsia="Times New Roman"/>
          <w:color w:val="000000"/>
          <w:sz w:val="24"/>
        </w:rPr>
        <w:t>3.3 Datos utilizados y fuente empirica</w:t>
      </w:r>
    </w:p>
    <w:p>
      <w:pPr>
        <w:spacing w:before="0" w:after="0" w:line="480" w:lineRule="auto"/>
        <w:ind w:firstLine="720"/>
        <w:jc w:val="both"/>
      </w:pPr>
      <w:r>
        <w:rPr>
          <w:rFonts w:ascii="Times New Roman" w:hAnsi="Times New Roman" w:cs="Times New Roman" w:eastAsia="Times New Roman"/>
          <w:color w:val="000000"/>
          <w:sz w:val="24"/>
        </w:rPr>
        <w:t>Los datos utilizados corresponden al dataset citylearn_iquitos_2023_2025 y a la corrida canonica Drive madrl_v3_20260627_164047. La tesis no incorpora datos simulados manualmente fuera del pipeline; usa artefactos generados por scripts del proyecto y resultados auditables: results.json, training_summary.json, timeseries.csv, trace.csv, building_kpis.csv, building_behavior_summary.csv, building_observation_action_schema.csv y checkpoint_manifest.json. La fuente empirica combina meteorologia, demanda, PV, BESS, EV, precios, intensidad de carbono y KPIs CityLearn. Esta trazabilidad responde a la exigencia metodologica de reproducibilidad y control de medicion que Hernandez-Sampieri y Mendoza (2018) y Creswell y Creswell (2023) asocian con la ruta cuantitativa.</w:t>
      </w:r>
    </w:p>
    <w:p>
      <w:pPr>
        <w:spacing w:before="0" w:after="0" w:line="480" w:lineRule="auto"/>
        <w:ind w:firstLine="720"/>
        <w:jc w:val="both"/>
      </w:pPr>
      <w:r>
        <w:rPr>
          <w:rFonts w:ascii="Times New Roman" w:hAnsi="Times New Roman" w:cs="Times New Roman" w:eastAsia="Times New Roman"/>
          <w:color w:val="000000"/>
          <w:sz w:val="24"/>
        </w:rPr>
        <w:t>El dataset representa 17 edificios de una comunidad energetica de Iquitos, con equipos controlables heterogeneos y variables de observacion locales. La representacion por edificio permite modelar el problema como Dec-POMDP y evaluar la ejecucion descentralizada de politicas MADRL. Para evitar alucinacion o sobreinterpretacion, los resultados del Capitulo 5 se derivan exclusivamente de los archivos existentes y de tablas materializadas en outputs/_drive_madrl/gdrive_20260627_164047_objective_analysis. Las dimensiones locales medidas (d_oi en [54, 327], d_ai = 2 + n_i^ch en [5, 44], estado CTDE d_s = 1 856) constan en Cap. 2 Tabla 2.A y se operacionalizan en Cap. 4.</w:t>
      </w:r>
    </w:p>
    <w:p>
      <w:pPr>
        <w:pStyle w:val="TablaIndice"/>
        <w:spacing w:before="0" w:after="0" w:line="480" w:lineRule="auto"/>
        <w:jc w:val="left"/>
      </w:pPr>
      <w:r>
        <w:rPr>
          <w:rFonts w:ascii="Times New Roman" w:hAnsi="Times New Roman" w:cs="Times New Roman" w:eastAsia="Times New Roman"/>
          <w:b/>
          <w:i w:val="0"/>
          <w:color w:val="000000"/>
          <w:sz w:val="24"/>
        </w:rPr>
        <w:t>Tabla 3.3</w:t>
        <w:br/>
      </w:r>
      <w:r>
        <w:rPr>
          <w:rFonts w:ascii="Times New Roman" w:hAnsi="Times New Roman" w:cs="Times New Roman" w:eastAsia="Times New Roman"/>
          <w:b w:val="0"/>
          <w:i/>
          <w:color w:val="000000"/>
          <w:sz w:val="24"/>
        </w:rPr>
        <w:t>Fuentes de datos y artefactos de analisis</w:t>
      </w:r>
    </w:p>
    <w:tbl>
      <w:tblPr>
        <w:tblW w:type="auto" w:w="0"/>
        <w:jc w:val="center"/>
        <w:tblLook w:firstColumn="1" w:firstRow="1" w:lastColumn="0" w:lastRow="0" w:noHBand="0" w:noVBand="1" w:val="04A0"/>
      </w:tblPr>
      <w:tblGrid>
        <w:gridCol w:w="2880"/>
        <w:gridCol w:w="2880"/>
        <w:gridCol w:w="2880"/>
      </w:tblGrid>
      <w:tr>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Artefacto</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Contenido</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Uso metodologico</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timeseries.csv</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Serie temporal distrital por episodio</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Energia, costo, CO2, recompensa y senales horarias.</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trace.csv</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Trazas por agente</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Acciones, SOC, EV, PV, importacion/exportacion y recompensa individual.</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building_kpis.csv / building_behavior_summary.csv</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KPIs por edificio</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Analisis espacial por agente y equipamiento.</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checkpoint_manifest.json</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Registro de checkpoints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Trazabilidad de entrenamiento y cobertura por tratamiento.</w:t>
            </w:r>
          </w:p>
        </w:tc>
      </w:tr>
      <w:tr>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district_episode_kpis.csv</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KPIs episodicos materializados</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Base de estadistica descriptiva e inferencial.</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el diseno metodologico, las variables, herramientas, datos y procedimiento experimental. Fuente: Elaboracion propia a partir del proyecto local, scripts de metodologia, dataset citylearn_iquitos_2023_2025 y artefactos Drive de entrenamiento.</w:t>
      </w:r>
    </w:p>
    <w:p/>
    <w:p>
      <w:pPr>
        <w:pStyle w:val="Heading2"/>
        <w:spacing w:line="480" w:lineRule="auto" w:before="0" w:after="0"/>
        <w:jc w:val="left"/>
      </w:pPr>
      <w:r>
        <w:rPr>
          <w:rFonts w:ascii="Times New Roman" w:hAnsi="Times New Roman" w:cs="Times New Roman" w:eastAsia="Times New Roman"/>
          <w:color w:val="000000"/>
          <w:sz w:val="24"/>
        </w:rPr>
        <w:t>3.4 Variables, dimensiones e indicadores</w:t>
      </w:r>
    </w:p>
    <w:p>
      <w:pPr>
        <w:spacing w:before="0" w:after="0" w:line="480" w:lineRule="auto"/>
        <w:ind w:firstLine="720"/>
        <w:jc w:val="both"/>
      </w:pPr>
      <w:r>
        <w:rPr>
          <w:rFonts w:ascii="Times New Roman" w:hAnsi="Times New Roman" w:cs="Times New Roman" w:eastAsia="Times New Roman"/>
          <w:color w:val="000000"/>
          <w:sz w:val="24"/>
        </w:rPr>
        <w:t>La variable independiente (VI) es el algoritmo MADRL implementado bajo un esquema CTDE y condicionado por escenario de recompensa. Sus dimensiones operacionales son: D-VI.1 tipo de algoritmo, D-VI.2 ponderacion multiobjetivo del escenario y D-VI.3 controles experimentales. La variable dependiente (VD) es el desempeno energetico coordinado de la comunidad, desagregado en tres dimensiones: D-VD.1 flexibilidad energetica, D-VD.2 emisiones de CO2 y D-VD.3 costos energeticos. Esta definicion mantiene correspondencia vertical con PE.1, PE.2, PE.3, OE.1, OE.2 y OE.3.</w:t>
      </w:r>
    </w:p>
    <w:p>
      <w:pPr>
        <w:spacing w:before="0" w:after="0" w:line="480" w:lineRule="auto"/>
        <w:ind w:firstLine="720"/>
        <w:jc w:val="both"/>
      </w:pPr>
      <w:r>
        <w:rPr>
          <w:rFonts w:ascii="Times New Roman" w:hAnsi="Times New Roman" w:cs="Times New Roman" w:eastAsia="Times New Roman"/>
          <w:color w:val="000000"/>
          <w:sz w:val="24"/>
        </w:rPr>
        <w:t>La operacionalizacion sigue la logica de medicion cuantitativa: cada dimension debe tener indicadores observables, fuente de datos y criterio de interpretacion. En D-VD.1 se consideran recompensa en E1 y KPIs de flexibilidad como peak, ramping, load factor, autoconsumo PV y uso de almacenamiento. En D-VD.2 se consideran emisiones distritales, carbon_emissions_control, carbon_emissions_delta y consumo ponderado por intensidad de carbono. En D-VD.3 se consideran district_cost, electricity_cost_control, electricity_cost_delta y senales de precio. Esta estructura evita confundir recompensa de entrenamiento con resultado final de evaluacion.</w:t>
      </w:r>
    </w:p>
    <w:p>
      <w:pPr>
        <w:pStyle w:val="TablaIndice"/>
        <w:spacing w:before="0" w:after="0" w:line="480" w:lineRule="auto"/>
        <w:jc w:val="left"/>
      </w:pPr>
      <w:r>
        <w:rPr>
          <w:rFonts w:ascii="Times New Roman" w:hAnsi="Times New Roman" w:cs="Times New Roman" w:eastAsia="Times New Roman"/>
          <w:b/>
          <w:i w:val="0"/>
          <w:color w:val="000000"/>
          <w:sz w:val="24"/>
        </w:rPr>
        <w:t>Tabla 3.4</w:t>
        <w:br/>
      </w:r>
      <w:r>
        <w:rPr>
          <w:rFonts w:ascii="Times New Roman" w:hAnsi="Times New Roman" w:cs="Times New Roman" w:eastAsia="Times New Roman"/>
          <w:b w:val="0"/>
          <w:i/>
          <w:color w:val="000000"/>
          <w:sz w:val="24"/>
        </w:rPr>
        <w:t>Operacionalizacion metodologica de variables</w:t>
      </w:r>
    </w:p>
    <w:tbl>
      <w:tblPr>
        <w:tblW w:type="auto" w:w="0"/>
        <w:jc w:val="center"/>
        <w:tblLook w:firstColumn="1" w:firstRow="1" w:lastColumn="0" w:lastRow="0" w:noHBand="0" w:noVBand="1" w:val="04A0"/>
      </w:tblPr>
      <w:tblGrid>
        <w:gridCol w:w="2160"/>
        <w:gridCol w:w="2160"/>
        <w:gridCol w:w="2160"/>
        <w:gridCol w:w="2160"/>
      </w:tblGrid>
      <w:tr>
        <w:tc>
          <w:tcPr>
            <w:tcW w:type="dxa" w:w="21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Variable</w:t>
            </w:r>
          </w:p>
        </w:tc>
        <w:tc>
          <w:tcPr>
            <w:tcW w:type="dxa" w:w="21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Dimension</w:t>
            </w:r>
          </w:p>
        </w:tc>
        <w:tc>
          <w:tcPr>
            <w:tcW w:type="dxa" w:w="21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Indicadores principales</w:t>
            </w:r>
          </w:p>
        </w:tc>
        <w:tc>
          <w:tcPr>
            <w:tcW w:type="dxa" w:w="21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Fuente</w:t>
            </w:r>
          </w:p>
        </w:tc>
      </w:tr>
      <w:tr>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w:t>
            </w:r>
          </w:p>
        </w:tc>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D-VI.1 Algoritmo</w:t>
            </w:r>
          </w:p>
        </w:tc>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 MAAC, MASAC, MATD3</w:t>
            </w:r>
          </w:p>
        </w:tc>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Configuracion de tratamiento.</w:t>
            </w:r>
          </w:p>
        </w:tc>
      </w:tr>
      <w:tr>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w:t>
            </w:r>
          </w:p>
        </w:tc>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D-VI.2 Escenario</w:t>
            </w:r>
          </w:p>
        </w:tc>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 E2, E3; pesos flex/CO2/costo</w:t>
            </w:r>
          </w:p>
        </w:tc>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reward_axis_weights y protocolo experimental.</w:t>
            </w:r>
          </w:p>
        </w:tc>
      </w:tr>
      <w:tr>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VD</w:t>
            </w:r>
          </w:p>
        </w:tc>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D-VD.1 Flexibilidad</w:t>
            </w:r>
          </w:p>
        </w:tc>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reward_mean E1, peak, ramping, load factor, BESS/PV</w:t>
            </w:r>
          </w:p>
        </w:tc>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episodes, results, evaluate_v2.</w:t>
            </w:r>
          </w:p>
        </w:tc>
      </w:tr>
      <w:tr>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VD</w:t>
            </w:r>
          </w:p>
        </w:tc>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D-VD.2 CO2</w:t>
            </w:r>
          </w:p>
        </w:tc>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district_emission, carbon_emissions_control/delta</w:t>
            </w:r>
          </w:p>
        </w:tc>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timeseries, results, building KPIs.</w:t>
            </w:r>
          </w:p>
        </w:tc>
      </w:tr>
      <w:tr>
        <w:tc>
          <w:tcPr>
            <w:tcW w:type="dxa" w:w="21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VD</w:t>
            </w:r>
          </w:p>
        </w:tc>
        <w:tc>
          <w:tcPr>
            <w:tcW w:type="dxa" w:w="21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D-VD.3 Costos</w:t>
            </w:r>
          </w:p>
        </w:tc>
        <w:tc>
          <w:tcPr>
            <w:tcW w:type="dxa" w:w="21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district_cost, electricity_cost_control/delta</w:t>
            </w:r>
          </w:p>
        </w:tc>
        <w:tc>
          <w:tcPr>
            <w:tcW w:type="dxa" w:w="21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timeseries, results, building KPIs.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el diseno metodologico, las variables, herramientas, datos y procedimiento experimental. Fuente: Elaboracion propia a partir del proyecto local, scripts de metodologia, dataset citylearn_iquitos_2023_2025 y artefactos Drive de entrenamiento.</w:t>
      </w:r>
    </w:p>
    <w:p/>
    <w:p>
      <w:pPr>
        <w:pStyle w:val="Heading2"/>
        <w:spacing w:line="480" w:lineRule="auto" w:before="0" w:after="0"/>
        <w:jc w:val="left"/>
      </w:pPr>
      <w:r>
        <w:rPr>
          <w:rFonts w:ascii="Times New Roman" w:hAnsi="Times New Roman" w:cs="Times New Roman" w:eastAsia="Times New Roman"/>
          <w:color w:val="000000"/>
          <w:sz w:val="24"/>
        </w:rPr>
        <w:t>3.5 Tecnicas, herramientas e instrumentos</w:t>
      </w:r>
    </w:p>
    <w:p>
      <w:pPr>
        <w:spacing w:before="0" w:after="0" w:line="480" w:lineRule="auto"/>
        <w:ind w:firstLine="720"/>
        <w:jc w:val="both"/>
      </w:pPr>
      <w:r>
        <w:rPr>
          <w:rFonts w:ascii="Times New Roman" w:hAnsi="Times New Roman" w:cs="Times New Roman" w:eastAsia="Times New Roman"/>
          <w:color w:val="000000"/>
          <w:sz w:val="24"/>
        </w:rPr>
        <w:t>Las tecnicas utilizadas son simulacion computacional, entrenamiento MADRL, evaluacion por KPIs, estadistica descriptiva, contrastacion no parametrica y visualizacion analitica. Las herramientas principales son Python, PyTorch, CityLearn v2, la extension CityLearn v3 propuesta, backends HAPPO/MAAC/MASAC/MATD3, scripts de orquestacion del proyecto y artefactos Drive. En terminos metodologicos, el instrumento de medicion no es un cuestionario ni una entrevista, sino el entorno computacional validado y sus archivos de salida.</w:t>
      </w:r>
    </w:p>
    <w:p>
      <w:pPr>
        <w:spacing w:before="0" w:after="0" w:line="480" w:lineRule="auto"/>
        <w:ind w:firstLine="720"/>
        <w:jc w:val="both"/>
      </w:pPr>
      <w:r>
        <w:rPr>
          <w:rFonts w:ascii="Times New Roman" w:hAnsi="Times New Roman" w:cs="Times New Roman" w:eastAsia="Times New Roman"/>
          <w:color w:val="000000"/>
          <w:sz w:val="24"/>
        </w:rPr>
        <w:t>La decision de usar estadistica no parametrica se debe a que las recompensas y KPIs episodicos de RL pueden presentar no normalidad, dependencia temporal, asimetria o valores atipicos. Por ello se aplica Shapiro-Wilk para normalidad, Kruskal-Wallis para diferencias globales entre algoritmos con cobertura completa y Mann-Whitney U con ajuste Holm para comparaciones por pares. Esta eleccion es coherente con la recomendacion metodologica de no asumir supuestos estadisticos no verificados y con las advertencias de evaluacion robusta en aprendizaje por refuerzo reportadas por Henderson et al. (2018) y Agarwal et al. (2021).</w:t>
      </w:r>
    </w:p>
    <w:p>
      <w:pPr>
        <w:pStyle w:val="TablaIndice"/>
        <w:spacing w:before="0" w:after="0" w:line="480" w:lineRule="auto"/>
        <w:jc w:val="left"/>
      </w:pPr>
      <w:r>
        <w:rPr>
          <w:rFonts w:ascii="Times New Roman" w:hAnsi="Times New Roman" w:cs="Times New Roman" w:eastAsia="Times New Roman"/>
          <w:b/>
          <w:i w:val="0"/>
          <w:color w:val="000000"/>
          <w:sz w:val="24"/>
        </w:rPr>
        <w:t>Tabla 3.5</w:t>
        <w:br/>
      </w:r>
      <w:r>
        <w:rPr>
          <w:rFonts w:ascii="Times New Roman" w:hAnsi="Times New Roman" w:cs="Times New Roman" w:eastAsia="Times New Roman"/>
          <w:b w:val="0"/>
          <w:i/>
          <w:color w:val="000000"/>
          <w:sz w:val="24"/>
        </w:rPr>
        <w:t>Tecnicas, herramientas e instrumentos</w:t>
      </w:r>
    </w:p>
    <w:tbl>
      <w:tblPr>
        <w:tblW w:type="auto" w:w="0"/>
        <w:jc w:val="center"/>
        <w:tblLook w:firstColumn="1" w:firstRow="1" w:lastColumn="0" w:lastRow="0" w:noHBand="0" w:noVBand="1" w:val="04A0"/>
      </w:tblPr>
      <w:tblGrid>
        <w:gridCol w:w="2880"/>
        <w:gridCol w:w="2880"/>
        <w:gridCol w:w="2880"/>
      </w:tblGrid>
      <w:tr>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Componente</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Aplicacion en la tesis</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Resultado esperado</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Simulacion CityLearn</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Recrear comunidad energetica multiagente</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Series, KPIs y trazas auditables.</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MADRL</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Entrenar politicas bajo CTDE</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Politicas por algoritmo y escenario.</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evaluate_v2 / KPIs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Evaluar flexibilidad, CO2 y costo</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Ranking comparable con baseline.</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Estadistica no parametrica</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Contrastar diferencias entre algoritmos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p-valores, epsilon2 y decisiones HE.</w:t>
            </w:r>
          </w:p>
        </w:tc>
      </w:tr>
      <w:tr>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Visualizacion</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Interpretar convergencia, trade-offs, edificios y acciones</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Figuras del Capitulo 5.</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el diseno metodologico, las variables, herramientas, datos y procedimiento experimental. Fuente: Elaboracion propia a partir del proyecto local, scripts de metodologia, dataset citylearn_iquitos_2023_2025 y artefactos Drive de entrenamiento.</w:t>
      </w:r>
    </w:p>
    <w:p/>
    <w:p>
      <w:pPr>
        <w:pStyle w:val="Heading2"/>
        <w:spacing w:line="480" w:lineRule="auto" w:before="0" w:after="0"/>
        <w:jc w:val="left"/>
      </w:pPr>
      <w:r>
        <w:rPr>
          <w:rFonts w:ascii="Times New Roman" w:hAnsi="Times New Roman" w:cs="Times New Roman" w:eastAsia="Times New Roman"/>
          <w:color w:val="000000"/>
          <w:sz w:val="24"/>
        </w:rPr>
        <w:t>3.6 Procedimiento experimental</w:t>
      </w:r>
    </w:p>
    <w:p>
      <w:pPr>
        <w:spacing w:before="0" w:after="0" w:line="480" w:lineRule="auto"/>
        <w:ind w:firstLine="720"/>
        <w:jc w:val="both"/>
      </w:pPr>
      <w:r>
        <w:rPr>
          <w:rFonts w:ascii="Times New Roman" w:hAnsi="Times New Roman" w:cs="Times New Roman" w:eastAsia="Times New Roman"/>
          <w:color w:val="000000"/>
          <w:sz w:val="24"/>
        </w:rPr>
        <w:t>El procedimiento experimental se estructura en siete fases reproducibles. Primero, se verifica el contexto del repositorio y la disponibilidad de artefactos. Segundo, se valida el dataset citylearn_iquitos_2023_2025 y el esquema de edificios/equipos. Tercero, se ejecutan o recuperan las 12 corridas algoritmo x escenario desde Drive. Cuarto, se consolidan episodios, timeseries, traces, building KPIs y checkpoints. Quinto, se calculan KPIs distritales, por edificio y por objetivo. Sexto, se aplican pruebas estadisticas y rankings evaluate_v2. Septimo, se generan tablas, figuras y redaccion interpretativa en el documento final.</w:t>
      </w:r>
    </w:p>
    <w:p>
      <w:pPr>
        <w:spacing w:before="0" w:after="0" w:line="480" w:lineRule="auto"/>
        <w:ind w:firstLine="720"/>
        <w:jc w:val="both"/>
      </w:pPr>
      <w:r>
        <w:rPr>
          <w:rFonts w:ascii="Times New Roman" w:hAnsi="Times New Roman" w:cs="Times New Roman" w:eastAsia="Times New Roman"/>
          <w:color w:val="000000"/>
          <w:sz w:val="24"/>
        </w:rPr>
        <w:t>Cada fase se documenta mediante archivos de salida. La decision de no completar manualmente valores ausentes es parte del control metodologico: si un artefacto no conserva una granularidad determinada, se declara como limitacion y no se sintetiza. Esta regla es consistente con la validez de medicion y la transparencia experimental recomendadas por Shadish et al. (2002) y Montgomery (2019).</w:t>
      </w:r>
    </w:p>
    <w:p>
      <w:pPr>
        <w:pStyle w:val="TablaIndice"/>
        <w:spacing w:before="0" w:after="0" w:line="480" w:lineRule="auto"/>
        <w:jc w:val="left"/>
      </w:pPr>
      <w:r>
        <w:rPr>
          <w:rFonts w:ascii="Times New Roman" w:hAnsi="Times New Roman" w:cs="Times New Roman" w:eastAsia="Times New Roman"/>
          <w:b/>
          <w:i w:val="0"/>
          <w:color w:val="000000"/>
          <w:sz w:val="24"/>
        </w:rPr>
        <w:t>Tabla 3.6</w:t>
        <w:br/>
      </w:r>
      <w:r>
        <w:rPr>
          <w:rFonts w:ascii="Times New Roman" w:hAnsi="Times New Roman" w:cs="Times New Roman" w:eastAsia="Times New Roman"/>
          <w:b w:val="0"/>
          <w:i/>
          <w:color w:val="000000"/>
          <w:sz w:val="24"/>
        </w:rPr>
        <w:t>Procedimiento experimental reproducible</w:t>
      </w:r>
    </w:p>
    <w:tbl>
      <w:tblPr>
        <w:tblW w:type="auto" w:w="0"/>
        <w:jc w:val="center"/>
        <w:tblLook w:firstColumn="1" w:firstRow="1" w:lastColumn="0" w:lastRow="0" w:noHBand="0" w:noVBand="1" w:val="04A0"/>
      </w:tblPr>
      <w:tblGrid>
        <w:gridCol w:w="2880"/>
        <w:gridCol w:w="2880"/>
        <w:gridCol w:w="2880"/>
      </w:tblGrid>
      <w:tr>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Fase</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Actividad</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Evidencia</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Verificacion de contexto y rutas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scripts/verify_project_context.ps1.</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Validacion de dataset y esquema CityLearn</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schema, building files y auditorias.</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Entrenamiento/recuperacion de 12 tratamientos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Drive madrl_v3_20260627_164047.</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Consolidacion de resultados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timeseries, traces, checkpoints y KPIs.</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Analisis descriptivo e inferencial</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CSV de estadisticas y comparaciones Holm.</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6</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t>Visualizacion de tesis</w:t>
            </w:r>
            <w:r>
              <w:rPr>
                <w:rFonts w:ascii="Times New Roman" w:hAnsi="Times New Roman" w:cs="Times New Roman" w:eastAsia="Times New Roman"/>
                <w:b w:val="0"/>
                <w:i w:val="0"/>
                <w:color w:val="000000"/>
                <w:sz w:val="20"/>
              </w:rPr>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Figuras por convergencia, KPIs, edificios y trade-offs.</w:t>
            </w:r>
          </w:p>
        </w:tc>
      </w:tr>
      <w:tr>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7</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Integracion en Word</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Documento final reproducible desde el generador.</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el diseno metodologico, las variables, herramientas, datos y procedimiento experimental. Fuente: Elaboracion propia a partir del proyecto local, scripts de metodologia, dataset citylearn_iquitos_2023_2025 y artefactos Drive de entrenamiento.</w:t>
      </w:r>
    </w:p>
    <w:p/>
    <w:p>
      <w:pPr>
        <w:pStyle w:val="Heading2"/>
        <w:spacing w:line="480" w:lineRule="auto" w:before="0" w:after="0"/>
        <w:jc w:val="left"/>
      </w:pPr>
      <w:r>
        <w:rPr>
          <w:rFonts w:ascii="Times New Roman" w:hAnsi="Times New Roman" w:cs="Times New Roman" w:eastAsia="Times New Roman"/>
          <w:color w:val="000000"/>
          <w:sz w:val="24"/>
        </w:rPr>
        <w:t>3.7 Validez metodologica, trazabilidad y control de sesgos</w:t>
      </w:r>
    </w:p>
    <w:p>
      <w:pPr>
        <w:spacing w:before="0" w:after="0" w:line="480" w:lineRule="auto"/>
        <w:ind w:firstLine="720"/>
        <w:jc w:val="both"/>
      </w:pPr>
      <w:r>
        <w:rPr>
          <w:rFonts w:ascii="Times New Roman" w:hAnsi="Times New Roman" w:cs="Times New Roman" w:eastAsia="Times New Roman"/>
          <w:color w:val="000000"/>
          <w:sz w:val="24"/>
        </w:rPr>
        <w:t>La validez interna se fortalece por el control del entorno: todos los algoritmos se evaluan sobre el mismo dataset, la misma comunidad, los mismos escenarios y los mismos criterios de extraccion de KPIs. La validez de constructo se protege mediante la correspondencia entre preguntas, objetivos, variables e indicadores. La validez estadistica se aborda con pruebas no parametricas y tamanos de efecto, evitando asumir normalidad sin evidencia. La validez externa se declara limitada porque la corrida canonica no sustituye una campana multi-semilla; por tanto, las conclusiones se formulan como evidencia de tesis intra-corrida y no como generalizacion universal.</w:t>
      </w:r>
    </w:p>
    <w:p>
      <w:pPr>
        <w:spacing w:before="0" w:after="0" w:line="480" w:lineRule="auto"/>
        <w:ind w:firstLine="720"/>
        <w:jc w:val="both"/>
      </w:pPr>
      <w:r>
        <w:rPr>
          <w:rFonts w:ascii="Times New Roman" w:hAnsi="Times New Roman" w:cs="Times New Roman" w:eastAsia="Times New Roman"/>
          <w:color w:val="000000"/>
          <w:sz w:val="24"/>
        </w:rPr>
        <w:t>El control de sesgos se apoya en cinco reglas: no mezclar resultados de otros proyectos, no usar artefactos ajenos a Drive/local autorizado, no inventar datos faltantes, distinguir evidencia descriptiva de evidencia inferencial y reportar limitaciones de cobertura. Este criterio es central para una tesis basada en RL, donde diferencias aparentemente favorables pueden depender de semillas, hiperparametros, entorno y criterio de evaluacion.</w:t>
      </w:r>
    </w:p>
    <w:p>
      <w:pPr>
        <w:pStyle w:val="TablaIndice"/>
        <w:spacing w:before="0" w:after="0" w:line="480" w:lineRule="auto"/>
        <w:jc w:val="left"/>
      </w:pPr>
      <w:r>
        <w:rPr>
          <w:rFonts w:ascii="Times New Roman" w:hAnsi="Times New Roman" w:cs="Times New Roman" w:eastAsia="Times New Roman"/>
          <w:b/>
          <w:i w:val="0"/>
          <w:color w:val="000000"/>
          <w:sz w:val="24"/>
        </w:rPr>
        <w:t>Tabla 3.7</w:t>
        <w:br/>
      </w:r>
      <w:r>
        <w:rPr>
          <w:rFonts w:ascii="Times New Roman" w:hAnsi="Times New Roman" w:cs="Times New Roman" w:eastAsia="Times New Roman"/>
          <w:b w:val="0"/>
          <w:i/>
          <w:color w:val="000000"/>
          <w:sz w:val="24"/>
        </w:rPr>
        <w:t>Control metodologico de validez y trazabilidad</w:t>
      </w:r>
    </w:p>
    <w:tbl>
      <w:tblPr>
        <w:tblW w:type="auto" w:w="0"/>
        <w:jc w:val="center"/>
        <w:tblLook w:firstColumn="1" w:firstRow="1" w:lastColumn="0" w:lastRow="0" w:noHBand="0" w:noVBand="1" w:val="04A0"/>
      </w:tblPr>
      <w:tblGrid>
        <w:gridCol w:w="2880"/>
        <w:gridCol w:w="2880"/>
        <w:gridCol w:w="2880"/>
      </w:tblGrid>
      <w:tr>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Dimension de validez</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Riesgo</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Control aplicado</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Interna</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Comparacion desigual entre algoritmos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Mismo dataset, mismo entorno y escenarios controlados.</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Constructo</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Indicadores no alineados con objetivos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PE/OE/VD/KPI vinculados por tabla de operacionalizacion.</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Estadistica</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Normalidad o significancia asumida</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Shapiro-Wilk, Kruskal-Wallis, Mann-Whitney-Holm y epsilon2.</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Externa</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Generalizacion indebida</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Declaracion de inferencia intra-corrida y recomendacion multi-semilla.</w:t>
            </w:r>
          </w:p>
        </w:tc>
      </w:tr>
      <w:tr>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Trazabilidad</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Datos inventados o mezclados</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Uso exclusivo de artefactos Drive y CSV materializados.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el diseno metodologico, las variables, herramientas, datos y procedimiento experimental. Fuente: Elaboracion propia a partir del proyecto local, scripts de metodologia, dataset citylearn_iquitos_2023_2025 y artefactos Drive de entrenamiento.</w:t>
      </w:r>
    </w:p>
    <w:p>
      <w:r>
        <w:rPr>
          <w:rFonts w:ascii="Times New Roman" w:hAnsi="Times New Roman" w:cs="Times New Roman"/>
          <w:b/>
          <w:i w:val="0"/>
          <w:sz w:val="24"/>
        </w:rPr>
        <w:t>3.4.6 Árbol CityLearn retenido: usados vs disponibles (reproducibilidad)</w:t>
      </w:r>
    </w:p>
    <w:p>
      <w:r>
        <w:rPr>
          <w:rFonts w:ascii="Times New Roman" w:hAnsi="Times New Roman" w:cs="Times New Roman"/>
          <w:b w:val="0"/>
          <w:i w:val="0"/>
          <w:sz w:val="24"/>
        </w:rPr>
        <w:t>El submódulo CityLearn/ conserva, además del dataset Iquitos, el árbol de datos del ecosistema CityLearn v2 embebido en el fork de la tesis. Ese material no se elimina (decisión 2026-07-29): sirve de contexto metodológico, integridad de pruebas del paquete y reproducibilidad offline del simulador. El caso empírico de contraste de hipótesis (Capítulo 5) sigue siendo exclusivamente citylearn_iquitos_2023_2025 + capa MADRL v3.</w:t>
      </w:r>
    </w:p>
    <w:p>
      <w:r>
        <w:rPr>
          <w:rFonts w:ascii="Times New Roman" w:hAnsi="Times New Roman" w:cs="Times New Roman"/>
          <w:b w:val="0"/>
          <w:i w:val="0"/>
          <w:sz w:val="24"/>
        </w:rPr>
        <w:t>En CityLearn/data/datasets/ se retienen: (i) citylearn_iquitos_2023_2025 (empírico canónico OE.1–OE.3); (ii) citylearn_challenge_2020–2023 (contexto histórico de benchmarking comunitario; challenge 2022 y demos alimentan tests del submódulo); (iii) barrios de referencia quebec_neighborhood_*, ca_alameda_county_neighborhood, tx_travis_county_neighborhood y vt_chittenden_county_neighborhood (inventario reproducible; contraste cualitativo con el SEAI aislado). No se atribuyen KPIs ni pruebas estadísticas a barrios o challenges upstream en ausencia de artefactos en outputs/.</w:t>
      </w:r>
    </w:p>
    <w:p>
      <w:r>
        <w:rPr>
          <w:rFonts w:ascii="Times New Roman" w:hAnsi="Times New Roman" w:cs="Times New Roman"/>
          <w:b w:val="0"/>
          <w:i w:val="0"/>
          <w:sz w:val="24"/>
        </w:rPr>
        <w:t>Los launchers launch_citylearn_v3_iquitos_training.ps1 y monitor_citylearn_v3_iquitos_training.ps1 se retienen como vía histórica local; la vía canónica de entrenamiento permanece launch_citylearn_v3_official_training.ps1 y, para la corrida de 50 episodios, el protocolo Colab del notebook madrl_citylearn_v3_tutorial.ipynb. Detalle: docs/INTEGRACION_CITYLEARN_THESIS_2026-07-29.md.</w:t>
      </w:r>
    </w:p>
    <w:p/>
    <w:p>
      <w:r>
        <w:br w:type="page"/>
      </w:r>
    </w:p>
    <w:p>
      <w:pPr>
        <w:pStyle w:val="Heading1"/>
        <w:spacing w:line="480" w:lineRule="auto" w:before="0" w:after="0"/>
        <w:jc w:val="center"/>
      </w:pPr>
      <w:r>
        <w:rPr>
          <w:rFonts w:ascii="Times New Roman" w:hAnsi="Times New Roman" w:cs="Times New Roman" w:eastAsia="Times New Roman"/>
          <w:color w:val="000000"/>
          <w:sz w:val="24"/>
        </w:rPr>
        <w:t>Capitulo 4. Desarrollo de la propuesta</w:t>
      </w:r>
    </w:p>
    <w:p>
      <w:pPr>
        <w:pStyle w:val="Heading2"/>
        <w:spacing w:line="480" w:lineRule="auto" w:before="0" w:after="0"/>
        <w:jc w:val="left"/>
      </w:pPr>
      <w:r>
        <w:rPr>
          <w:rFonts w:ascii="Times New Roman" w:hAnsi="Times New Roman" w:cs="Times New Roman" w:eastAsia="Times New Roman"/>
          <w:color w:val="000000"/>
          <w:sz w:val="24"/>
        </w:rPr>
        <w:t>4.1 Desarrollo del sistema y arquitectura de software</w:t>
      </w:r>
    </w:p>
    <w:p>
      <w:pPr>
        <w:spacing w:line="480" w:lineRule="auto" w:before="0" w:after="0"/>
        <w:ind w:firstLine="720"/>
        <w:jc w:val="both"/>
      </w:pPr>
      <w:r>
        <w:rPr>
          <w:rFonts w:ascii="Times New Roman" w:hAnsi="Times New Roman" w:cs="Times New Roman" w:eastAsia="Times New Roman"/>
          <w:b w:val="0"/>
          <w:i w:val="0"/>
          <w:color w:val="000000"/>
          <w:sz w:val="24"/>
        </w:rPr>
        <w:t>El sistema se organiza en seis capas de software, desde el simulador base hasta la generacion de evidencia para la tesis:</w:t>
      </w:r>
    </w:p>
    <w:p>
      <w:pPr>
        <w:pStyle w:val="TablaIndice"/>
        <w:spacing w:before="0" w:after="0" w:line="480" w:lineRule="auto"/>
        <w:ind/>
        <w:jc w:val="left"/>
      </w:pPr>
      <w:r>
        <w:rPr>
          <w:rFonts w:ascii="Times New Roman" w:hAnsi="Times New Roman" w:cs="Times New Roman" w:eastAsia="Times New Roman"/>
          <w:b/>
          <w:i w:val="0"/>
          <w:color w:val="000000"/>
          <w:sz w:val="24"/>
        </w:rPr>
        <w:t>Tabla 4.1</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Capas de software del sistema MADRL CityLearn v3</w:t>
      </w:r>
    </w:p>
    <w:tbl>
      <w:tblPr>
        <w:tblStyle w:val="LightGrid-Accent1"/>
        <w:tblW w:type="auto" w:w="0"/>
        <w:jc w:val="center"/>
        <w:tblLook w:firstColumn="1" w:firstRow="1" w:lastColumn="0" w:lastRow="0" w:noHBand="0" w:noVBand="1" w:val="04A0"/>
      </w:tblPr>
      <w:tblGrid>
        <w:gridCol w:w="3041"/>
        <w:gridCol w:w="3041"/>
        <w:gridCol w:w="3041"/>
      </w:tblGrid>
      <w:tr>
        <w:tc>
          <w:tcPr>
            <w:tcW w:type="dxa" w:w="6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Capa</w:t>
            </w:r>
          </w:p>
        </w:tc>
        <w:tc>
          <w:tcPr>
            <w:tcW w:type="dxa" w:w="3572"/>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Componente</w:t>
            </w:r>
          </w:p>
        </w:tc>
        <w:tc>
          <w:tcPr>
            <w:tcW w:type="dxa" w:w="4819"/>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Funcion</w:t>
            </w:r>
          </w:p>
        </w:tc>
      </w:tr>
      <w:tr>
        <w:tc>
          <w:tcPr>
            <w:tcW w:type="dxa" w:w="6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3572"/>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 v2 (CityLearn/citylearn/*.py)</w:t>
            </w:r>
          </w:p>
        </w:tc>
        <w:tc>
          <w:tcPr>
            <w:tcW w:type="dxa" w:w="4819"/>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Fisica de edificios, BESS, PV, EV y KPIs oficiales.</w:t>
            </w:r>
          </w:p>
        </w:tc>
      </w:tr>
      <w:tr>
        <w:tc>
          <w:tcPr>
            <w:tcW w:type="dxa" w:w="6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w:t>
            </w:r>
          </w:p>
        </w:tc>
        <w:tc>
          <w:tcPr>
            <w:tcW w:type="dxa" w:w="3572"/>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 v3 propuesto (CityLearn/citylearn/v3/)</w:t>
            </w:r>
          </w:p>
        </w:tc>
        <w:tc>
          <w:tcPr>
            <w:tcW w:type="dxa" w:w="4819"/>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Entorno Dec-POMDP, objetivos, configuracion y recompensa multiobjetivo.</w:t>
            </w:r>
          </w:p>
        </w:tc>
      </w:tr>
      <w:tr>
        <w:tc>
          <w:tcPr>
            <w:tcW w:type="dxa" w:w="6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w:t>
            </w:r>
          </w:p>
        </w:tc>
        <w:tc>
          <w:tcPr>
            <w:tcW w:type="dxa" w:w="3572"/>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Framework UC3M (uc3m/)</w:t>
            </w:r>
          </w:p>
        </w:tc>
        <w:tc>
          <w:tcPr>
            <w:tcW w:type="dxa" w:w="4819"/>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Wrapper universal (UC3MEnv), 7 ejes de recompensa, KPIEvaluator, AlgorithmFactory; capa auxiliar/generica.</w:t>
            </w:r>
          </w:p>
        </w:tc>
      </w:tr>
      <w:tr>
        <w:tc>
          <w:tcPr>
            <w:tcW w:type="dxa" w:w="6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w:t>
            </w:r>
          </w:p>
        </w:tc>
        <w:tc>
          <w:tcPr>
            <w:tcW w:type="dxa" w:w="3572"/>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Backends MADRL (external/)</w:t>
            </w:r>
          </w:p>
        </w:tc>
        <w:tc>
          <w:tcPr>
            <w:tcW w:type="dxa" w:w="4819"/>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HARL (HAPPO), MARL/src (MASAC), off-policy (MATD3 activo), MAAC.</w:t>
            </w:r>
          </w:p>
        </w:tc>
      </w:tr>
      <w:tr>
        <w:tc>
          <w:tcPr>
            <w:tcW w:type="dxa" w:w="6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w:t>
            </w:r>
          </w:p>
        </w:tc>
        <w:tc>
          <w:tcPr>
            <w:tcW w:type="dxa" w:w="3572"/>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Launchers y orquestacion</w:t>
            </w:r>
          </w:p>
        </w:tc>
        <w:tc>
          <w:tcPr>
            <w:tcW w:type="dxa" w:w="4819"/>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train_citylearn_v3_*.py, launchers PowerShell y Colab A100, monitoreo y checkpointing.</w:t>
            </w:r>
          </w:p>
        </w:tc>
      </w:tr>
      <w:tr>
        <w:tc>
          <w:tcPr>
            <w:tcW w:type="dxa" w:w="6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6</w:t>
            </w:r>
          </w:p>
        </w:tc>
        <w:tc>
          <w:tcPr>
            <w:tcW w:type="dxa" w:w="3572"/>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Evaluacion y evidencia</w:t>
            </w:r>
          </w:p>
        </w:tc>
        <w:tc>
          <w:tcPr>
            <w:tcW w:type="dxa" w:w="4819"/>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benchmark_citylearn_v2_agents.py, compare_citylearn_v2_vs_v3_madrl.py, generate_thesis_objective_evidence.py.</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componentes tecnicos de la propuesta, arquitectura, algoritmos, recompensas y trazabilidad experimental. Fuente: Elaboracion propia a partir del repositorio local, CityLearn v2, extension CityLearn v3 propuesta, scripts de dataset y corrida Drive madrl_v3_20260627_164047.</w:t>
      </w:r>
    </w:p>
    <w:p/>
    <w:p>
      <w:pPr>
        <w:spacing w:line="480" w:lineRule="auto" w:before="0" w:after="0"/>
        <w:ind w:firstLine="720"/>
        <w:jc w:val="both"/>
      </w:pPr>
      <w:r>
        <w:rPr>
          <w:rFonts w:ascii="Times New Roman" w:hAnsi="Times New Roman" w:cs="Times New Roman" w:eastAsia="Times New Roman"/>
          <w:b w:val="0"/>
          <w:i w:val="0"/>
          <w:color w:val="000000"/>
          <w:sz w:val="24"/>
        </w:rPr>
        <w:t>Nota de implementacion: las 12 corridas oficiales y los resultados reportados se ejecutan mediante los scripts CityLearn/scripts/train_citylearn_v3_&lt;algoritmo&gt;.py con la funcion de recompensa CityLearnV3MADRLRewardFunction (tres ejes flex/CO2/costo mas termino EV). El framework UC3M (capa 3, con 7 ejes de recompensa) es una infraestructura generica/auxiliar del proyecto y no es el canal de las corridas oficiales reportadas en el Capitulo 5.</w:t>
      </w:r>
    </w:p>
    <w:p>
      <w:pPr>
        <w:pStyle w:val="Heading2"/>
        <w:spacing w:line="480" w:lineRule="auto" w:before="0" w:after="0"/>
        <w:jc w:val="left"/>
      </w:pPr>
      <w:r>
        <w:rPr>
          <w:rFonts w:ascii="Times New Roman" w:hAnsi="Times New Roman" w:cs="Times New Roman" w:eastAsia="Times New Roman"/>
          <w:color w:val="000000"/>
          <w:sz w:val="24"/>
        </w:rPr>
        <w:t>4.2 Modelo de IA: formulacion Dec-POMDP</w:t>
      </w:r>
    </w:p>
    <w:p>
      <w:pPr>
        <w:spacing w:line="480" w:lineRule="auto" w:before="0" w:after="0"/>
        <w:ind w:firstLine="720"/>
        <w:jc w:val="both"/>
      </w:pPr>
      <w:r>
        <w:rPr>
          <w:rFonts w:ascii="Times New Roman" w:hAnsi="Times New Roman" w:cs="Times New Roman" w:eastAsia="Times New Roman"/>
          <w:b w:val="0"/>
          <w:i w:val="0"/>
          <w:color w:val="000000"/>
          <w:sz w:val="24"/>
        </w:rPr>
        <w:t>El problema se formaliza como el Dec-POMDP M = &lt;S, {Ai}, T, R, {Oi}, Omega, gamma, T&gt;:</w:t>
      </w:r>
    </w:p>
    <w:p>
      <w:pPr>
        <w:pStyle w:val="ListBullet"/>
        <w:spacing w:line="480" w:lineRule="auto" w:before="0" w:after="0"/>
        <w:ind w:firstLine="720"/>
        <w:jc w:val="both"/>
      </w:pPr>
      <w:r>
        <w:rPr>
          <w:rFonts w:ascii="Times New Roman" w:hAnsi="Times New Roman" w:cs="Times New Roman" w:eastAsia="Times New Roman"/>
          <w:color w:val="000000"/>
          <w:sz w:val="24"/>
        </w:rPr>
        <w:t>N = 17 agentes (edificios del SEAI Iquitos).</w:t>
      </w:r>
    </w:p>
    <w:p>
      <w:pPr>
        <w:pStyle w:val="ListBullet"/>
        <w:spacing w:line="480" w:lineRule="auto" w:before="0" w:after="0"/>
        <w:ind w:firstLine="720"/>
        <w:jc w:val="both"/>
      </w:pPr>
      <w:r>
        <w:rPr>
          <w:rFonts w:ascii="Times New Roman" w:hAnsi="Times New Roman" w:cs="Times New Roman" w:eastAsia="Times New Roman"/>
          <w:color w:val="000000"/>
          <w:sz w:val="24"/>
        </w:rPr>
        <w:t>Estado global S: concatenacion de observaciones locales s = [o_1, ..., o_17] (ctde_state / concatenated_local_observations_for_ctde en citylearn/v3/backends.py y CityLearnDecPOMDPEnv.state); dim global medida = 1 856 (= suma_i d_oi), accesible solo por el critico centralizado durante el entrenamiento.</w:t>
      </w:r>
    </w:p>
    <w:p>
      <w:pPr>
        <w:pStyle w:val="ListBullet"/>
        <w:spacing w:line="480" w:lineRule="auto" w:before="0" w:after="0"/>
        <w:ind w:firstLine="720"/>
        <w:jc w:val="both"/>
      </w:pPr>
      <w:r>
        <w:rPr>
          <w:rFonts w:ascii="Times New Roman" w:hAnsi="Times New Roman" w:cs="Times New Roman" w:eastAsia="Times New Roman"/>
          <w:color w:val="000000"/>
          <w:sz w:val="24"/>
        </w:rPr>
        <w:t>Observacion local Oi: heterogenea por edificio (tiempo, fisica, meteo, precio, CI, SOC BESS y 7 canales EV por cargador); dimension medida en CityLearnEnv = 54-327 (B05/B11/B12=54; B07=327). Desglose: Tabla 2.A Cap. 2.</w:t>
      </w:r>
    </w:p>
    <w:p>
      <w:pPr>
        <w:pStyle w:val="ListBullet"/>
        <w:spacing w:line="480" w:lineRule="auto" w:before="0" w:after="0"/>
        <w:ind w:firstLine="720"/>
        <w:jc w:val="both"/>
      </w:pPr>
      <w:r>
        <w:rPr>
          <w:rFonts w:ascii="Times New Roman" w:hAnsi="Times New Roman" w:cs="Times New Roman" w:eastAsia="Times New Roman"/>
          <w:color w:val="000000"/>
          <w:sz w:val="24"/>
        </w:rPr>
        <w:t>Accion local Ai: electrical_storage + electric_vehicle_storage x n_i^ch + washing_machine; d_ai = 2 + n_i^ch en [5, 44] (suma distrital = 219). B06 (32 carg.) d_ai=34; B07 (42 carg.) d_ai=44 concentran la mayor dimension.</w:t>
      </w:r>
    </w:p>
    <w:p>
      <w:pPr>
        <w:pStyle w:val="ListBullet"/>
        <w:spacing w:line="480" w:lineRule="auto" w:before="0" w:after="0"/>
        <w:ind w:firstLine="720"/>
        <w:jc w:val="both"/>
      </w:pPr>
      <w:r>
        <w:rPr>
          <w:rFonts w:ascii="Times New Roman" w:hAnsi="Times New Roman" w:cs="Times New Roman" w:eastAsia="Times New Roman"/>
          <w:color w:val="000000"/>
          <w:sz w:val="24"/>
        </w:rPr>
        <w:t>T: dinamica del balance energetico, modelo RC de temperatura, BESS con eficiencia round-trip 0.9025 y perfiles EV estocasticos.</w:t>
      </w:r>
    </w:p>
    <w:p>
      <w:pPr>
        <w:pStyle w:val="ListBullet"/>
        <w:spacing w:line="480" w:lineRule="auto" w:before="0" w:after="0"/>
        <w:ind w:firstLine="720"/>
        <w:jc w:val="both"/>
      </w:pPr>
      <w:r>
        <w:rPr>
          <w:rFonts w:ascii="Times New Roman" w:hAnsi="Times New Roman" w:cs="Times New Roman" w:eastAsia="Times New Roman"/>
          <w:color w:val="000000"/>
          <w:sz w:val="24"/>
        </w:rPr>
        <w:t>R: recompensa cooperativa CityLearnV3MADRLRewardFunction; team_reward = media de reward_i; mixed_i = (1 - r_team)*reward_i + r_team*team_reward con team_reward_ratio r_team = 0,70 (perfil unified_comparable_v4; canal de las 12 corridas).</w:t>
      </w:r>
    </w:p>
    <w:p>
      <w:pPr>
        <w:pStyle w:val="ListBullet"/>
        <w:spacing w:line="480" w:lineRule="auto" w:before="0" w:after="0"/>
        <w:ind w:firstLine="720"/>
        <w:jc w:val="both"/>
      </w:pPr>
      <w:r>
        <w:rPr>
          <w:rFonts w:ascii="Times New Roman" w:hAnsi="Times New Roman" w:cs="Times New Roman" w:eastAsia="Times New Roman"/>
          <w:color w:val="000000"/>
          <w:sz w:val="24"/>
        </w:rPr>
        <w:t>gamma = 0.9999; horizonte T = 8 760 pasos (1 ano horario).</w:t>
      </w:r>
    </w:p>
    <w:p>
      <w:pPr>
        <w:spacing w:line="480" w:lineRule="auto" w:before="0" w:after="0"/>
        <w:ind w:firstLine="720"/>
        <w:jc w:val="both"/>
      </w:pPr>
      <w:r>
        <w:rPr>
          <w:rFonts w:ascii="Times New Roman" w:hAnsi="Times New Roman" w:cs="Times New Roman" w:eastAsia="Times New Roman"/>
          <w:b w:val="0"/>
          <w:i w:val="0"/>
          <w:color w:val="000000"/>
          <w:sz w:val="24"/>
        </w:rPr>
        <w:t>La condicion de observabilidad parcial estricta se satisface: cada edificio solo observa su propio estado local y no accede a la temperatura, demanda, SOC ni perfil EV de los demas durante la ejecucion. El distrito no es un agente central: coordina via critico CTDE (s) y team_reward (r_team = 0,70); en ejecucion solo persiste pi_i(a_i | o_i).</w:t>
      </w:r>
    </w:p>
    <w:p>
      <w:pPr>
        <w:pStyle w:val="Heading2"/>
        <w:spacing w:line="480" w:lineRule="auto" w:before="0" w:after="0"/>
        <w:jc w:val="left"/>
      </w:pPr>
      <w:r>
        <w:rPr>
          <w:rFonts w:ascii="Times New Roman" w:hAnsi="Times New Roman" w:cs="Times New Roman" w:eastAsia="Times New Roman"/>
          <w:color w:val="000000"/>
          <w:sz w:val="24"/>
        </w:rPr>
        <w:t>4.3 Esquema CTDE</w:t>
      </w:r>
    </w:p>
    <w:p>
      <w:pPr>
        <w:spacing w:line="480" w:lineRule="auto" w:before="0" w:after="0"/>
        <w:ind w:firstLine="720"/>
        <w:jc w:val="both"/>
      </w:pPr>
      <w:r>
        <w:rPr>
          <w:rFonts w:ascii="Times New Roman" w:hAnsi="Times New Roman" w:cs="Times New Roman" w:eastAsia="Times New Roman"/>
          <w:b w:val="0"/>
          <w:i w:val="0"/>
          <w:color w:val="000000"/>
          <w:sz w:val="24"/>
        </w:rPr>
        <w:t>Entrenamiento centralizado: el critico Qi(s, a1,...,aN) o V(s) accede al estado global s = [o1,...,o17] durante el entrenamiento, corrigiendo la no-estacionariedad del aprendizaje independiente. Ejecucion descentralizada: la politica pi_i(ai|oi) usa solo la observacion local, sin comunicacion entre edificios. Tras el entrenamiento, el critico centralizado se descarta y solo se conservan las politicas locales.</w:t>
      </w:r>
    </w:p>
    <w:p>
      <w:pPr>
        <w:pStyle w:val="Heading2"/>
        <w:spacing w:line="480" w:lineRule="auto" w:before="0" w:after="0"/>
        <w:jc w:val="left"/>
      </w:pPr>
      <w:r>
        <w:rPr>
          <w:rFonts w:ascii="Times New Roman" w:hAnsi="Times New Roman" w:cs="Times New Roman" w:eastAsia="Times New Roman"/>
          <w:color w:val="000000"/>
          <w:sz w:val="24"/>
        </w:rPr>
        <w:t>4.4 Algoritmos</w:t>
      </w:r>
    </w:p>
    <w:p>
      <w:pPr>
        <w:pStyle w:val="TablaIndice"/>
        <w:spacing w:before="0" w:after="0" w:line="480" w:lineRule="auto"/>
        <w:ind/>
        <w:jc w:val="left"/>
      </w:pPr>
      <w:r>
        <w:rPr>
          <w:rFonts w:ascii="Times New Roman" w:hAnsi="Times New Roman" w:cs="Times New Roman" w:eastAsia="Times New Roman"/>
          <w:b/>
          <w:i w:val="0"/>
          <w:color w:val="000000"/>
          <w:sz w:val="24"/>
        </w:rPr>
        <w:t>Tabla 4.2</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Los cuatro algoritmos MADRL y sus backends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113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Algoritmo</w:t>
            </w:r>
          </w:p>
        </w:tc>
        <w:tc>
          <w:tcPr>
            <w:tcW w:type="dxa" w:w="113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Tipo</w:t>
            </w:r>
          </w:p>
        </w:tc>
        <w:tc>
          <w:tcPr>
            <w:tcW w:type="dxa" w:w="3402"/>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Backend / wrapper</w:t>
            </w:r>
          </w:p>
        </w:tc>
        <w:tc>
          <w:tcPr>
            <w:tcW w:type="dxa" w:w="3402"/>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Caracteristica clave</w:t>
            </w:r>
          </w:p>
        </w:tc>
      </w:tr>
      <w:tr>
        <w:tc>
          <w:tcPr>
            <w:tcW w:type="dxa" w:w="113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13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On-policy</w:t>
            </w:r>
          </w:p>
        </w:tc>
        <w:tc>
          <w:tcPr>
            <w:tcW w:type="dxa" w:w="3402"/>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external/HARL · CityLearnHARLEnv</w:t>
            </w:r>
          </w:p>
        </w:tc>
        <w:tc>
          <w:tcPr>
            <w:tcW w:type="dxa" w:w="3402"/>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Actualizacion secuencial con trust region; mejora monotona.</w:t>
            </w:r>
          </w:p>
        </w:tc>
      </w:tr>
      <w:tr>
        <w:tc>
          <w:tcPr>
            <w:tcW w:type="dxa" w:w="113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13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Off-policy</w:t>
            </w:r>
          </w:p>
        </w:tc>
        <w:tc>
          <w:tcPr>
            <w:tcW w:type="dxa" w:w="3402"/>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external/MARL/src · CityLearnSMACDiscreteEnv</w:t>
            </w:r>
          </w:p>
        </w:tc>
        <w:tc>
          <w:tcPr>
            <w:tcW w:type="dxa" w:w="3402"/>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SAC + QMIX, acciones discretizadas por eje, RNN.</w:t>
            </w:r>
          </w:p>
        </w:tc>
      </w:tr>
      <w:tr>
        <w:tc>
          <w:tcPr>
            <w:tcW w:type="dxa" w:w="113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13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Off-policy</w:t>
            </w:r>
          </w:p>
        </w:tc>
        <w:tc>
          <w:tcPr>
            <w:tcW w:type="dxa" w:w="3402"/>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external/off-policy · CityLearnOffPolicyVecEnv</w:t>
            </w:r>
          </w:p>
        </w:tc>
        <w:tc>
          <w:tcPr>
            <w:tcW w:type="dxa" w:w="3402"/>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Doble critico TD3, policy delay, target noise (backend activo).</w:t>
            </w:r>
          </w:p>
        </w:tc>
      </w:tr>
      <w:tr>
        <w:tc>
          <w:tcPr>
            <w:tcW w:type="dxa" w:w="113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3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Off-policy</w:t>
            </w:r>
          </w:p>
        </w:tc>
        <w:tc>
          <w:tcPr>
            <w:tcW w:type="dxa" w:w="3402"/>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external/MAAC · CityLearnMAACVecEnv</w:t>
            </w:r>
          </w:p>
        </w:tc>
        <w:tc>
          <w:tcPr>
            <w:tcW w:type="dxa" w:w="3402"/>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Critico de atencion multi-cabeza (4 heads).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componentes tecnicos de la propuesta, arquitectura, algoritmos, recompensas y trazabilidad experimental. Fuente: Elaboracion propia a partir del repositorio local, CityLearn v2, extension CityLearn v3 propuesta, scripts de dataset y corrida Drive madrl_v3_20260627_164047.</w:t>
      </w:r>
    </w:p>
    <w:p/>
    <w:p>
      <w:pPr>
        <w:spacing w:line="480" w:lineRule="auto" w:before="0" w:after="0"/>
        <w:ind w:firstLine="720"/>
        <w:jc w:val="both"/>
      </w:pPr>
      <w:r>
        <w:rPr>
          <w:rFonts w:ascii="Times New Roman" w:hAnsi="Times New Roman" w:cs="Times New Roman"/>
          <w:b w:val="0"/>
          <w:i w:val="0"/>
          <w:sz w:val="24"/>
        </w:rPr>
        <w:t>Esta tesis determina, mediante simulacion computacional bajo diseño cuasiexperimental factorial 4x3, el efecto de cuatro algoritmos Multi-Agente de Aprendizaje por Refuerzo Profundo (MADRL) -HAPPO, MASAC, MATD3 y MAAC- sobre la flexibilidad energetica, las emisiones de CO2 y los costos energeticos en una comunidad inteligente del Sistema Electrico Aislado de Iquitos. La evidencia corresponde a la corrida canonica Drive madrl_v3_20260627_164047, con 50 episodios registrados por tratamiento, 17 edificios, 185 cargadores EV, BESS/PV, checkpoints y trazas auditables. La contrastacion se organiza estrictamente por OE.1 flexibilidad, OE.2 emisiones de CO2 y OE.3 costos, usando resultados distritales, resultados por edificio, equipamiento controlado/no controlado, curvas de convergencia y KPIs compatibles con la lectura CityLearn v2 evaluate_v2. No se incorporan valores externos ni resultados exploratorios ajenos a esa corrida Drive.</w:t>
      </w:r>
    </w:p>
    <w:p>
      <w:pPr>
        <w:spacing w:line="480" w:lineRule="auto" w:before="0" w:after="0"/>
        <w:ind w:firstLine="720"/>
        <w:jc w:val="both"/>
      </w:pPr>
      <w:r>
        <w:rPr>
          <w:rFonts w:ascii="Times New Roman" w:hAnsi="Times New Roman" w:cs="Times New Roman"/>
          <w:b w:val="0"/>
          <w:i w:val="0"/>
          <w:sz w:val="24"/>
        </w:rPr>
        <w:t>Esta tesis determina, mediante simulacion computacional bajo diseño cuasiexperimental factorial 4x3, el efecto de cuatro algoritmos Multi-Agente de Aprendizaje por Refuerzo Profundo (MADRL) -HAPPO, MASAC, MATD3 y MAAC- sobre la flexibilidad energetica, las emisiones de CO2 y los costos energeticos en una comunidad inteligente del Sistema Electrico Aislado de Iquitos. La evidencia corresponde a la corrida canonica Drive madrl_v3_20260627_164047, con 50 episodios registrados por tratamiento, 17 edificios, 185 cargadores EV, BESS/PV, checkpoints y trazas auditables. La contrastacion se organiza estrictamente por OE.1 flexibilidad, OE.2 emisiones de CO2 y OE.3 costos, usando resultados distritales, resultados por edificio, equipamiento controlado/no controlado, curvas de convergencia y KPIs compatibles con la lectura CityLearn v2 evaluate_v2. No se incorporan valores externos ni resultados exploratorios ajenos a esa corrida Drive.</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6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Parametro</w:t>
            </w:r>
          </w:p>
        </w:tc>
        <w:tc>
          <w:tcPr>
            <w:tcW w:type="dxa" w:w="255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Colab canonico (50 ep)</w:t>
            </w:r>
          </w:p>
        </w:tc>
        <w:tc>
          <w:tcPr>
            <w:tcW w:type="dxa" w:w="226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Local v4 (5 ep)</w:t>
            </w:r>
          </w:p>
        </w:tc>
        <w:tc>
          <w:tcPr>
            <w:tcW w:type="dxa" w:w="198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Notas</w:t>
            </w:r>
          </w:p>
        </w:tc>
      </w:tr>
      <w:tr>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Episodios × pasos</w:t>
            </w:r>
          </w:p>
        </w:tc>
        <w:tc>
          <w:tcPr>
            <w:tcW w:type="dxa" w:w="255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 × 8 760</w:t>
            </w:r>
          </w:p>
        </w:tc>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 × 8 760</w:t>
            </w:r>
          </w:p>
        </w:tc>
        <w:tc>
          <w:tcPr>
            <w:tcW w:type="dxa" w:w="198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438 000 vs 43 800 pasos/corrida</w:t>
            </w:r>
          </w:p>
        </w:tc>
      </w:tr>
      <w:tr>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gamma</w:t>
            </w:r>
          </w:p>
        </w:tc>
        <w:tc>
          <w:tcPr>
            <w:tcW w:type="dxa" w:w="255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0.9999</w:t>
            </w:r>
          </w:p>
        </w:tc>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0.9999</w:t>
            </w:r>
          </w:p>
        </w:tc>
        <w:tc>
          <w:tcPr>
            <w:tcW w:type="dxa" w:w="198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Identico</w:t>
            </w:r>
          </w:p>
        </w:tc>
      </w:tr>
      <w:tr>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hidden / actor</w:t>
            </w:r>
          </w:p>
        </w:tc>
        <w:tc>
          <w:tcPr>
            <w:tcW w:type="dxa" w:w="255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[512,512] HAPPO; 768 MATD3/MAAC</w:t>
            </w:r>
          </w:p>
        </w:tc>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[256,256] todos</w:t>
            </w:r>
          </w:p>
        </w:tc>
        <w:tc>
          <w:tcPr>
            <w:tcW w:type="dxa" w:w="198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Mayor capacidad en Colab</w:t>
            </w:r>
          </w:p>
        </w:tc>
      </w:tr>
      <w:tr>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replay_buffer MATD3</w:t>
            </w:r>
          </w:p>
        </w:tc>
        <w:tc>
          <w:tcPr>
            <w:tcW w:type="dxa" w:w="255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2 000 000</w:t>
            </w:r>
          </w:p>
        </w:tc>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4 096</w:t>
            </w:r>
          </w:p>
        </w:tc>
        <w:tc>
          <w:tcPr>
            <w:tcW w:type="dxa" w:w="198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Restriccion VRAM 8 GB local</w:t>
            </w:r>
          </w:p>
        </w:tc>
      </w:tr>
      <w:tr>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batch MATD3</w:t>
            </w:r>
          </w:p>
        </w:tc>
        <w:tc>
          <w:tcPr>
            <w:tcW w:type="dxa" w:w="255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1 024</w:t>
            </w:r>
          </w:p>
        </w:tc>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256</w:t>
            </w:r>
          </w:p>
        </w:tc>
        <w:tc>
          <w:tcPr>
            <w:tcW w:type="dxa" w:w="198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Colab A100</w:t>
            </w:r>
          </w:p>
        </w:tc>
      </w:tr>
      <w:tr>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 replay</w:t>
            </w:r>
          </w:p>
        </w:tc>
        <w:tc>
          <w:tcPr>
            <w:tcW w:type="dxa" w:w="255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 ep CPU</w:t>
            </w:r>
          </w:p>
        </w:tc>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on-GPU reducido</w:t>
            </w:r>
          </w:p>
        </w:tc>
        <w:tc>
          <w:tcPr>
            <w:tcW w:type="dxa" w:w="198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Protocolo two_phase_happo_masac</w:t>
            </w:r>
          </w:p>
        </w:tc>
      </w:tr>
      <w:tr>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Semillas</w:t>
            </w:r>
          </w:p>
        </w:tc>
        <w:tc>
          <w:tcPr>
            <w:tcW w:type="dxa" w:w="255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seed 0</w:t>
            </w:r>
          </w:p>
        </w:tc>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seed 0</w:t>
            </w:r>
          </w:p>
        </w:tc>
        <w:tc>
          <w:tcPr>
            <w:tcW w:type="dxa" w:w="198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Limitacion inferencial</w:t>
            </w:r>
          </w:p>
        </w:tc>
      </w:tr>
      <w:tr>
        <w:tc>
          <w:tcPr>
            <w:tcW w:type="dxa" w:w="226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GPU</w:t>
            </w:r>
          </w:p>
        </w:tc>
        <w:tc>
          <w:tcPr>
            <w:tcW w:type="dxa" w:w="255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A100-SXM4-80GB</w:t>
            </w:r>
          </w:p>
        </w:tc>
        <w:tc>
          <w:tcPr>
            <w:tcW w:type="dxa" w:w="226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RTX 4060 8 GB</w:t>
            </w:r>
          </w:p>
        </w:tc>
        <w:tc>
          <w:tcPr>
            <w:tcW w:type="dxa" w:w="198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madrl_v3_20260627_164047</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
      <w:pPr>
        <w:spacing w:line="480" w:lineRule="auto" w:before="0" w:after="0"/>
        <w:ind w:firstLine="720"/>
        <w:jc w:val="both"/>
      </w:pPr>
      <w:r>
        <w:rPr>
          <w:rFonts w:ascii="Times New Roman" w:hAnsi="Times New Roman" w:cs="Times New Roman" w:eastAsia="Times New Roman"/>
          <w:b w:val="0"/>
          <w:i w:val="0"/>
          <w:color w:val="000000"/>
          <w:sz w:val="24"/>
        </w:rPr>
        <w:t>La optimizacion automatica de hiperparametros con Optuna (TPE) queda como mejora experimental posterior; la evidencia cuantitativa se toma de la corrida canonica Colab.</w:t>
      </w:r>
    </w:p>
    <w:p>
      <w:pPr>
        <w:pStyle w:val="Heading2"/>
        <w:spacing w:line="480" w:lineRule="auto" w:before="0" w:after="0"/>
        <w:jc w:val="left"/>
      </w:pPr>
      <w:r>
        <w:rPr>
          <w:rFonts w:ascii="Times New Roman" w:hAnsi="Times New Roman" w:cs="Times New Roman" w:eastAsia="Times New Roman"/>
          <w:color w:val="000000"/>
          <w:sz w:val="24"/>
        </w:rPr>
        <w:t>4.5 Funcion de recompensa multiobjetivo</w:t>
      </w:r>
    </w:p>
    <w:p>
      <w:pPr>
        <w:spacing w:line="480" w:lineRule="auto" w:before="0" w:after="0"/>
        <w:ind w:firstLine="720"/>
        <w:jc w:val="both"/>
      </w:pPr>
      <w:r>
        <w:rPr>
          <w:rFonts w:ascii="Times New Roman" w:hAnsi="Times New Roman" w:cs="Times New Roman" w:eastAsia="Times New Roman"/>
          <w:b w:val="0"/>
          <w:i w:val="0"/>
          <w:color w:val="000000"/>
          <w:sz w:val="24"/>
        </w:rPr>
        <w:t>La clase CityLearnV3MADRLRewardFunction (hereda de Electric_Vehicles_Reward_Function) calcula la recompensa de cada edificio como:</w:t>
      </w:r>
    </w:p>
    <w:p>
      <w:pPr>
        <w:spacing w:line="480" w:lineRule="auto" w:before="0" w:after="0"/>
        <w:ind w:firstLine="720"/>
        <w:jc w:val="both"/>
      </w:pPr>
      <w:r>
        <w:rPr>
          <w:rFonts w:ascii="Times New Roman" w:hAnsi="Times New Roman" w:cs="Times New Roman" w:eastAsia="Times New Roman"/>
          <w:b w:val="0"/>
          <w:i/>
          <w:color w:val="000000"/>
          <w:sz w:val="24"/>
        </w:rPr>
        <w:t>reward_i(t) = reward_scale x [ w_flex·flex_i + w_carbon·carbon_i + w_cost·cost_i + ev_weight·ev_i ]</w:t>
      </w:r>
    </w:p>
    <w:p>
      <w:pPr>
        <w:spacing w:line="480" w:lineRule="auto" w:before="0" w:after="0"/>
        <w:ind w:firstLine="720"/>
        <w:jc w:val="both"/>
      </w:pPr>
      <w:r>
        <w:rPr>
          <w:rFonts w:ascii="Times New Roman" w:hAnsi="Times New Roman" w:cs="Times New Roman" w:eastAsia="Times New Roman"/>
          <w:b w:val="0"/>
          <w:i w:val="0"/>
          <w:color w:val="000000"/>
          <w:sz w:val="24"/>
        </w:rPr>
        <w:t>El componente de flexibilidad opera a nivel de distrito (peak_share y ramp_share sobre la carga neta agregada, con incentivos de exportacion/headroom BESS); el de carbono pondera la importacion por CI(t); y el de costo refleja la tarifa TOU. La agregacion cooperativa usa mixed_reward_i = (1 - r)·reward_i + r·team_reward, con team_reward_ratio r = 0.70. El perfil activo es unified_comparable (v4) e identico para los cuatro algoritmos, garantizando comparabilidad estadistica.</w:t>
      </w:r>
    </w:p>
    <w:p>
      <w:pPr>
        <w:pStyle w:val="TablaIndice"/>
        <w:spacing w:before="0" w:after="0" w:line="480" w:lineRule="auto"/>
        <w:ind/>
        <w:jc w:val="left"/>
      </w:pPr>
      <w:r>
        <w:rPr>
          <w:rFonts w:ascii="Times New Roman" w:hAnsi="Times New Roman" w:cs="Times New Roman" w:eastAsia="Times New Roman"/>
          <w:b/>
          <w:i w:val="0"/>
          <w:color w:val="000000"/>
          <w:sz w:val="24"/>
        </w:rPr>
        <w:t>Tabla 4.4</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Parametros de la funcion de recompensa multiobjetivo (perfil unificado v4)</w:t>
      </w:r>
    </w:p>
    <w:tbl>
      <w:tblPr>
        <w:tblStyle w:val="LightGrid-Accent1"/>
        <w:tblW w:type="auto" w:w="0"/>
        <w:jc w:val="center"/>
        <w:tblLook w:firstColumn="1" w:firstRow="1" w:lastColumn="0" w:lastRow="0" w:noHBand="0" w:noVBand="1" w:val="04A0"/>
      </w:tblPr>
      <w:tblGrid>
        <w:gridCol w:w="3041"/>
        <w:gridCol w:w="3041"/>
        <w:gridCol w:w="3041"/>
      </w:tblGrid>
      <w:tr>
        <w:tc>
          <w:tcPr>
            <w:tcW w:type="dxa" w:w="294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Parametro</w:t>
            </w:r>
          </w:p>
        </w:tc>
        <w:tc>
          <w:tcPr>
            <w:tcW w:type="dxa" w:w="215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Valor</w:t>
            </w:r>
          </w:p>
        </w:tc>
        <w:tc>
          <w:tcPr>
            <w:tcW w:type="dxa" w:w="3969"/>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Justificacion sintetica</w:t>
            </w:r>
          </w:p>
        </w:tc>
      </w:tr>
      <w:tr>
        <w:tc>
          <w:tcPr>
            <w:tcW w:type="dxa" w:w="294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w_flex / w_carbon / w_cost (E1)</w:t>
            </w:r>
          </w:p>
        </w:tc>
        <w:tc>
          <w:tcPr>
            <w:tcW w:type="dxa" w:w="215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0.70 / 0.15 / 0.15</w:t>
            </w:r>
          </w:p>
        </w:tc>
        <w:tc>
          <w:tcPr>
            <w:tcW w:type="dxa" w:w="3969"/>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Escenario lexicografico de flexibilidad.</w:t>
            </w:r>
          </w:p>
        </w:tc>
      </w:tr>
      <w:tr>
        <w:tc>
          <w:tcPr>
            <w:tcW w:type="dxa" w:w="294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w_flex / w_carbon / w_cost (E2)</w:t>
            </w:r>
          </w:p>
        </w:tc>
        <w:tc>
          <w:tcPr>
            <w:tcW w:type="dxa" w:w="215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0.15 / 0.70 / 0.15</w:t>
            </w:r>
          </w:p>
        </w:tc>
        <w:tc>
          <w:tcPr>
            <w:tcW w:type="dxa" w:w="3969"/>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Escenario lexicografico de CO2.</w:t>
            </w:r>
          </w:p>
        </w:tc>
      </w:tr>
      <w:tr>
        <w:tc>
          <w:tcPr>
            <w:tcW w:type="dxa" w:w="294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w_flex / w_carbon / w_cost (E3)</w:t>
            </w:r>
          </w:p>
        </w:tc>
        <w:tc>
          <w:tcPr>
            <w:tcW w:type="dxa" w:w="215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0.25 / 0.15 / 0.60</w:t>
            </w:r>
          </w:p>
        </w:tc>
        <w:tc>
          <w:tcPr>
            <w:tcW w:type="dxa" w:w="3969"/>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Costo-pico correlacionados en TOU.</w:t>
            </w:r>
          </w:p>
        </w:tc>
      </w:tr>
      <w:tr>
        <w:tc>
          <w:tcPr>
            <w:tcW w:type="dxa" w:w="294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team_reward_ratio (r)</w:t>
            </w:r>
          </w:p>
        </w:tc>
        <w:tc>
          <w:tcPr>
            <w:tcW w:type="dxa" w:w="215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0.70</w:t>
            </w:r>
          </w:p>
        </w:tc>
        <w:tc>
          <w:tcPr>
            <w:tcW w:type="dxa" w:w="3969"/>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Coordinacion cooperativa Dec-POMDP (media de perfiles del plan).</w:t>
            </w:r>
          </w:p>
        </w:tc>
      </w:tr>
      <w:tr>
        <w:tc>
          <w:tcPr>
            <w:tcW w:type="dxa" w:w="294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peak_weight / ramp_weight</w:t>
            </w:r>
          </w:p>
        </w:tc>
        <w:tc>
          <w:tcPr>
            <w:tcW w:type="dxa" w:w="215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0.45 / 0.35</w:t>
            </w:r>
          </w:p>
        </w:tc>
        <w:tc>
          <w:tcPr>
            <w:tcW w:type="dxa" w:w="3969"/>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KPI primario y secundario de flexibilidad CityLearn.</w:t>
            </w:r>
          </w:p>
        </w:tc>
      </w:tr>
      <w:tr>
        <w:tc>
          <w:tcPr>
            <w:tcW w:type="dxa" w:w="294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ev_weight</w:t>
            </w:r>
          </w:p>
        </w:tc>
        <w:tc>
          <w:tcPr>
            <w:tcW w:type="dxa" w:w="215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0.25</w:t>
            </w:r>
          </w:p>
        </w:tc>
        <w:tc>
          <w:tcPr>
            <w:tcW w:type="dxa" w:w="3969"/>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Termino EV/SOC reforzado para evitar dejar EV sin cargar.</w:t>
            </w:r>
          </w:p>
        </w:tc>
      </w:tr>
      <w:tr>
        <w:tc>
          <w:tcPr>
            <w:tcW w:type="dxa" w:w="294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reward_scale</w:t>
            </w:r>
          </w:p>
        </w:tc>
        <w:tc>
          <w:tcPr>
            <w:tcW w:type="dxa" w:w="215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1.00</w:t>
            </w:r>
          </w:p>
        </w:tc>
        <w:tc>
          <w:tcPr>
            <w:tcW w:type="dxa" w:w="3969"/>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Escala uniforme para gradientes comparables.</w:t>
            </w:r>
          </w:p>
        </w:tc>
      </w:tr>
      <w:tr>
        <w:tc>
          <w:tcPr>
            <w:tcW w:type="dxa" w:w="294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carbon_reference / price_reference</w:t>
            </w:r>
          </w:p>
        </w:tc>
        <w:tc>
          <w:tcPr>
            <w:tcW w:type="dxa" w:w="215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0.35 / 0.20</w:t>
            </w:r>
          </w:p>
        </w:tc>
        <w:tc>
          <w:tcPr>
            <w:tcW w:type="dxa" w:w="3969"/>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Referencia global IEA y spot competitivo.</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componentes tecnicos de la propuesta, arquitectura, algoritmos, recompensas y trazabilidad experimental. Fuente: Elaboracion propia a partir del repositorio local, CityLearn v2, extension CityLearn v3 propuesta, scripts de dataset y corrida Drive madrl_v3_20260627_164047.</w:t>
      </w:r>
    </w:p>
    <w:p/>
    <w:p>
      <w:pPr>
        <w:pStyle w:val="Heading2"/>
        <w:spacing w:line="480" w:lineRule="auto" w:before="0" w:after="0"/>
        <w:jc w:val="left"/>
      </w:pPr>
      <w:r>
        <w:rPr>
          <w:rFonts w:ascii="Times New Roman" w:hAnsi="Times New Roman" w:cs="Times New Roman" w:eastAsia="Times New Roman"/>
          <w:color w:val="000000"/>
          <w:sz w:val="24"/>
        </w:rPr>
        <w:t>4.6 Aportes originales al motor de simulacion</w:t>
      </w:r>
    </w:p>
    <w:p>
      <w:pPr>
        <w:spacing w:line="480" w:lineRule="auto" w:before="0" w:after="0"/>
        <w:ind w:firstLine="720"/>
        <w:jc w:val="both"/>
      </w:pPr>
      <w:r>
        <w:rPr>
          <w:rFonts w:ascii="Times New Roman" w:hAnsi="Times New Roman" w:cs="Times New Roman" w:eastAsia="Times New Roman"/>
          <w:b w:val="0"/>
          <w:i w:val="0"/>
          <w:color w:val="000000"/>
          <w:sz w:val="24"/>
        </w:rPr>
        <w:t>Como contribucion metodologica diferencial, se realizaron cuatro extensiones originales y retrocompatibles al fork CityLearn (commit 54b1938e):</w:t>
      </w:r>
    </w:p>
    <w:p>
      <w:pPr>
        <w:pStyle w:val="TablaIndice"/>
        <w:spacing w:before="0" w:after="0" w:line="480" w:lineRule="auto"/>
        <w:ind/>
        <w:jc w:val="left"/>
      </w:pPr>
      <w:r>
        <w:rPr>
          <w:rFonts w:ascii="Times New Roman" w:hAnsi="Times New Roman" w:cs="Times New Roman" w:eastAsia="Times New Roman"/>
          <w:b/>
          <w:i w:val="0"/>
          <w:color w:val="000000"/>
          <w:sz w:val="24"/>
        </w:rPr>
        <w:t>Tabla 4.5</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Aportes originales al motor de simulacion CityLearn</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45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w:t>
            </w:r>
          </w:p>
        </w:tc>
        <w:tc>
          <w:tcPr>
            <w:tcW w:type="dxa" w:w="249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Aporte</w:t>
            </w:r>
          </w:p>
        </w:tc>
        <w:tc>
          <w:tcPr>
            <w:tcW w:type="dxa" w:w="2835"/>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Clase/Metodo</w:t>
            </w:r>
          </w:p>
        </w:tc>
        <w:tc>
          <w:tcPr>
            <w:tcW w:type="dxa" w:w="328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Modelo incorporado</w:t>
            </w:r>
          </w:p>
        </w:tc>
      </w:tr>
      <w:tr>
        <w:tc>
          <w:tcPr>
            <w:tcW w:type="dxa" w:w="45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A1</w:t>
            </w:r>
          </w:p>
        </w:tc>
        <w:tc>
          <w:tcPr>
            <w:tcW w:type="dxa" w:w="249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Degradacion BESS C-rate + Arrhenius</w:t>
            </w:r>
          </w:p>
        </w:tc>
        <w:tc>
          <w:tcPr>
            <w:tcW w:type="dxa" w:w="2835"/>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Battery.degrade(temperature_celsius)</w:t>
            </w:r>
          </w:p>
        </w:tc>
        <w:tc>
          <w:tcPr>
            <w:tcW w:type="dxa" w:w="328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ΔC = base·(C_rate)^0.55·exp[Ea/R·(1/T_ref - 1/T)], Ea=24500 J/mol.</w:t>
            </w:r>
          </w:p>
        </w:tc>
      </w:tr>
      <w:tr>
        <w:tc>
          <w:tcPr>
            <w:tcW w:type="dxa" w:w="45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A2</w:t>
            </w:r>
          </w:p>
        </w:tc>
        <w:tc>
          <w:tcPr>
            <w:tcW w:type="dxa" w:w="249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Correccion PV tropical (IEC 61215)</w:t>
            </w:r>
          </w:p>
        </w:tc>
        <w:tc>
          <w:tcPr>
            <w:tcW w:type="dxa" w:w="2835"/>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PV.get_generation(dry_bulb_temperature, ghi)</w:t>
            </w:r>
          </w:p>
        </w:tc>
        <w:tc>
          <w:tcPr>
            <w:tcW w:type="dxa" w:w="328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T_cell = T_amb + (NOCT-20)/800·G; P(T)=P_STC·[1+γ(T_cell-25)], γ=-0.0035/°C.</w:t>
            </w:r>
          </w:p>
        </w:tc>
      </w:tr>
      <w:tr>
        <w:tc>
          <w:tcPr>
            <w:tcW w:type="dxa" w:w="45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A3</w:t>
            </w:r>
          </w:p>
        </w:tc>
        <w:tc>
          <w:tcPr>
            <w:tcW w:type="dxa" w:w="249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KPI pico con ventana de facturacion</w:t>
            </w:r>
          </w:p>
        </w:tc>
        <w:tc>
          <w:tcPr>
            <w:tcW w:type="dxa" w:w="2835"/>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CostFunction.peak(billing_window_steps)</w:t>
            </w:r>
          </w:p>
        </w:tc>
        <w:tc>
          <w:tcPr>
            <w:tcW w:type="dxa" w:w="328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Maximo rodante sub-horario (OSINERGMIN MT-3/MT-4, 15 min).</w:t>
            </w:r>
          </w:p>
        </w:tc>
      </w:tr>
      <w:tr>
        <w:tc>
          <w:tcPr>
            <w:tcW w:type="dxa" w:w="45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A4</w:t>
            </w:r>
          </w:p>
        </w:tc>
        <w:tc>
          <w:tcPr>
            <w:tcW w:type="dxa" w:w="249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Modelo CI dinamico diesel+PV</w:t>
            </w:r>
          </w:p>
        </w:tc>
        <w:tc>
          <w:tcPr>
            <w:tcW w:type="dxa" w:w="2835"/>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CarbonIntensityModel(base_ci, pv_displacement_factor)</w:t>
            </w:r>
          </w:p>
        </w:tc>
        <w:tc>
          <w:tcPr>
            <w:tcW w:type="dxa" w:w="328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CI(t)=0.790·(1-0.15·min(GHI/1000,1)).</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componentes tecnicos de la propuesta, arquitectura, algoritmos, recompensas y trazabilidad experimental. Fuente: Elaboracion propia a partir del repositorio local, CityLearn v2, extension CityLearn v3 propuesta, scripts de dataset y corrida Drive madrl_v3_20260627_164047.</w:t>
      </w:r>
    </w:p>
    <w:p/>
    <w:p>
      <w:pPr>
        <w:pStyle w:val="Heading2"/>
        <w:spacing w:line="480" w:lineRule="auto" w:before="0" w:after="0"/>
        <w:jc w:val="left"/>
      </w:pPr>
      <w:r>
        <w:rPr>
          <w:rFonts w:ascii="Times New Roman" w:hAnsi="Times New Roman" w:cs="Times New Roman"/>
          <w:b/>
          <w:i w:val="0"/>
          <w:sz w:val="24"/>
        </w:rPr>
        <w:t>4.7 Diseño cuasiexperimental: matriz de 12 corridas</w:t>
      </w:r>
    </w:p>
    <w:p>
      <w:pPr>
        <w:spacing w:line="480" w:lineRule="auto" w:before="0" w:after="0"/>
        <w:ind w:firstLine="720"/>
        <w:jc w:val="both"/>
      </w:pPr>
      <w:r>
        <w:rPr>
          <w:rFonts w:ascii="Times New Roman" w:hAnsi="Times New Roman" w:cs="Times New Roman"/>
          <w:b w:val="0"/>
          <w:i w:val="0"/>
          <w:sz w:val="24"/>
        </w:rPr>
        <w:t>Esta tesis determina, mediante simulacion computacional bajo diseño cuasiexperimental factorial 4x3, el efecto de cuatro algoritmos Multi-Agente de Aprendizaje por Refuerzo Profundo (MADRL) -HAPPO, MASAC, MATD3 y MAAC- sobre la flexibilidad energetica, las emisiones de CO2 y los costos energeticos en una comunidad inteligente del Sistema Electrico Aislado de Iquitos. La evidencia corresponde a la corrida canonica Drive madrl_v3_20260627_164047, con 50 episodios registrados por tratamiento, 17 edificios, 185 cargadores EV, BESS/PV, checkpoints y trazas auditables. La contrastacion se organiza estrictamente por OE.1 flexibilidad, OE.2 emisiones de CO2 y OE.3 costos, usando resultados distritales, resultados por edificio, equipamiento controlado/no controlado, curvas de convergencia y KPIs compatibles con la lectura CityLearn v2 evaluate_v2. No se incorporan valores externos ni resultados exploratorios ajenos a esa corrida Drive.</w:t>
      </w:r>
    </w:p>
    <w:p>
      <w:pPr>
        <w:pStyle w:val="TablaIndice"/>
        <w:spacing w:before="0" w:after="0" w:line="480" w:lineRule="auto"/>
        <w:ind/>
        <w:jc w:val="left"/>
      </w:pPr>
      <w:r>
        <w:rPr>
          <w:rFonts w:ascii="Times New Roman" w:hAnsi="Times New Roman" w:cs="Times New Roman" w:eastAsia="Times New Roman"/>
          <w:b/>
          <w:i w:val="0"/>
          <w:color w:val="000000"/>
          <w:sz w:val="24"/>
        </w:rPr>
        <w:t>Tabla 4.6</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Matriz experimental de 12 corridas oficiales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98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Escenario</w:t>
            </w:r>
          </w:p>
        </w:tc>
        <w:tc>
          <w:tcPr>
            <w:tcW w:type="dxa" w:w="1757"/>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HAPPO</w:t>
            </w:r>
          </w:p>
        </w:tc>
        <w:tc>
          <w:tcPr>
            <w:tcW w:type="dxa" w:w="1757"/>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MASAC</w:t>
            </w:r>
          </w:p>
        </w:tc>
        <w:tc>
          <w:tcPr>
            <w:tcW w:type="dxa" w:w="1757"/>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MATD3</w:t>
            </w:r>
          </w:p>
        </w:tc>
        <w:tc>
          <w:tcPr>
            <w:tcW w:type="dxa" w:w="1757"/>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MAAC</w:t>
            </w:r>
          </w:p>
        </w:tc>
      </w:tr>
      <w:tr>
        <w:tc>
          <w:tcPr>
            <w:tcW w:type="dxa" w:w="198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 Flexibilidad</w:t>
            </w:r>
          </w:p>
        </w:tc>
        <w:tc>
          <w:tcPr>
            <w:tcW w:type="dxa" w:w="175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happo/E1_s0</w:t>
            </w:r>
          </w:p>
        </w:tc>
        <w:tc>
          <w:tcPr>
            <w:tcW w:type="dxa" w:w="175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masac/E1_s0</w:t>
            </w:r>
          </w:p>
        </w:tc>
        <w:tc>
          <w:tcPr>
            <w:tcW w:type="dxa" w:w="175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matd3/E1_s0</w:t>
            </w:r>
          </w:p>
        </w:tc>
        <w:tc>
          <w:tcPr>
            <w:tcW w:type="dxa" w:w="175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maac/E1_s0</w:t>
            </w:r>
          </w:p>
        </w:tc>
      </w:tr>
      <w:tr>
        <w:tc>
          <w:tcPr>
            <w:tcW w:type="dxa" w:w="198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 CO2</w:t>
            </w:r>
          </w:p>
        </w:tc>
        <w:tc>
          <w:tcPr>
            <w:tcW w:type="dxa" w:w="175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happo/E2_s0</w:t>
            </w:r>
          </w:p>
        </w:tc>
        <w:tc>
          <w:tcPr>
            <w:tcW w:type="dxa" w:w="175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masac/E2_s0</w:t>
            </w:r>
          </w:p>
        </w:tc>
        <w:tc>
          <w:tcPr>
            <w:tcW w:type="dxa" w:w="175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matd3/E2_s0</w:t>
            </w:r>
          </w:p>
        </w:tc>
        <w:tc>
          <w:tcPr>
            <w:tcW w:type="dxa" w:w="175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maac/E2_s0</w:t>
            </w:r>
          </w:p>
        </w:tc>
      </w:tr>
      <w:tr>
        <w:tc>
          <w:tcPr>
            <w:tcW w:type="dxa" w:w="198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E3 Costos</w:t>
            </w:r>
          </w:p>
        </w:tc>
        <w:tc>
          <w:tcPr>
            <w:tcW w:type="dxa" w:w="1757"/>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happo/E3_s0</w:t>
            </w:r>
          </w:p>
        </w:tc>
        <w:tc>
          <w:tcPr>
            <w:tcW w:type="dxa" w:w="1757"/>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masac/E3_s0</w:t>
            </w:r>
          </w:p>
        </w:tc>
        <w:tc>
          <w:tcPr>
            <w:tcW w:type="dxa" w:w="1757"/>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matd3/E3_s0</w:t>
            </w:r>
          </w:p>
        </w:tc>
        <w:tc>
          <w:tcPr>
            <w:tcW w:type="dxa" w:w="1757"/>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maac/E3_s0</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componentes tecnicos de la propuesta, arquitectura, algoritmos, recompensas y trazabilidad experimental. Fuente: Elaboracion propia a partir del repositorio local, CityLearn v2, extension CityLearn v3 propuesta, scripts de dataset y corrida Drive madrl_v3_20260627_164047.</w:t>
      </w:r>
    </w:p>
    <w:p/>
    <w:p>
      <w:pPr>
        <w:pStyle w:val="Heading2"/>
        <w:spacing w:line="480" w:lineRule="auto" w:before="0" w:after="0"/>
        <w:jc w:val="left"/>
      </w:pPr>
      <w:r>
        <w:rPr>
          <w:rFonts w:ascii="Times New Roman" w:hAnsi="Times New Roman" w:cs="Times New Roman" w:eastAsia="Times New Roman"/>
          <w:color w:val="000000"/>
          <w:sz w:val="24"/>
        </w:rPr>
        <w:t>4.8 Implementacion</w:t>
      </w:r>
    </w:p>
    <w:p>
      <w:pPr>
        <w:spacing w:line="480" w:lineRule="auto" w:before="0" w:after="0"/>
        <w:ind w:firstLine="720"/>
        <w:jc w:val="both"/>
      </w:pPr>
      <w:r>
        <w:rPr>
          <w:rFonts w:ascii="Times New Roman" w:hAnsi="Times New Roman" w:cs="Times New Roman" w:eastAsia="Times New Roman"/>
          <w:b w:val="0"/>
          <w:i w:val="0"/>
          <w:color w:val="000000"/>
          <w:sz w:val="24"/>
        </w:rPr>
        <w:t>Entorno: Python 3.9 (.venv39-citylearn-v3), PyTorch 2.8.0+cu126, CUDA 12.6. Los scripts de entrenamiento comparten el adaptador citylearn_v3_training_common.py (normalizacion, KPIs, trazas, figuras, tablas y metadatos). Cada corrida produce results.json, training_summary.json, timeseries.csv, trace.csv, checkpoint_manifest.json y figures_manifest.json. El despliegue admite ejecucion local (PowerShell) y en la nube (Colab A100; Docker/AWS EC2 opcional).</w:t>
      </w:r>
    </w:p>
    <w:p>
      <w:pPr>
        <w:spacing w:line="480" w:lineRule="auto" w:before="0" w:after="0"/>
        <w:ind w:firstLine="720"/>
        <w:jc w:val="both"/>
      </w:pPr>
      <w:r>
        <w:rPr>
          <w:rFonts w:ascii="Times New Roman" w:hAnsi="Times New Roman" w:cs="Times New Roman" w:eastAsia="Times New Roman"/>
          <w:b w:val="0"/>
          <w:i w:val="0"/>
          <w:color w:val="000000"/>
          <w:sz w:val="24"/>
        </w:rPr>
        <w:t>La corrida canonica de 50 episodios se ejecuta en Colab sobre una NVIDIA A100-SXM4-80GB (Pro+ High-RAM, ~167 GiB de RAM) mediante colab_a100_official_launcher.py en modo two_phase_happo_masac (protocolo two_phase_happo_masac_v3): la Fase 1 entrena HAPPO y MASAC y la Fase 2 MATD3 y MAAC, con seis trabajos en paralelo por fase, replay de MASAC en CPU, monitoreo con colab_a100_live_monitor.py y reanudacion intra-job mediante live_progress.json y --skip-completed. Los artefactos de esa corrida se integraran desde outputs/colab_50ep/ o desde la carpeta de Google Drive del entrenamiento. Fuente: notebook CityLearn/examples/madrl_citylearn_v3_tutorial.ipynb.</w:t>
      </w:r>
    </w:p>
    <w:p>
      <w:r>
        <w:br w:type="page"/>
      </w:r>
    </w:p>
    <w:p>
      <w:r>
        <w:br w:type="page"/>
      </w:r>
    </w:p>
    <w:p>
      <w:pPr>
        <w:pStyle w:val="Heading2"/>
        <w:spacing w:line="480" w:lineRule="auto" w:before="0" w:after="0"/>
        <w:jc w:val="left"/>
      </w:pPr>
      <w:r>
        <w:rPr>
          <w:rFonts w:ascii="Times New Roman" w:hAnsi="Times New Roman" w:cs="Times New Roman" w:eastAsia="Times New Roman"/>
          <w:color w:val="000000"/>
          <w:sz w:val="24"/>
        </w:rPr>
        <w:t>4.9 Detalle tecnico de la propuesta derivado del resumen</w:t>
      </w:r>
    </w:p>
    <w:p>
      <w:pPr>
        <w:spacing w:before="0" w:after="0" w:line="480" w:lineRule="auto"/>
        <w:ind w:firstLine="720"/>
        <w:jc w:val="both"/>
      </w:pPr>
      <w:r>
        <w:rPr>
          <w:rFonts w:ascii="Times New Roman" w:hAnsi="Times New Roman" w:cs="Times New Roman" w:eastAsia="Times New Roman"/>
          <w:color w:val="000000"/>
          <w:sz w:val="24"/>
        </w:rPr>
        <w:t>El resumen sintetiza la propuesta de tesis; por tanto, este numeral desarrolla de forma tecnica los mismos componentes para que el lector no encuentre informacion clave solamente en la parte inicial del documento. La propuesta consiste en una arquitectura experimental MADRL sobre CityLearn v2, extendida como CityLearn v3 propuesto, que permite representar una comunidad inteligente del SEAI Iquitos como Dec-POMDP, entrenar politicas bajo CTDE y evaluar el efecto de HAPPO, MAAC, MASAC y MATD3 sobre flexibilidad energetica, emisiones de CO2 y costos energeticos. Esta seccion no introduce resultados nuevos: organiza y detalla los datos, librerias, fuentes, scripts y artefactos que sustentan el resumen y que luego se contrastan en el Capitulo 5.</w:t>
      </w:r>
    </w:p>
    <w:p>
      <w:pPr>
        <w:spacing w:before="0" w:after="0" w:line="480" w:lineRule="auto"/>
        <w:ind w:firstLine="720"/>
        <w:jc w:val="both"/>
      </w:pPr>
      <w:r>
        <w:rPr>
          <w:rFonts w:ascii="Times New Roman" w:hAnsi="Times New Roman" w:cs="Times New Roman" w:eastAsia="Times New Roman"/>
          <w:color w:val="000000"/>
          <w:sz w:val="24"/>
        </w:rPr>
        <w:t>La propuesta opera con tres niveles integrados. En el nivel de datos, el repositorio construye el dataset citylearn_iquitos_2023_2025 desde fuentes electricas, climaticas, solares, tarifarias y de carbono. En el nivel de simulacion, CityLearn v2 representa edificios, PV, BESS, EV, demanda base, precio, intensidad de carbono y acciones controlables por agente. En el nivel de aprendizaje, los algoritmos MADRL entrenan politicas descentralizadas con informacion local, mientras el entrenamiento centralizado permite estabilizar la coordinacion bajo no-estacionariedad multiagente.</w:t>
      </w:r>
    </w:p>
    <w:p>
      <w:pPr>
        <w:pStyle w:val="TablaIndice"/>
        <w:spacing w:before="0" w:after="0" w:line="480" w:lineRule="auto"/>
        <w:jc w:val="left"/>
      </w:pPr>
      <w:r>
        <w:rPr>
          <w:rFonts w:ascii="Times New Roman" w:hAnsi="Times New Roman" w:cs="Times New Roman" w:eastAsia="Times New Roman"/>
          <w:b/>
          <w:i w:val="0"/>
          <w:color w:val="000000"/>
          <w:sz w:val="24"/>
        </w:rPr>
        <w:t>Tabla 4.7</w:t>
        <w:br/>
      </w:r>
      <w:r>
        <w:rPr>
          <w:rFonts w:ascii="Times New Roman" w:hAnsi="Times New Roman" w:cs="Times New Roman" w:eastAsia="Times New Roman"/>
          <w:b w:val="0"/>
          <w:i/>
          <w:color w:val="000000"/>
          <w:sz w:val="24"/>
        </w:rPr>
        <w:t>Componentes detallados de la propuesta sintetizados en el resumen</w:t>
      </w:r>
    </w:p>
    <w:tbl>
      <w:tblPr>
        <w:tblW w:type="auto" w:w="0"/>
        <w:jc w:val="center"/>
        <w:tblLook w:firstColumn="1" w:firstRow="1" w:lastColumn="0" w:lastRow="0" w:noHBand="0" w:noVBand="1" w:val="04A0"/>
      </w:tblPr>
      <w:tblGrid>
        <w:gridCol w:w="3120"/>
        <w:gridCol w:w="3120"/>
        <w:gridCol w:w="3120"/>
      </w:tblGrid>
      <w:tr>
        <w:tc>
          <w:tcPr>
            <w:tcW w:type="dxa" w:w="312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Componente</w:t>
            </w:r>
          </w:p>
        </w:tc>
        <w:tc>
          <w:tcPr>
            <w:tcW w:type="dxa" w:w="312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Detalle desarrollado en la propuesta</w:t>
            </w:r>
          </w:p>
        </w:tc>
        <w:tc>
          <w:tcPr>
            <w:tcW w:type="dxa" w:w="312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Evidencia/artefacto</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Comunidad inteligente</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 edificios institucionales/comerciales del SEAI Iquitos, modelados como agentes heterogeneos.</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dataset citylearn_iquitos_2023_2025; building_behavior_summary.csv.</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Horizonte temporal</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26 304 pasos horarios del periodo 2023-2025; cada episodio experimental evalua un ano horario de 8 760 pasos.</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archivos CSV del dataset y timeseries.csv.</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Recursos energeticos</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PV, BESS, cargadores EV, V2G, cargas controlables y demanda no controlada separada para evitar atribuir acciones a cargas no actuables.</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schema de edificios, traces y building KPIs.</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Tratamientos MADRL</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 MAAC, MASAC y MATD3 bajo escenarios E1 flexibilidad, E2 CO2 y E3 costos.</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12 carpetas algoritmo-escenario y tablas episodicas.</w:t>
            </w:r>
          </w:p>
        </w:tc>
      </w:tr>
      <w:tr>
        <w:tc>
          <w:tcPr>
            <w:tcW w:type="dxa" w:w="31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Evidencia experimental</w:t>
            </w:r>
          </w:p>
        </w:tc>
        <w:tc>
          <w:tcPr>
            <w:tcW w:type="dxa" w:w="31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50 episodios por tratamiento disponible; HAPPO conserva 49 filas episodicas materializadas por escenario en el CSV final y se interpreta con esa limitacion.</w:t>
            </w:r>
          </w:p>
        </w:tc>
        <w:tc>
          <w:tcPr>
            <w:tcW w:type="dxa" w:w="31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district_episode_kpis.csv y tablas de estadistica.</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componentes tecnicos de la propuesta, arquitectura, algoritmos, recompensas y trazabilidad experimental. Fuente: Elaboracion propia a partir del repositorio local, CityLearn v2, extension CityLearn v3 propuesta, scripts de dataset y corrida Drive madrl_v3_20260627_164047.</w:t>
      </w:r>
    </w:p>
    <w:p/>
    <w:p>
      <w:pPr>
        <w:pStyle w:val="Heading3"/>
        <w:spacing w:line="480" w:lineRule="auto" w:before="0" w:after="0"/>
        <w:jc w:val="left"/>
      </w:pPr>
      <w:r>
        <w:rPr>
          <w:rFonts w:ascii="Times New Roman" w:hAnsi="Times New Roman" w:cs="Times New Roman" w:eastAsia="Times New Roman"/>
          <w:color w:val="000000"/>
          <w:sz w:val="24"/>
        </w:rPr>
        <w:t>4.9.1 Construccion del dataset y fuentes utilizadas</w:t>
      </w:r>
    </w:p>
    <w:p>
      <w:pPr>
        <w:spacing w:before="0" w:after="0" w:line="480" w:lineRule="auto"/>
        <w:ind w:firstLine="720"/>
        <w:jc w:val="both"/>
      </w:pPr>
      <w:r>
        <w:rPr>
          <w:rFonts w:ascii="Times New Roman" w:hAnsi="Times New Roman" w:cs="Times New Roman" w:eastAsia="Times New Roman"/>
          <w:color w:val="000000"/>
          <w:sz w:val="24"/>
        </w:rPr>
        <w:t>El dataset no se plantea como un insumo generico, sino como la base empirica de la propuesta. La construccion integra facturacion y perfiles de Electro Oriente S.A., meteorologia de NASA POWER, irradiacion y estimacion solar con PVGIS/pvlib, factores de carbono basados en MINAM y senales tarifarias alineadas con OSINERGMIN. La finalidad de esta triangulacion es que los agentes no aprendan sobre una comunidad abstracta, sino sobre una representacion horaria coherente con clima, demanda, irradiacion, precio e intensidad de carbono del SEAI Iquitos.</w:t>
      </w:r>
    </w:p>
    <w:p>
      <w:pPr>
        <w:spacing w:before="0" w:after="0" w:line="480" w:lineRule="auto"/>
        <w:ind w:firstLine="720"/>
        <w:jc w:val="both"/>
      </w:pPr>
      <w:r>
        <w:rPr>
          <w:rFonts w:ascii="Times New Roman" w:hAnsi="Times New Roman" w:cs="Times New Roman" w:eastAsia="Times New Roman"/>
          <w:color w:val="000000"/>
          <w:sz w:val="24"/>
        </w:rPr>
        <w:t>La escala tecnica desarrollada en el resumen se incorpora en la propuesta: 17 edificios, 26 304 pasos horarios, 222 archivos CSV activos, 185 cargadores EV, 31 tomas V2G, 96 equipos fisicos Mode 3, 749,4 kW EV, 26 266 kWh de BESS, 6 648 kW BESS y 48 790,9 kWp fotovoltaicos. Estos valores no son objetivos aspiracionales, sino parametros de entrada y auditoria de la simulacion. Su funcion metodologica es delimitar el espacio de observacion, accion y restricciones que enfrentan los agentes.</w:t>
      </w:r>
    </w:p>
    <w:p>
      <w:pPr>
        <w:pStyle w:val="TablaIndice"/>
        <w:spacing w:before="0" w:after="0" w:line="480" w:lineRule="auto"/>
        <w:jc w:val="left"/>
      </w:pPr>
      <w:r>
        <w:rPr>
          <w:rFonts w:ascii="Times New Roman" w:hAnsi="Times New Roman" w:cs="Times New Roman" w:eastAsia="Times New Roman"/>
          <w:b/>
          <w:i w:val="0"/>
          <w:color w:val="000000"/>
          <w:sz w:val="24"/>
        </w:rPr>
        <w:t>Tabla 4.8</w:t>
        <w:br/>
      </w:r>
      <w:r>
        <w:rPr>
          <w:rFonts w:ascii="Times New Roman" w:hAnsi="Times New Roman" w:cs="Times New Roman" w:eastAsia="Times New Roman"/>
          <w:b w:val="0"/>
          <w:i/>
          <w:color w:val="000000"/>
          <w:sz w:val="24"/>
        </w:rPr>
        <w:t>Fuentes y transformaciones del dataset citylearn_iquitos_2023_2025</w:t>
      </w:r>
    </w:p>
    <w:tbl>
      <w:tblPr>
        <w:tblW w:type="auto" w:w="0"/>
        <w:jc w:val="center"/>
        <w:tblLook w:firstColumn="1" w:firstRow="1" w:lastColumn="0" w:lastRow="0" w:noHBand="0" w:noVBand="1" w:val="04A0"/>
      </w:tblPr>
      <w:tblGrid>
        <w:gridCol w:w="3120"/>
        <w:gridCol w:w="3120"/>
        <w:gridCol w:w="3120"/>
      </w:tblGrid>
      <w:tr>
        <w:tc>
          <w:tcPr>
            <w:tcW w:type="dxa" w:w="312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Fuente/insumo</w:t>
            </w:r>
          </w:p>
        </w:tc>
        <w:tc>
          <w:tcPr>
            <w:tcW w:type="dxa" w:w="312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Transformacion en el proyecto</w:t>
            </w:r>
          </w:p>
        </w:tc>
        <w:tc>
          <w:tcPr>
            <w:tcW w:type="dxa" w:w="312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Uso en CityLearn/MADRL</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Electro Oriente S.A.</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Perfiles de demanda/facturacion y contexto del SEAI Iquitos.</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Demanda base y calibracion de edificios.</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NASA POWER</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Series meteorologicas horarias para el periodo de estudio.</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Variables exogenas de clima en observaciones.</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PVGIS y pvlib</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Estimacion de generacion solar y perfiles PV por capacidad instalada.</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Produccion fotovoltaica por edificio y balance energetico.</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Inventario de edificios y equipos</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Asignacion de PV, BESS, EV, V2G, cargas controlables y no controlables.</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Dimensiones de observacion/accion y heterogeneidad de agentes.</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MINAM</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Factor de emision base y modelo de intensidad de carbono.</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Calculo de emisiones y recompensa carbon-aware.</w:t>
            </w:r>
          </w:p>
        </w:tc>
      </w:tr>
      <w:tr>
        <w:tc>
          <w:tcPr>
            <w:tcW w:type="dxa" w:w="31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OSINERGMIN / senales TOU</w:t>
            </w:r>
          </w:p>
        </w:tc>
        <w:tc>
          <w:tcPr>
            <w:tcW w:type="dxa" w:w="31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Parametrizacion de precios punta y fuera de punta.</w:t>
            </w:r>
          </w:p>
        </w:tc>
        <w:tc>
          <w:tcPr>
            <w:tcW w:type="dxa" w:w="31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Costo electrico y recompensa economica.</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componentes tecnicos de la propuesta, arquitectura, algoritmos, recompensas y trazabilidad experimental. Fuente: Elaboracion propia a partir del repositorio local, CityLearn v2, extension CityLearn v3 propuesta, scripts de dataset y corrida Drive madrl_v3_20260627_164047.</w:t>
      </w:r>
    </w:p>
    <w:p/>
    <w:p>
      <w:pPr>
        <w:pStyle w:val="Heading3"/>
        <w:spacing w:line="480" w:lineRule="auto" w:before="0" w:after="0"/>
        <w:jc w:val="left"/>
      </w:pPr>
      <w:r>
        <w:rPr>
          <w:rFonts w:ascii="Times New Roman" w:hAnsi="Times New Roman" w:cs="Times New Roman" w:eastAsia="Times New Roman"/>
          <w:color w:val="000000"/>
          <w:sz w:val="24"/>
        </w:rPr>
        <w:t>4.9.2 Librerias, scripts y herramientas de implementacion</w:t>
      </w:r>
    </w:p>
    <w:p>
      <w:pPr>
        <w:spacing w:before="0" w:after="0" w:line="480" w:lineRule="auto"/>
        <w:ind w:firstLine="720"/>
        <w:jc w:val="both"/>
      </w:pPr>
      <w:r>
        <w:rPr>
          <w:rFonts w:ascii="Times New Roman" w:hAnsi="Times New Roman" w:cs="Times New Roman" w:eastAsia="Times New Roman"/>
          <w:color w:val="000000"/>
          <w:sz w:val="24"/>
        </w:rPr>
        <w:t>La propuesta se implementa con un pipeline reproducible en Python. pandas y NumPy realizan consolidacion tabular, limpieza, agregaciones y calculo de KPIs; pvlib y requests participan en la construccion de perfiles solares y descarga/normalizacion de fuentes externas; PyTorch ejecuta las politicas neuronales y backends MADRL; SciPy calcula pruebas estadisticas; Matplotlib genera figuras de convergencia, distribuciones, radar, heatmaps y paneles temporales; CityLearn, Gymnasium y PettingZoo proveen la interfaz de ambiente multiagente; PowerShell verifica contexto y automatiza controles de repositorio; Google Colab/Drive aloja la corrida canonica y conserva resultados, checkpoints, timeseries y traces.</w:t>
      </w:r>
    </w:p>
    <w:p>
      <w:pPr>
        <w:spacing w:before="0" w:after="0" w:line="480" w:lineRule="auto"/>
        <w:ind w:firstLine="720"/>
        <w:jc w:val="both"/>
      </w:pPr>
      <w:r>
        <w:rPr>
          <w:rFonts w:ascii="Times New Roman" w:hAnsi="Times New Roman" w:cs="Times New Roman" w:eastAsia="Times New Roman"/>
          <w:color w:val="000000"/>
          <w:sz w:val="24"/>
        </w:rPr>
        <w:t>La decision de registrar librerias y scripts dentro de la propuesta es necesaria porque la tesis no evalua un concepto teorico aislado. Evalua una implementacion computacional concreta. Por ello, los scripts de generacion de dataset, entrenamiento, validacion, descarga de artefactos, analisis estadistico, construccion de figuras y generacion del Word constituyen parte del metodo y de la propuesta. Si un resultado aparece en Capitulo 5, su origen debe poder rastrearse a uno de estos componentes.</w:t>
      </w:r>
    </w:p>
    <w:p>
      <w:pPr>
        <w:pStyle w:val="TablaIndice"/>
        <w:spacing w:before="0" w:after="0" w:line="480" w:lineRule="auto"/>
        <w:jc w:val="left"/>
      </w:pPr>
      <w:r>
        <w:rPr>
          <w:rFonts w:ascii="Times New Roman" w:hAnsi="Times New Roman" w:cs="Times New Roman" w:eastAsia="Times New Roman"/>
          <w:b/>
          <w:i w:val="0"/>
          <w:color w:val="000000"/>
          <w:sz w:val="24"/>
        </w:rPr>
        <w:t>Tabla 4.9</w:t>
        <w:br/>
      </w:r>
      <w:r>
        <w:rPr>
          <w:rFonts w:ascii="Times New Roman" w:hAnsi="Times New Roman" w:cs="Times New Roman" w:eastAsia="Times New Roman"/>
          <w:b w:val="0"/>
          <w:i/>
          <w:color w:val="000000"/>
          <w:sz w:val="24"/>
        </w:rPr>
        <w:t>Herramientas y funcion dentro de la propuesta MADRL</w:t>
      </w:r>
    </w:p>
    <w:tbl>
      <w:tblPr>
        <w:tblW w:type="auto" w:w="0"/>
        <w:jc w:val="center"/>
        <w:tblLook w:firstColumn="1" w:firstRow="1" w:lastColumn="0" w:lastRow="0" w:noHBand="0" w:noVBand="1" w:val="04A0"/>
      </w:tblPr>
      <w:tblGrid>
        <w:gridCol w:w="3120"/>
        <w:gridCol w:w="3120"/>
        <w:gridCol w:w="3120"/>
      </w:tblGrid>
      <w:tr>
        <w:tc>
          <w:tcPr>
            <w:tcW w:type="dxa" w:w="312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Herramienta/libreria</w:t>
            </w:r>
          </w:p>
        </w:tc>
        <w:tc>
          <w:tcPr>
            <w:tcW w:type="dxa" w:w="312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Funcion tecnica</w:t>
            </w:r>
          </w:p>
        </w:tc>
        <w:tc>
          <w:tcPr>
            <w:tcW w:type="dxa" w:w="312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Salida esperada</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Python 3.9</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Lenguaje base de orquestacion, analisis y generacion documental.</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Scripts reproducibles y tablas/figuras.</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pandas, NumPy</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Tratamiento de CSV, agregacion por episodio, edificio, escenario y algoritmo.</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district_episode_kpis, rankings y resumenes.</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pvlib, PVGIS, NASA POWER</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Modelado solar y meteorologico del dataset.</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Perfiles PV y variables exogenas horarias.</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PyTorch</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Entrenamiento de redes actor-critic y politicas MADRL.</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Politicas, rewards, checkpoints.</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 v2 / CityLearn v3 propuesto</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Simulacion energetica multiagente con PV, BESS, EV, carbono y costos.</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Observaciones, acciones, rewards, KPIs.</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Gymnasium, PettingZoo</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Interfaz multiagente y compatibilidad de entorno.</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Ejecucion descentralizada y wrappers.</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SciPy</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Shapiro-Wilk, Kruskal-Wallis y Mann-Whitney U con ajuste posterior.</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Contraste inferencial por OE.1-OE.3.</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Matplotlib</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Graficacion de convergencia, boxplots, radar, heatmaps, trade-offs y series finales.</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Figuras del Capitulo 5.</w:t>
            </w:r>
          </w:p>
        </w:tc>
      </w:tr>
      <w:tr>
        <w:tc>
          <w:tcPr>
            <w:tcW w:type="dxa" w:w="31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Google Colab/Drive</w:t>
            </w:r>
          </w:p>
        </w:tc>
        <w:tc>
          <w:tcPr>
            <w:tcW w:type="dxa" w:w="31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Ejecucion y persistencia de la corrida canonica.</w:t>
            </w:r>
          </w:p>
        </w:tc>
        <w:tc>
          <w:tcPr>
            <w:tcW w:type="dxa" w:w="31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results, timeseries, traces, checkpoints.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componentes tecnicos de la propuesta, arquitectura, algoritmos, recompensas y trazabilidad experimental. Fuente: Elaboracion propia a partir del repositorio local, CityLearn v2, extension CityLearn v3 propuesta, scripts de dataset y corrida Drive madrl_v3_20260627_164047.</w:t>
      </w:r>
    </w:p>
    <w:p/>
    <w:p>
      <w:pPr>
        <w:pStyle w:val="Heading3"/>
        <w:spacing w:line="480" w:lineRule="auto" w:before="0" w:after="0"/>
        <w:jc w:val="left"/>
      </w:pPr>
      <w:r>
        <w:rPr>
          <w:rFonts w:ascii="Times New Roman" w:hAnsi="Times New Roman" w:cs="Times New Roman" w:eastAsia="Times New Roman"/>
          <w:color w:val="000000"/>
          <w:sz w:val="24"/>
        </w:rPr>
        <w:t>4.9.3 Arquitectura operativa desde datos hasta resultados</w:t>
      </w:r>
    </w:p>
    <w:p>
      <w:pPr>
        <w:spacing w:before="0" w:after="0" w:line="480" w:lineRule="auto"/>
        <w:ind w:firstLine="720"/>
        <w:jc w:val="both"/>
      </w:pPr>
      <w:r>
        <w:rPr>
          <w:rFonts w:ascii="Times New Roman" w:hAnsi="Times New Roman" w:cs="Times New Roman" w:eastAsia="Times New Roman"/>
          <w:color w:val="000000"/>
          <w:sz w:val="24"/>
        </w:rPr>
        <w:t>La arquitectura operativa inicia con la verificacion de contexto del repositorio y la disponibilidad del Drive de resultados. Luego se consolidan archivos de datos, se instancia el entorno CityLearn, se configuran los 17 agentes, se asignan equipos controlables, se selecciona el algoritmo MADRL y se ejecuta el escenario de recompensa. Cada tratamiento produce resultados episodicos, series temporales, trazas por agente, KPIs por edificio y checkpoints. La etapa final consolida esta evidencia en tablas estadisticas, figuras y redaccion interpretativa del documento final.</w:t>
      </w:r>
    </w:p>
    <w:p>
      <w:pPr>
        <w:spacing w:before="0" w:after="0" w:line="480" w:lineRule="auto"/>
        <w:ind w:firstLine="720"/>
        <w:jc w:val="both"/>
      </w:pPr>
      <w:r>
        <w:rPr>
          <w:rFonts w:ascii="Times New Roman" w:hAnsi="Times New Roman" w:cs="Times New Roman" w:eastAsia="Times New Roman"/>
          <w:color w:val="000000"/>
          <w:sz w:val="24"/>
        </w:rPr>
        <w:t>Esta arquitectura evita que la propuesta quede separada del analisis. El mismo flujo que define el ambiente y las politicas define tambien la forma de responder PE.1, PE.2 y PE.3. En E1 se observa flexibilidad; en E2 se observa CO2; en E3 se observa costo. La comparacion no se realiza por intuicion, sino por indicadores materializados y pruebas estadisticas. Asi, el resumen, la metodologia, la propuesta y los resultados comparten la misma cadena de evidencia.</w:t>
      </w:r>
    </w:p>
    <w:p>
      <w:pPr>
        <w:pStyle w:val="TablaIndice"/>
        <w:spacing w:before="0" w:after="0" w:line="480" w:lineRule="auto"/>
        <w:jc w:val="left"/>
      </w:pPr>
      <w:r>
        <w:rPr>
          <w:rFonts w:ascii="Times New Roman" w:hAnsi="Times New Roman" w:cs="Times New Roman" w:eastAsia="Times New Roman"/>
          <w:b/>
          <w:i w:val="0"/>
          <w:color w:val="000000"/>
          <w:sz w:val="24"/>
        </w:rPr>
        <w:t>Tabla 4.10</w:t>
        <w:br/>
        <w:t>Cadena de trazabilidad de la propuesta de tesis</w:t>
      </w:r>
      <w:r>
        <w:rPr>
          <w:rFonts w:ascii="Times New Roman" w:hAnsi="Times New Roman" w:cs="Times New Roman" w:eastAsia="Times New Roman"/>
          <w:b w:val="0"/>
          <w:i/>
          <w:color w:val="000000"/>
          <w:sz w:val="24"/>
        </w:rPr>
      </w:r>
    </w:p>
    <w:tbl>
      <w:tblPr>
        <w:tblW w:type="auto" w:w="0"/>
        <w:jc w:val="center"/>
        <w:tblLook w:firstColumn="1" w:firstRow="1" w:lastColumn="0" w:lastRow="0" w:noHBand="0" w:noVBand="1" w:val="04A0"/>
      </w:tblPr>
      <w:tblGrid>
        <w:gridCol w:w="2340"/>
        <w:gridCol w:w="2340"/>
        <w:gridCol w:w="2340"/>
        <w:gridCol w:w="2340"/>
      </w:tblGrid>
      <w:tr>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Fase</w:t>
            </w:r>
          </w:p>
        </w:tc>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Entrada</w:t>
            </w:r>
          </w:p>
        </w:tc>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Proceso</w:t>
            </w:r>
          </w:p>
        </w:tc>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Salida verificable</w:t>
            </w:r>
          </w:p>
        </w:tc>
      </w:tr>
      <w:tr>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Construccion de datos</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Electro Oriente, NASA POWER, PVGIS, MINAM, OSINERGMIN, inventario de equipos.</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Normalizacion, generacion de perfiles y auditoria de CSV.</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dataset citylearn_iquitos_2023_2025.</w:t>
            </w:r>
          </w:p>
        </w:tc>
      </w:tr>
      <w:tr>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Simulacion</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Dataset y configuracion de edificios.</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Instanciacion CityLearn v2 / CityLearn v3 propuesto.</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observaciones, acciones y balances horarios.</w:t>
            </w:r>
          </w:p>
        </w:tc>
      </w:tr>
      <w:tr>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Entrenamiento MADRL</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Algoritmo, escenario y recompensa multiobjetivo.</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CTDE con politicas descentralizadas.</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rewards, checkpoints y logs.</w:t>
            </w:r>
          </w:p>
        </w:tc>
      </w:tr>
      <w:tr>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Registro de evidencia</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Ejecucion por tratamiento.</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Persistencia en Drive y consolidacion local.</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results.json, timeseries.csv, trace.csv, building_kpis.csv.</w:t>
            </w:r>
          </w:p>
        </w:tc>
      </w:tr>
      <w:tr>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t>Análisis de la tesis</w:t>
            </w:r>
            <w:r>
              <w:rPr>
                <w:rFonts w:ascii="Times New Roman" w:hAnsi="Times New Roman" w:cs="Times New Roman" w:eastAsia="Times New Roman"/>
                <w:b w:val="0"/>
                <w:i w:val="0"/>
                <w:color w:val="000000"/>
                <w:sz w:val="20"/>
              </w:rPr>
            </w:r>
          </w:p>
        </w:tc>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CSV episodicos, traces, checkpoints y KPIs.</w:t>
            </w:r>
          </w:p>
        </w:tc>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Estadistica, figuras y lectura por OE.</w:t>
            </w:r>
          </w:p>
        </w:tc>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Capitulos 5 y 6 con evidencia real.</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componentes tecnicos de la propuesta, arquitectura, algoritmos, recompensas y trazabilidad experimental. Fuente: Elaboracion propia a partir del repositorio local, CityLearn v2, extension CityLearn v3 propuesta, scripts de dataset y corrida Drive madrl_v3_20260627_164047.</w:t>
      </w:r>
    </w:p>
    <w:p/>
    <w:p>
      <w:pPr>
        <w:pStyle w:val="Heading3"/>
        <w:spacing w:line="480" w:lineRule="auto" w:before="0" w:after="0"/>
        <w:jc w:val="left"/>
      </w:pPr>
      <w:r>
        <w:rPr>
          <w:rFonts w:ascii="Times New Roman" w:hAnsi="Times New Roman" w:cs="Times New Roman" w:eastAsia="Times New Roman"/>
          <w:color w:val="000000"/>
          <w:sz w:val="24"/>
        </w:rPr>
        <w:t>4.9.4 Delimitacion entre equipos controlados y no controlados</w:t>
      </w:r>
    </w:p>
    <w:p>
      <w:pPr>
        <w:spacing w:before="0" w:after="0" w:line="480" w:lineRule="auto"/>
        <w:ind w:firstLine="720"/>
        <w:jc w:val="both"/>
      </w:pPr>
      <w:r>
        <w:rPr>
          <w:rFonts w:ascii="Times New Roman" w:hAnsi="Times New Roman" w:cs="Times New Roman" w:eastAsia="Times New Roman"/>
          <w:color w:val="000000"/>
          <w:sz w:val="24"/>
        </w:rPr>
        <w:t>La propuesta distingue equipos controlados y no controlados porque el efecto MADRL solo puede atribuirse a variables de accion disponibles para los agentes. Los equipos controlados incluyen BESS, cargadores EV/V2G y cargas flexibles declaradas en el esquema del entorno. La demanda base, condiciones climaticas, irradiacion, ocupacion implicita, precio e intensidad de carbono operan como observaciones o perturbaciones exogenas, no como actuadores. Esta distincion es esencial para interpretar correctamente los resultados por edificio y no atribuir al algoritmo variaciones que provienen de cargas no controlables.</w:t>
      </w:r>
    </w:p>
    <w:p>
      <w:pPr>
        <w:spacing w:before="0" w:after="0" w:line="480" w:lineRule="auto"/>
        <w:ind w:firstLine="720"/>
        <w:jc w:val="both"/>
      </w:pPr>
      <w:r>
        <w:rPr>
          <w:rFonts w:ascii="Times New Roman" w:hAnsi="Times New Roman" w:cs="Times New Roman" w:eastAsia="Times New Roman"/>
          <w:color w:val="000000"/>
          <w:sz w:val="24"/>
        </w:rPr>
        <w:t>En terminos de tesis, esta delimitacion conecta Capitulo 4 con Capitulo 5: las acciones registradas en traces permiten observar como cada politica usa BESS, EV y otros actuadores; los KPIs por edificio permiten evaluar si la coordinacion mejora flexibilidad, CO2 o costo; y las limitaciones declaran que el estudio no controla red fisica ni despacho de generacion. Por tanto, la propuesta es una arquitectura de control y evaluacion energetica multiagente en simulacion, no una implementacion de despacho electrico real.</w:t>
      </w:r>
    </w:p>
    <w:p>
      <w:pPr>
        <w:pStyle w:val="Heading2"/>
        <w:spacing w:line="480" w:lineRule="auto" w:before="0" w:after="0"/>
        <w:jc w:val="left"/>
      </w:pPr>
      <w:r>
        <w:rPr>
          <w:rFonts w:ascii="Times New Roman" w:hAnsi="Times New Roman" w:cs="Times New Roman" w:eastAsia="Times New Roman"/>
          <w:color w:val="000000"/>
          <w:sz w:val="24"/>
        </w:rPr>
        <w:t>4.10 Respuesta operacional a las preguntas especificas PE.1, PE.2 y PE.3</w:t>
      </w:r>
    </w:p>
    <w:p>
      <w:pPr>
        <w:spacing w:before="0" w:after="0" w:line="480" w:lineRule="auto"/>
        <w:ind w:firstLine="720"/>
        <w:jc w:val="both"/>
      </w:pPr>
      <w:r>
        <w:rPr>
          <w:rFonts w:ascii="Times New Roman" w:hAnsi="Times New Roman" w:cs="Times New Roman" w:eastAsia="Times New Roman"/>
          <w:color w:val="000000"/>
          <w:sz w:val="24"/>
        </w:rPr>
        <w:t>La propuesta no se limita a describir una arquitectura MADRL; tambien define como se responde cada pregunta especifica mediante la salida empirica de la corrida Drive madrl_v3_20260627_164047. La respuesta se apoya en dos planos: analisis descriptivo de los episodios y KPIs anuales finales, y analisis inferencial intra-corrida con Kruskal-Wallis sobre los algoritmos que conservan cobertura episodica completa. Esta regla evita mezclar una diferencia numerica descriptiva con una afirmacion causal o inferencial no sustentada.</w:t>
      </w:r>
    </w:p>
    <w:p>
      <w:pPr>
        <w:pStyle w:val="TablaIndice"/>
        <w:spacing w:before="0" w:after="0" w:line="480" w:lineRule="auto"/>
        <w:jc w:val="left"/>
      </w:pPr>
      <w:r>
        <w:rPr>
          <w:rFonts w:ascii="Times New Roman" w:hAnsi="Times New Roman" w:cs="Times New Roman" w:eastAsia="Times New Roman"/>
          <w:b/>
          <w:i w:val="0"/>
          <w:color w:val="000000"/>
          <w:sz w:val="24"/>
        </w:rPr>
        <w:t>Tabla 4.11</w:t>
        <w:br/>
      </w:r>
      <w:r>
        <w:rPr>
          <w:rFonts w:ascii="Times New Roman" w:hAnsi="Times New Roman" w:cs="Times New Roman" w:eastAsia="Times New Roman"/>
          <w:b w:val="0"/>
          <w:i/>
          <w:color w:val="000000"/>
          <w:sz w:val="24"/>
        </w:rPr>
        <w:t>Respuesta directa a PE.1, PE.2 y PE.3 desde la evidencia descriptiva e inferencial</w:t>
      </w:r>
    </w:p>
    <w:tbl>
      <w:tblPr>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Pregunta</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Dimension</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Esc.</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Indicador</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Medida del efecto</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Decision</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mejor descriptivo</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mejor inferencial</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mejor KPI final</w:t>
            </w:r>
          </w:p>
        </w:tc>
      </w:tr>
      <w:tr>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flexibilidad energetica</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t>KPI-gains E1 + flex_composite distrito</w:t>
            </w:r>
            <w:r>
              <w:rPr>
                <w:rFonts w:ascii="Times New Roman" w:hAnsi="Times New Roman" w:cs="Times New Roman" w:eastAsia="Times New Roman"/>
                <w:b w:val="0"/>
                <w:i w:val="0"/>
                <w:color w:val="000000"/>
                <w:sz w:val="20"/>
              </w:rPr>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t>KW H=1,5164; p=0,4685 (KPI-gains). flex_composite MATD3=1,0009</w:t>
            </w:r>
            <w:r>
              <w:rPr>
                <w:rFonts w:ascii="Times New Roman" w:hAnsi="Times New Roman" w:cs="Times New Roman" w:eastAsia="Times New Roman"/>
                <w:b w:val="0"/>
                <w:i w:val="0"/>
                <w:color w:val="000000"/>
                <w:sz w:val="20"/>
              </w:rPr>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t>no se rechaza HE10; HE11 no respaldada</w:t>
            </w:r>
            <w:r>
              <w:rPr>
                <w:rFonts w:ascii="Times New Roman" w:hAnsi="Times New Roman" w:cs="Times New Roman" w:eastAsia="Times New Roman"/>
                <w:b w:val="0"/>
                <w:i w:val="0"/>
                <w:color w:val="000000"/>
                <w:sz w:val="20"/>
              </w:rPr>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t>MATD3 (flex); MAAC (mediana gain)</w:t>
            </w:r>
            <w:r>
              <w:rPr>
                <w:rFonts w:ascii="Times New Roman" w:hAnsi="Times New Roman" w:cs="Times New Roman" w:eastAsia="Times New Roman"/>
                <w:b w:val="0"/>
                <w:i w:val="0"/>
                <w:color w:val="000000"/>
                <w:sz w:val="20"/>
              </w:rPr>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t>sin superioridad omnibus</w:t>
            </w:r>
            <w:r>
              <w:rPr>
                <w:rFonts w:ascii="Times New Roman" w:hAnsi="Times New Roman" w:cs="Times New Roman" w:eastAsia="Times New Roman"/>
                <w:b w:val="0"/>
                <w:i w:val="0"/>
                <w:color w:val="000000"/>
                <w:sz w:val="20"/>
              </w:rPr>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t>MATD3 flex_composite</w:t>
            </w:r>
            <w:r>
              <w:rPr>
                <w:rFonts w:ascii="Times New Roman" w:hAnsi="Times New Roman" w:cs="Times New Roman" w:eastAsia="Times New Roman"/>
                <w:b w:val="0"/>
                <w:i w:val="0"/>
                <w:color w:val="000000"/>
                <w:sz w:val="20"/>
              </w:rPr>
            </w:r>
          </w:p>
        </w:tc>
      </w:tr>
      <w:tr>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PE.2</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emisiones de CO2</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t>KPI-gains E2 + ΔCO₂ distrito</w:t>
            </w:r>
            <w:r>
              <w:rPr>
                <w:rFonts w:ascii="Times New Roman" w:hAnsi="Times New Roman" w:cs="Times New Roman" w:eastAsia="Times New Roman"/>
                <w:b w:val="0"/>
                <w:i w:val="0"/>
                <w:color w:val="000000"/>
                <w:sz w:val="20"/>
              </w:rPr>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t>KW H=0,5364; p=0,7648 (KPI-gains). ΔCO₂ MATD3=23 070 kg</w:t>
            </w:r>
            <w:r>
              <w:rPr>
                <w:rFonts w:ascii="Times New Roman" w:hAnsi="Times New Roman" w:cs="Times New Roman" w:eastAsia="Times New Roman"/>
                <w:b w:val="0"/>
                <w:i w:val="0"/>
                <w:color w:val="000000"/>
                <w:sz w:val="20"/>
              </w:rPr>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t>no se rechaza HE20; HE21 no respaldada</w:t>
            </w:r>
            <w:r>
              <w:rPr>
                <w:rFonts w:ascii="Times New Roman" w:hAnsi="Times New Roman" w:cs="Times New Roman" w:eastAsia="Times New Roman"/>
                <w:b w:val="0"/>
                <w:i w:val="0"/>
                <w:color w:val="000000"/>
                <w:sz w:val="20"/>
              </w:rPr>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t>MATD3</w:t>
            </w:r>
            <w:r>
              <w:rPr>
                <w:rFonts w:ascii="Times New Roman" w:hAnsi="Times New Roman" w:cs="Times New Roman" w:eastAsia="Times New Roman"/>
                <w:b w:val="0"/>
                <w:i w:val="0"/>
                <w:color w:val="000000"/>
                <w:sz w:val="20"/>
              </w:rPr>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t>sin superioridad omnibus</w:t>
            </w:r>
            <w:r>
              <w:rPr>
                <w:rFonts w:ascii="Times New Roman" w:hAnsi="Times New Roman" w:cs="Times New Roman" w:eastAsia="Times New Roman"/>
                <w:b w:val="0"/>
                <w:i w:val="0"/>
                <w:color w:val="000000"/>
                <w:sz w:val="20"/>
              </w:rPr>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t>MATD3 ΔCO₂</w:t>
            </w:r>
            <w:r>
              <w:rPr>
                <w:rFonts w:ascii="Times New Roman" w:hAnsi="Times New Roman" w:cs="Times New Roman" w:eastAsia="Times New Roman"/>
                <w:b w:val="0"/>
                <w:i w:val="0"/>
                <w:color w:val="000000"/>
                <w:sz w:val="20"/>
              </w:rPr>
            </w:r>
          </w:p>
        </w:tc>
      </w:tr>
      <w:tr>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PE.3</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costos energeticos</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t>KPI-gains E3 + Δcosto distrito</w:t>
            </w:r>
            <w:r>
              <w:rPr>
                <w:rFonts w:ascii="Times New Roman" w:hAnsi="Times New Roman" w:cs="Times New Roman" w:eastAsia="Times New Roman"/>
                <w:b w:val="0"/>
                <w:i w:val="0"/>
                <w:color w:val="000000"/>
                <w:sz w:val="20"/>
              </w:rPr>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t>KW H=0,6138; p=0,7357 (KPI-gains). Δcosto MAAC=9 515 EUR</w:t>
            </w:r>
            <w:r>
              <w:rPr>
                <w:rFonts w:ascii="Times New Roman" w:hAnsi="Times New Roman" w:cs="Times New Roman" w:eastAsia="Times New Roman"/>
                <w:b w:val="0"/>
                <w:i w:val="0"/>
                <w:color w:val="000000"/>
                <w:sz w:val="20"/>
              </w:rPr>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t>no se rechaza HE30; HE31 no respaldada</w:t>
            </w:r>
            <w:r>
              <w:rPr>
                <w:rFonts w:ascii="Times New Roman" w:hAnsi="Times New Roman" w:cs="Times New Roman" w:eastAsia="Times New Roman"/>
                <w:b w:val="0"/>
                <w:i w:val="0"/>
                <w:color w:val="000000"/>
                <w:sz w:val="20"/>
              </w:rPr>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t>MAAC</w:t>
            </w:r>
            <w:r>
              <w:rPr>
                <w:rFonts w:ascii="Times New Roman" w:hAnsi="Times New Roman" w:cs="Times New Roman" w:eastAsia="Times New Roman"/>
                <w:b w:val="0"/>
                <w:i w:val="0"/>
                <w:color w:val="000000"/>
                <w:sz w:val="20"/>
              </w:rPr>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t>sin superioridad omnibus</w:t>
            </w:r>
            <w:r>
              <w:rPr>
                <w:rFonts w:ascii="Times New Roman" w:hAnsi="Times New Roman" w:cs="Times New Roman" w:eastAsia="Times New Roman"/>
                <w:b w:val="0"/>
                <w:i w:val="0"/>
                <w:color w:val="000000"/>
                <w:sz w:val="20"/>
              </w:rPr>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t>MAAC Δcosto</w:t>
            </w:r>
            <w:r>
              <w:rPr>
                <w:rFonts w:ascii="Times New Roman" w:hAnsi="Times New Roman" w:cs="Times New Roman" w:eastAsia="Times New Roman"/>
                <w:b w:val="0"/>
                <w:i w:val="0"/>
                <w:color w:val="000000"/>
                <w:sz w:val="20"/>
              </w:rPr>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componentes tecnicos de la propuesta, arquitectura, algoritmos, recompensas y trazabilidad experimental. Fuente: Elaboracion propia a partir del repositorio local, CityLearn v2, extension CityLearn v3 propuesta, scripts de dataset y corrida Drive madrl_v3_20260627_164047.</w:t>
      </w:r>
    </w:p>
    <w:p/>
    <w:p>
      <w:pPr>
        <w:spacing w:before="0" w:after="0" w:line="480" w:lineRule="auto"/>
        <w:ind w:firstLine="720"/>
        <w:jc w:val="both"/>
      </w:pPr>
      <w:r>
        <w:rPr>
          <w:rFonts w:ascii="Times New Roman" w:hAnsi="Times New Roman" w:eastAsia="Times New Roman"/>
        </w:rPr>
        <w:t>PE.1: ¿En qué medida el algoritmo MADRL impacta en la flexibilidad energética en comunidades inteligentes de la ciudad de Iquitos, y cuál de los algoritmos presenta el mejor desempeño en el escenario E1?</w:t>
      </w:r>
    </w:p>
    <w:p>
      <w:pPr>
        <w:spacing w:before="0" w:after="0" w:line="480" w:lineRule="auto"/>
        <w:ind w:firstLine="720"/>
        <w:jc w:val="both"/>
      </w:pPr>
      <w:r>
        <w:rPr>
          <w:rFonts w:ascii="Times New Roman" w:hAnsi="Times New Roman" w:eastAsia="Times New Roman"/>
        </w:rPr>
        <w:t>PE.2: ¿En qué medida el algoritmo MADRL impacta en las emisiones de CO₂ en comunidades inteligentes de la ciudad de Iquitos, y cuál de los algoritmos presenta el mejor desempeño en el escenario E2?</w:t>
      </w:r>
    </w:p>
    <w:p>
      <w:pPr>
        <w:spacing w:before="0" w:after="0" w:line="480" w:lineRule="auto"/>
        <w:ind w:firstLine="720"/>
        <w:jc w:val="both"/>
      </w:pPr>
      <w:r>
        <w:rPr>
          <w:rFonts w:ascii="Times New Roman" w:hAnsi="Times New Roman" w:eastAsia="Times New Roman"/>
        </w:rPr>
        <w:t>PE.3: ¿En qué medida el algoritmo MADRL impacta en los costos energéticos en comunidades inteligentes de la ciudad de Iquitos, y cuál de los algoritmos presenta el mejor desempeño en el escenario E3?</w:t>
      </w:r>
    </w:p>
    <w:p>
      <w:pPr>
        <w:spacing w:before="0" w:after="0" w:line="480" w:lineRule="auto"/>
        <w:ind w:firstLine="720"/>
        <w:jc w:val="both"/>
      </w:pPr>
      <w:r>
        <w:rPr>
          <w:rFonts w:ascii="Times New Roman" w:hAnsi="Times New Roman" w:cs="Times New Roman" w:eastAsia="Times New Roman"/>
          <w:color w:val="000000"/>
          <w:sz w:val="24"/>
        </w:rPr>
        <w:t>Por tanto, el Capitulo 4 deja definido el mecanismo de respuesta: PE.1 se responde con flexibilidad en E1, PE.2 con emisiones de CO2 en E2 y PE.3 con costos en E3. El Capitulo 5 desarrolla la contrastacion, figuras, tablas por edificio y ranking CityLearn v2, pero la relacion pregunta-variable-indicador-decision queda fijada aqui para mantener continuidad entre problema, propuesta y resultados.</w:t>
      </w:r>
    </w:p>
    <w:p>
      <w:pPr>
        <w:pStyle w:val="Heading2"/>
      </w:pPr>
      <w:r>
        <w:rPr>
          <w:rFonts w:ascii="Times New Roman" w:hAnsi="Times New Roman" w:cs="Times New Roman"/>
          <w:b/>
          <w:i w:val="0"/>
          <w:sz w:val="24"/>
        </w:rPr>
        <w:t>4.11 Mapa de contribución por carpetas (propio vs externo)</w:t>
      </w:r>
    </w:p>
    <w:p>
      <w:r>
        <w:rPr>
          <w:rFonts w:ascii="Times New Roman" w:hAnsi="Times New Roman" w:cs="Times New Roman"/>
          <w:b w:val="0"/>
          <w:i w:val="0"/>
          <w:sz w:val="24"/>
        </w:rPr>
        <w:t>La narrativa de implementación del repositorio MADRLCitytleranflexresdr se organiza por frontera de propiedad. Solo el código propio de la tesis se trata como aporte metodológico; CityLearn/ y external/ se citan como dependencias. El framework uc3m/ es capa de diseño (BACT, siete ejes, EmpiricalProtocol) y no sustituye el canal de las doce corridas (CityLearn/scripts/train_citylearn_v3_*.py + backends external/).</w:t>
      </w:r>
    </w:p>
    <w:p>
      <w:r>
        <w:rPr>
          <w:rFonts w:ascii="Times New Roman" w:hAnsi="Times New Roman" w:cs="Times New Roman"/>
          <w:b w:val="0"/>
          <w:i/>
          <w:sz w:val="24"/>
        </w:rPr>
        <w:t>Tabla 4.11. Mapa de contribución por carpetas del repositorio (propio vs externo).</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Times New Roman" w:hAnsi="Times New Roman" w:cs="Times New Roman"/>
                <w:b/>
                <w:i w:val="0"/>
                <w:sz w:val="18"/>
              </w:rPr>
              <w:t>Carpeta</w:t>
            </w:r>
          </w:p>
        </w:tc>
        <w:tc>
          <w:tcPr>
            <w:tcW w:type="dxa" w:w="3120"/>
          </w:tcPr>
          <w:p>
            <w:r/>
            <w:r>
              <w:rPr>
                <w:rFonts w:ascii="Times New Roman" w:hAnsi="Times New Roman" w:cs="Times New Roman"/>
                <w:b/>
                <w:i w:val="0"/>
                <w:sz w:val="18"/>
              </w:rPr>
              <w:t>Frontera</w:t>
            </w:r>
          </w:p>
        </w:tc>
        <w:tc>
          <w:tcPr>
            <w:tcW w:type="dxa" w:w="3120"/>
          </w:tcPr>
          <w:p>
            <w:r/>
            <w:r>
              <w:rPr>
                <w:rFonts w:ascii="Times New Roman" w:hAnsi="Times New Roman" w:cs="Times New Roman"/>
                <w:b/>
                <w:i w:val="0"/>
                <w:sz w:val="18"/>
              </w:rPr>
              <w:t>Rol en la propuesta (Cap. IV)</w:t>
            </w:r>
          </w:p>
        </w:tc>
      </w:tr>
      <w:tr>
        <w:tc>
          <w:tcPr>
            <w:tcW w:type="dxa" w:w="3120"/>
          </w:tcPr>
          <w:p>
            <w:r/>
            <w:r>
              <w:rPr>
                <w:rFonts w:ascii="Times New Roman" w:hAnsi="Times New Roman" w:cs="Times New Roman"/>
                <w:b w:val="0"/>
                <w:i w:val="0"/>
                <w:sz w:val="17"/>
              </w:rPr>
              <w:t>CityLearn/</w:t>
            </w:r>
          </w:p>
        </w:tc>
        <w:tc>
          <w:tcPr>
            <w:tcW w:type="dxa" w:w="3120"/>
          </w:tcPr>
          <w:p>
            <w:r/>
            <w:r>
              <w:rPr>
                <w:rFonts w:ascii="Times New Roman" w:hAnsi="Times New Roman" w:cs="Times New Roman"/>
                <w:b w:val="0"/>
                <w:i w:val="0"/>
                <w:sz w:val="17"/>
              </w:rPr>
              <w:t>Dependencia</w:t>
            </w:r>
          </w:p>
        </w:tc>
        <w:tc>
          <w:tcPr>
            <w:tcW w:type="dxa" w:w="3120"/>
          </w:tcPr>
          <w:p>
            <w:r/>
            <w:r>
              <w:rPr>
                <w:rFonts w:ascii="Times New Roman" w:hAnsi="Times New Roman" w:cs="Times New Roman"/>
                <w:b w:val="0"/>
                <w:i w:val="0"/>
                <w:sz w:val="17"/>
              </w:rPr>
              <w:t>Simulador v2, capa v3, train_citylearn_v3_*.py, dataset Iquitos</w:t>
            </w:r>
          </w:p>
        </w:tc>
      </w:tr>
      <w:tr>
        <w:tc>
          <w:tcPr>
            <w:tcW w:type="dxa" w:w="3120"/>
          </w:tcPr>
          <w:p>
            <w:r/>
            <w:r>
              <w:rPr>
                <w:rFonts w:ascii="Times New Roman" w:hAnsi="Times New Roman" w:cs="Times New Roman"/>
                <w:b w:val="0"/>
                <w:i w:val="0"/>
                <w:sz w:val="17"/>
              </w:rPr>
              <w:t>external/</w:t>
            </w:r>
          </w:p>
        </w:tc>
        <w:tc>
          <w:tcPr>
            <w:tcW w:type="dxa" w:w="3120"/>
          </w:tcPr>
          <w:p>
            <w:r/>
            <w:r>
              <w:rPr>
                <w:rFonts w:ascii="Times New Roman" w:hAnsi="Times New Roman" w:cs="Times New Roman"/>
                <w:b w:val="0"/>
                <w:i w:val="0"/>
                <w:sz w:val="17"/>
              </w:rPr>
              <w:t>Dependencia</w:t>
            </w:r>
          </w:p>
        </w:tc>
        <w:tc>
          <w:tcPr>
            <w:tcW w:type="dxa" w:w="3120"/>
          </w:tcPr>
          <w:p>
            <w:r/>
            <w:r>
              <w:rPr>
                <w:rFonts w:ascii="Times New Roman" w:hAnsi="Times New Roman" w:cs="Times New Roman"/>
                <w:b w:val="0"/>
                <w:i w:val="0"/>
                <w:sz w:val="17"/>
              </w:rPr>
              <w:t>Backends HARL, MARL/src, off-policy, MAAC</w:t>
            </w:r>
          </w:p>
        </w:tc>
      </w:tr>
      <w:tr>
        <w:tc>
          <w:tcPr>
            <w:tcW w:type="dxa" w:w="3120"/>
          </w:tcPr>
          <w:p>
            <w:r/>
            <w:r>
              <w:rPr>
                <w:rFonts w:ascii="Times New Roman" w:hAnsi="Times New Roman" w:cs="Times New Roman"/>
                <w:b w:val="0"/>
                <w:i w:val="0"/>
                <w:sz w:val="17"/>
              </w:rPr>
              <w:t>uc3m/</w:t>
            </w:r>
          </w:p>
        </w:tc>
        <w:tc>
          <w:tcPr>
            <w:tcW w:type="dxa" w:w="3120"/>
          </w:tcPr>
          <w:p>
            <w:r/>
            <w:r>
              <w:rPr>
                <w:rFonts w:ascii="Times New Roman" w:hAnsi="Times New Roman" w:cs="Times New Roman"/>
                <w:b w:val="0"/>
                <w:i w:val="0"/>
                <w:sz w:val="17"/>
              </w:rPr>
              <w:t>Propio (diseño)</w:t>
            </w:r>
          </w:p>
        </w:tc>
        <w:tc>
          <w:tcPr>
            <w:tcW w:type="dxa" w:w="3120"/>
          </w:tcPr>
          <w:p>
            <w:r/>
            <w:r>
              <w:rPr>
                <w:rFonts w:ascii="Times New Roman" w:hAnsi="Times New Roman" w:cs="Times New Roman"/>
                <w:b w:val="0"/>
                <w:i w:val="0"/>
                <w:sz w:val="17"/>
              </w:rPr>
              <w:t>BACT, 7 ejes, HPHI, EmpiricalProtocol; no canal de las 12 corridas</w:t>
            </w:r>
          </w:p>
        </w:tc>
      </w:tr>
      <w:tr>
        <w:tc>
          <w:tcPr>
            <w:tcW w:type="dxa" w:w="3120"/>
          </w:tcPr>
          <w:p>
            <w:r/>
            <w:r>
              <w:rPr>
                <w:rFonts w:ascii="Times New Roman" w:hAnsi="Times New Roman" w:cs="Times New Roman"/>
                <w:b w:val="0"/>
                <w:i w:val="0"/>
                <w:sz w:val="17"/>
              </w:rPr>
              <w:t>tools/</w:t>
            </w:r>
          </w:p>
        </w:tc>
        <w:tc>
          <w:tcPr>
            <w:tcW w:type="dxa" w:w="3120"/>
          </w:tcPr>
          <w:p>
            <w:r/>
            <w:r>
              <w:rPr>
                <w:rFonts w:ascii="Times New Roman" w:hAnsi="Times New Roman" w:cs="Times New Roman"/>
                <w:b w:val="0"/>
                <w:i w:val="0"/>
                <w:sz w:val="17"/>
              </w:rPr>
              <w:t>Propio</w:t>
            </w:r>
          </w:p>
        </w:tc>
        <w:tc>
          <w:tcPr>
            <w:tcW w:type="dxa" w:w="3120"/>
          </w:tcPr>
          <w:p>
            <w:r/>
            <w:r>
              <w:rPr>
                <w:rFonts w:ascii="Times New Roman" w:hAnsi="Times New Roman" w:cs="Times New Roman"/>
                <w:b w:val="0"/>
                <w:i w:val="0"/>
                <w:sz w:val="17"/>
              </w:rPr>
              <w:t>Dataset, eval, thesis Word, validators de training</w:t>
            </w:r>
          </w:p>
        </w:tc>
      </w:tr>
      <w:tr>
        <w:tc>
          <w:tcPr>
            <w:tcW w:type="dxa" w:w="3120"/>
          </w:tcPr>
          <w:p>
            <w:r/>
            <w:r>
              <w:rPr>
                <w:rFonts w:ascii="Times New Roman" w:hAnsi="Times New Roman" w:cs="Times New Roman"/>
                <w:b w:val="0"/>
                <w:i w:val="0"/>
                <w:sz w:val="17"/>
              </w:rPr>
              <w:t>scripts/</w:t>
            </w:r>
          </w:p>
        </w:tc>
        <w:tc>
          <w:tcPr>
            <w:tcW w:type="dxa" w:w="3120"/>
          </w:tcPr>
          <w:p>
            <w:r/>
            <w:r>
              <w:rPr>
                <w:rFonts w:ascii="Times New Roman" w:hAnsi="Times New Roman" w:cs="Times New Roman"/>
                <w:b w:val="0"/>
                <w:i w:val="0"/>
                <w:sz w:val="17"/>
              </w:rPr>
              <w:t>Propio</w:t>
            </w:r>
          </w:p>
        </w:tc>
        <w:tc>
          <w:tcPr>
            <w:tcW w:type="dxa" w:w="3120"/>
          </w:tcPr>
          <w:p>
            <w:r/>
            <w:r>
              <w:rPr>
                <w:rFonts w:ascii="Times New Roman" w:hAnsi="Times New Roman" w:cs="Times New Roman"/>
                <w:b w:val="0"/>
                <w:i w:val="0"/>
                <w:sz w:val="17"/>
              </w:rPr>
              <w:t>Orquestación, batería no paramétrica, multicriterio, guards</w:t>
            </w:r>
          </w:p>
        </w:tc>
      </w:tr>
      <w:tr>
        <w:tc>
          <w:tcPr>
            <w:tcW w:type="dxa" w:w="3120"/>
          </w:tcPr>
          <w:p>
            <w:r/>
            <w:r>
              <w:rPr>
                <w:rFonts w:ascii="Times New Roman" w:hAnsi="Times New Roman" w:cs="Times New Roman"/>
                <w:b w:val="0"/>
                <w:i w:val="0"/>
                <w:sz w:val="17"/>
              </w:rPr>
              <w:t>tests/</w:t>
            </w:r>
          </w:p>
        </w:tc>
        <w:tc>
          <w:tcPr>
            <w:tcW w:type="dxa" w:w="3120"/>
          </w:tcPr>
          <w:p>
            <w:r/>
            <w:r>
              <w:rPr>
                <w:rFonts w:ascii="Times New Roman" w:hAnsi="Times New Roman" w:cs="Times New Roman"/>
                <w:b w:val="0"/>
                <w:i w:val="0"/>
                <w:sz w:val="17"/>
              </w:rPr>
              <w:t>Propio</w:t>
            </w:r>
          </w:p>
        </w:tc>
        <w:tc>
          <w:tcPr>
            <w:tcW w:type="dxa" w:w="3120"/>
          </w:tcPr>
          <w:p>
            <w:r/>
            <w:r>
              <w:rPr>
                <w:rFonts w:ascii="Times New Roman" w:hAnsi="Times New Roman" w:cs="Times New Roman"/>
                <w:b w:val="0"/>
                <w:i w:val="0"/>
                <w:sz w:val="17"/>
              </w:rPr>
              <w:t>tests/uc3m/ + tests/citylearn_v3/ (schema smoke)</w:t>
            </w:r>
          </w:p>
        </w:tc>
      </w:tr>
      <w:tr>
        <w:tc>
          <w:tcPr>
            <w:tcW w:type="dxa" w:w="3120"/>
          </w:tcPr>
          <w:p>
            <w:r/>
            <w:r>
              <w:rPr>
                <w:rFonts w:ascii="Times New Roman" w:hAnsi="Times New Roman" w:cs="Times New Roman"/>
                <w:b w:val="0"/>
                <w:i w:val="0"/>
                <w:sz w:val="17"/>
              </w:rPr>
              <w:t>outputs/</w:t>
            </w:r>
          </w:p>
        </w:tc>
        <w:tc>
          <w:tcPr>
            <w:tcW w:type="dxa" w:w="3120"/>
          </w:tcPr>
          <w:p>
            <w:r/>
            <w:r>
              <w:rPr>
                <w:rFonts w:ascii="Times New Roman" w:hAnsi="Times New Roman" w:cs="Times New Roman"/>
                <w:b w:val="0"/>
                <w:i w:val="0"/>
                <w:sz w:val="17"/>
              </w:rPr>
              <w:t>Artefactos</w:t>
            </w:r>
          </w:p>
        </w:tc>
        <w:tc>
          <w:tcPr>
            <w:tcW w:type="dxa" w:w="3120"/>
          </w:tcPr>
          <w:p>
            <w:r/>
            <w:r>
              <w:rPr>
                <w:rFonts w:ascii="Times New Roman" w:hAnsi="Times New Roman" w:cs="Times New Roman"/>
                <w:b w:val="0"/>
                <w:i w:val="0"/>
                <w:sz w:val="17"/>
              </w:rPr>
              <w:t>Corridas, estadística, multicriterio (consumo Cap. V)</w:t>
            </w:r>
          </w:p>
        </w:tc>
      </w:tr>
      <w:tr>
        <w:tc>
          <w:tcPr>
            <w:tcW w:type="dxa" w:w="3120"/>
          </w:tcPr>
          <w:p>
            <w:r/>
            <w:r>
              <w:rPr>
                <w:rFonts w:ascii="Times New Roman" w:hAnsi="Times New Roman" w:cs="Times New Roman"/>
                <w:b w:val="0"/>
                <w:i w:val="0"/>
                <w:sz w:val="17"/>
              </w:rPr>
              <w:t>docs/</w:t>
            </w:r>
          </w:p>
        </w:tc>
        <w:tc>
          <w:tcPr>
            <w:tcW w:type="dxa" w:w="3120"/>
          </w:tcPr>
          <w:p>
            <w:r/>
            <w:r>
              <w:rPr>
                <w:rFonts w:ascii="Times New Roman" w:hAnsi="Times New Roman" w:cs="Times New Roman"/>
                <w:b w:val="0"/>
                <w:i w:val="0"/>
                <w:sz w:val="17"/>
              </w:rPr>
              <w:t>Propio</w:t>
            </w:r>
          </w:p>
        </w:tc>
        <w:tc>
          <w:tcPr>
            <w:tcW w:type="dxa" w:w="3120"/>
          </w:tcPr>
          <w:p>
            <w:r/>
            <w:r>
              <w:rPr>
                <w:rFonts w:ascii="Times New Roman" w:hAnsi="Times New Roman" w:cs="Times New Roman"/>
                <w:b w:val="0"/>
                <w:i w:val="0"/>
                <w:sz w:val="17"/>
              </w:rPr>
              <w:t>Arquitectura, capítulos markdown, canones Word</w:t>
            </w:r>
          </w:p>
        </w:tc>
      </w:tr>
      <w:tr>
        <w:tc>
          <w:tcPr>
            <w:tcW w:type="dxa" w:w="3120"/>
          </w:tcPr>
          <w:p>
            <w:r/>
            <w:r>
              <w:rPr>
                <w:rFonts w:ascii="Times New Roman" w:hAnsi="Times New Roman" w:cs="Times New Roman"/>
                <w:b w:val="0"/>
                <w:i w:val="0"/>
                <w:sz w:val="17"/>
              </w:rPr>
              <w:t>examples_madrl_v3/</w:t>
            </w:r>
          </w:p>
        </w:tc>
        <w:tc>
          <w:tcPr>
            <w:tcW w:type="dxa" w:w="3120"/>
          </w:tcPr>
          <w:p>
            <w:r/>
            <w:r>
              <w:rPr>
                <w:rFonts w:ascii="Times New Roman" w:hAnsi="Times New Roman" w:cs="Times New Roman"/>
                <w:b w:val="0"/>
                <w:i w:val="0"/>
                <w:sz w:val="17"/>
              </w:rPr>
              <w:t>Propio</w:t>
            </w:r>
          </w:p>
        </w:tc>
        <w:tc>
          <w:tcPr>
            <w:tcW w:type="dxa" w:w="3120"/>
          </w:tcPr>
          <w:p>
            <w:r/>
            <w:r>
              <w:rPr>
                <w:rFonts w:ascii="Times New Roman" w:hAnsi="Times New Roman" w:cs="Times New Roman"/>
                <w:b w:val="0"/>
                <w:i w:val="0"/>
                <w:sz w:val="17"/>
              </w:rPr>
              <w:t>Notebook Colab / two_phase_happo_masac_v3</w:t>
            </w:r>
          </w:p>
        </w:tc>
      </w:tr>
    </w:tbl>
    <w:p>
      <w:r>
        <w:rPr>
          <w:rFonts w:ascii="Times New Roman" w:hAnsi="Times New Roman" w:cs="Times New Roman"/>
          <w:b w:val="0"/>
          <w:i/>
          <w:sz w:val="20"/>
        </w:rPr>
        <w:t>Nota. Fuente: elaboración propia a partir del repositorio MADRLCitytleranflexresdr y pytest (2026-07-29).</w:t>
      </w:r>
    </w:p>
    <w:p>
      <w:pPr>
        <w:pStyle w:val="Heading2"/>
      </w:pPr>
      <w:r>
        <w:rPr>
          <w:rFonts w:ascii="Times New Roman" w:hAnsi="Times New Roman" w:cs="Times New Roman"/>
          <w:b/>
          <w:i w:val="0"/>
          <w:sz w:val="24"/>
        </w:rPr>
        <w:t>4.12 Validación implementada (tests UC3M y schema CityLearn v3)</w:t>
      </w:r>
    </w:p>
    <w:p>
      <w:r>
        <w:rPr>
          <w:rFonts w:ascii="Times New Roman" w:hAnsi="Times New Roman" w:cs="Times New Roman"/>
          <w:b w:val="0"/>
          <w:i w:val="0"/>
          <w:sz w:val="24"/>
        </w:rPr>
        <w:t>El 2026-07-29 se ejecutó la validación de software de la fachada UC3M y del smoke de schema CityLearn v3 en el entorno .venv39-citylearn-v3, tras verificar el contexto del proyecto con scripts/verify_project_context.ps1. Comando:</w:t>
      </w:r>
    </w:p>
    <w:p>
      <w:r>
        <w:rPr>
          <w:rFonts w:ascii="Times New Roman" w:hAnsi="Times New Roman" w:cs="Times New Roman"/>
          <w:b w:val="0"/>
          <w:i/>
          <w:sz w:val="24"/>
        </w:rPr>
        <w:t>.\.venv39-citylearn-v3\Scripts\python.exe -B -m pytest tests/uc3m/ tests/citylearn_v3/ -v --tb=line</w:t>
      </w:r>
    </w:p>
    <w:p>
      <w:r>
        <w:rPr>
          <w:rFonts w:ascii="Times New Roman" w:hAnsi="Times New Roman" w:cs="Times New Roman"/>
          <w:b w:val="0"/>
          <w:i w:val="0"/>
          <w:sz w:val="24"/>
        </w:rPr>
        <w:t>Resultado: 184 tests passed (1 warning no bloqueante de SciPy en test_full_methodology_battery_smoke), duración 91,09 s. Esta validación acredita reproducibilidad de la capa de diseño y del contrato de datos; no sustituye el entrenamiento 4×3 ni las pruebas estadísticas del Capítulo 5.</w:t>
      </w:r>
    </w:p>
    <w:p>
      <w:r>
        <w:rPr>
          <w:rFonts w:ascii="Times New Roman" w:hAnsi="Times New Roman" w:cs="Times New Roman"/>
          <w:b w:val="0"/>
          <w:i/>
          <w:sz w:val="24"/>
        </w:rPr>
        <w:t>Tabla 4.12. Resumen de validación implementada (pytest, 2026-07-29).</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Times New Roman" w:hAnsi="Times New Roman" w:cs="Times New Roman"/>
                <w:b/>
                <w:i w:val="0"/>
                <w:sz w:val="18"/>
              </w:rPr>
              <w:t>Suite</w:t>
            </w:r>
          </w:p>
        </w:tc>
        <w:tc>
          <w:tcPr>
            <w:tcW w:type="dxa" w:w="3120"/>
          </w:tcPr>
          <w:p>
            <w:r/>
            <w:r>
              <w:rPr>
                <w:rFonts w:ascii="Times New Roman" w:hAnsi="Times New Roman" w:cs="Times New Roman"/>
                <w:b/>
                <w:i w:val="0"/>
                <w:sz w:val="18"/>
              </w:rPr>
              <w:t>Alcance</w:t>
            </w:r>
          </w:p>
        </w:tc>
        <w:tc>
          <w:tcPr>
            <w:tcW w:type="dxa" w:w="3120"/>
          </w:tcPr>
          <w:p>
            <w:r/>
            <w:r>
              <w:rPr>
                <w:rFonts w:ascii="Times New Roman" w:hAnsi="Times New Roman" w:cs="Times New Roman"/>
                <w:b/>
                <w:i w:val="0"/>
                <w:sz w:val="18"/>
              </w:rPr>
              <w:t>Resultado</w:t>
            </w:r>
          </w:p>
        </w:tc>
      </w:tr>
      <w:tr>
        <w:tc>
          <w:tcPr>
            <w:tcW w:type="dxa" w:w="3120"/>
          </w:tcPr>
          <w:p>
            <w:r/>
            <w:r>
              <w:rPr>
                <w:rFonts w:ascii="Times New Roman" w:hAnsi="Times New Roman" w:cs="Times New Roman"/>
                <w:b w:val="0"/>
                <w:i w:val="0"/>
                <w:sz w:val="17"/>
              </w:rPr>
              <w:t>tests/uc3m/</w:t>
            </w:r>
          </w:p>
        </w:tc>
        <w:tc>
          <w:tcPr>
            <w:tcW w:type="dxa" w:w="3120"/>
          </w:tcPr>
          <w:p>
            <w:r/>
            <w:r>
              <w:rPr>
                <w:rFonts w:ascii="Times New Roman" w:hAnsi="Times New Roman" w:cs="Times New Roman"/>
                <w:b w:val="0"/>
                <w:i w:val="0"/>
                <w:sz w:val="17"/>
              </w:rPr>
              <w:t>BACT, reward, HPHI, KPI, factory, env, multicriteria, …</w:t>
            </w:r>
          </w:p>
        </w:tc>
        <w:tc>
          <w:tcPr>
            <w:tcW w:type="dxa" w:w="3120"/>
          </w:tcPr>
          <w:p>
            <w:r/>
            <w:r>
              <w:rPr>
                <w:rFonts w:ascii="Times New Roman" w:hAnsi="Times New Roman" w:cs="Times New Roman"/>
                <w:b w:val="0"/>
                <w:i w:val="0"/>
                <w:sz w:val="17"/>
              </w:rPr>
              <w:t>180 passed</w:t>
            </w:r>
          </w:p>
        </w:tc>
      </w:tr>
      <w:tr>
        <w:tc>
          <w:tcPr>
            <w:tcW w:type="dxa" w:w="3120"/>
          </w:tcPr>
          <w:p>
            <w:r/>
            <w:r>
              <w:rPr>
                <w:rFonts w:ascii="Times New Roman" w:hAnsi="Times New Roman" w:cs="Times New Roman"/>
                <w:b w:val="0"/>
                <w:i w:val="0"/>
                <w:sz w:val="17"/>
              </w:rPr>
              <w:t>tests/citylearn_v3/</w:t>
            </w:r>
          </w:p>
        </w:tc>
        <w:tc>
          <w:tcPr>
            <w:tcW w:type="dxa" w:w="3120"/>
          </w:tcPr>
          <w:p>
            <w:r/>
            <w:r>
              <w:rPr>
                <w:rFonts w:ascii="Times New Roman" w:hAnsi="Times New Roman" w:cs="Times New Roman"/>
                <w:b w:val="0"/>
                <w:i w:val="0"/>
                <w:sz w:val="17"/>
              </w:rPr>
              <w:t>test_schema_smoke.py</w:t>
            </w:r>
          </w:p>
        </w:tc>
        <w:tc>
          <w:tcPr>
            <w:tcW w:type="dxa" w:w="3120"/>
          </w:tcPr>
          <w:p>
            <w:r/>
            <w:r>
              <w:rPr>
                <w:rFonts w:ascii="Times New Roman" w:hAnsi="Times New Roman" w:cs="Times New Roman"/>
                <w:b w:val="0"/>
                <w:i w:val="0"/>
                <w:sz w:val="17"/>
              </w:rPr>
              <w:t>4 passed</w:t>
            </w:r>
          </w:p>
        </w:tc>
      </w:tr>
      <w:tr>
        <w:tc>
          <w:tcPr>
            <w:tcW w:type="dxa" w:w="3120"/>
          </w:tcPr>
          <w:p>
            <w:r/>
            <w:r>
              <w:rPr>
                <w:rFonts w:ascii="Times New Roman" w:hAnsi="Times New Roman" w:cs="Times New Roman"/>
                <w:b w:val="0"/>
                <w:i w:val="0"/>
                <w:sz w:val="17"/>
              </w:rPr>
              <w:t>Total</w:t>
            </w:r>
          </w:p>
        </w:tc>
        <w:tc>
          <w:tcPr>
            <w:tcW w:type="dxa" w:w="3120"/>
          </w:tcPr>
          <w:p>
            <w:r/>
            <w:r>
              <w:rPr>
                <w:rFonts w:ascii="Times New Roman" w:hAnsi="Times New Roman" w:cs="Times New Roman"/>
                <w:b w:val="0"/>
                <w:i w:val="0"/>
                <w:sz w:val="17"/>
              </w:rPr>
              <w:t>184 ítems</w:t>
            </w:r>
          </w:p>
        </w:tc>
        <w:tc>
          <w:tcPr>
            <w:tcW w:type="dxa" w:w="3120"/>
          </w:tcPr>
          <w:p>
            <w:r/>
            <w:r>
              <w:rPr>
                <w:rFonts w:ascii="Times New Roman" w:hAnsi="Times New Roman" w:cs="Times New Roman"/>
                <w:b w:val="0"/>
                <w:i w:val="0"/>
                <w:sz w:val="17"/>
              </w:rPr>
              <w:t>184 passed (91,09 s)</w:t>
            </w:r>
          </w:p>
        </w:tc>
      </w:tr>
    </w:tbl>
    <w:p>
      <w:r>
        <w:rPr>
          <w:rFonts w:ascii="Times New Roman" w:hAnsi="Times New Roman" w:cs="Times New Roman"/>
          <w:b w:val="0"/>
          <w:i/>
          <w:sz w:val="20"/>
        </w:rPr>
        <w:t>Nota. Fuente: elaboración propia a partir del repositorio MADRLCitytleranflexresdr y pytest (2026-07-29).</w:t>
      </w:r>
    </w:p>
    <w:p>
      <w:r>
        <w:rPr>
          <w:rFonts w:ascii="Times New Roman" w:hAnsi="Times New Roman" w:cs="Times New Roman"/>
          <w:b w:val="0"/>
          <w:i w:val="0"/>
          <w:sz w:val="24"/>
        </w:rPr>
        <w:t>Validación ligera adicional: tools/training/validate_launch_config.py confirmó la construcción de 12 jobs (4 algoritmos × 3 escenarios), hiperparámetros por fase y dry-run de dynamic backfill (rc=0, 12 jobs, cap ≤ 6, primeros 6 = fase 1 HAPPO+MASAC). No se reentrenaron las 12 corridas MADRL en esta integración.</w:t>
      </w:r>
    </w:p>
    <w:p>
      <w:pPr>
        <w:pStyle w:val="Heading2"/>
      </w:pPr>
      <w:r>
        <w:rPr>
          <w:rFonts w:ascii="Times New Roman" w:hAnsi="Times New Roman" w:cs="Times New Roman"/>
          <w:b/>
          <w:i w:val="0"/>
          <w:sz w:val="24"/>
        </w:rPr>
        <w:t>4.13 Reproducibilidad operativa y puente a evidencia</w:t>
      </w:r>
    </w:p>
    <w:p>
      <w:r>
        <w:rPr>
          <w:rFonts w:ascii="Times New Roman" w:hAnsi="Times New Roman" w:cs="Times New Roman"/>
          <w:b w:val="0"/>
          <w:i w:val="0"/>
          <w:sz w:val="24"/>
        </w:rPr>
        <w:t>El entorno canónico de desarrollo es Python 3.9 (.venv39-citylearn-v3) con activación scripts/activate_citylearn_v3.ps1. La orquestación Colab usa el protocolo two_phase_happo_masac_v3; la vía local oficial es launch_citylearn_v3_official_training.ps1. El puente multicriterio (scripts/run_madrl_multicriteria_selection.py; artefactos en outputs/madrl_multicriteria_selection/) y la batería no paramétrica se documentan aquí como contrato de implementación; las tablas numéricas y figuras de Pareto/ranking se interpretan en el Capítulo 5. El pipeline Word tools/thesis/run_thesis_word_pipeline.py actualiza los dos canones sin regeneración destructiva por defecto.</w:t>
      </w:r>
    </w:p>
    <w:p>
      <w:pPr>
        <w:pStyle w:val="Heading1"/>
      </w:pPr>
      <w:r>
        <w:t>Capitulo 5. Resultados, contrastacion de hipotesis y discusion</w:t>
      </w:r>
    </w:p>
    <w:p>
      <w:pPr>
        <w:jc w:val="both"/>
      </w:pPr>
      <w:r>
        <w:rPr>
          <w:b w:val="0"/>
          <w:i w:val="0"/>
        </w:rPr>
        <w:t>Este capitulo presenta la evidencia de la corrida canonica (madrl_v3_20260627_164047) en cumplimiento de los objetivos, con cinco acapites: (5.2) resultados descriptivos estadisticos del OG y OE.1–OE.3 de forma independiente; (5.3) resultados inferenciales estadisticos del OG y OE.1–OE.3 de forma independiente; (5.4) otros resultados del OG y OE.1–OE.3 de forma independiente; (5.5) contrastacion de hipotesis (H0G/H1G y HE nulas/alternativas por objetivo); (5.6) discusion de resultados. El marco experimental (§5.1) precede.</w:t>
      </w:r>
    </w:p>
    <w:p>
      <w:pPr>
        <w:pStyle w:val="Heading2"/>
      </w:pPr>
      <w:r>
        <w:t>5.0 Mapa de lectura del capitulo</w:t>
      </w:r>
    </w:p>
    <w:p>
      <w:r>
        <w:rPr>
          <w:b/>
          <w:color w:val="595959"/>
          <w:sz w:val="19"/>
        </w:rPr>
        <w:t>Tabla 5.0. Estructura del Capitulo 5 por numerales y objetivos.</w:t>
      </w:r>
    </w:p>
    <w:tbl>
      <w:tblPr>
        <w:tblStyle w:val="LightGrid-Accent1"/>
        <w:tblW w:type="auto" w:w="0"/>
        <w:jc w:val="center"/>
        <w:tblLook w:firstColumn="1" w:firstRow="1" w:lastColumn="0" w:lastRow="0" w:noHBand="0" w:noVBand="1" w:val="04A0"/>
      </w:tblPr>
      <w:tblGrid>
        <w:gridCol w:w="3041"/>
        <w:gridCol w:w="3041"/>
        <w:gridCol w:w="3041"/>
      </w:tblGrid>
      <w:tr>
        <w:tc>
          <w:tcPr>
            <w:tcW w:type="dxa" w:w="1134"/>
            <w:shd w:val="clear" w:color="auto" w:fill="1F4E79"/>
          </w:tcPr>
          <w:p>
            <w:r/>
            <w:r>
              <w:rPr>
                <w:b/>
                <w:color w:val="FFFFFF"/>
                <w:sz w:val="18"/>
              </w:rPr>
              <w:t>Numeral</w:t>
            </w:r>
          </w:p>
        </w:tc>
        <w:tc>
          <w:tcPr>
            <w:tcW w:type="dxa" w:w="1984"/>
            <w:shd w:val="clear" w:color="auto" w:fill="1F4E79"/>
          </w:tcPr>
          <w:p>
            <w:r/>
            <w:r>
              <w:rPr>
                <w:b/>
                <w:color w:val="FFFFFF"/>
                <w:sz w:val="18"/>
              </w:rPr>
              <w:t>Bloque</w:t>
            </w:r>
          </w:p>
        </w:tc>
        <w:tc>
          <w:tcPr>
            <w:tcW w:type="dxa" w:w="5386"/>
            <w:shd w:val="clear" w:color="auto" w:fill="1F4E79"/>
          </w:tcPr>
          <w:p>
            <w:r/>
            <w:r>
              <w:rPr>
                <w:b/>
                <w:color w:val="FFFFFF"/>
                <w:sz w:val="18"/>
              </w:rPr>
              <w:t>Contenido (independiente por objetivo)</w:t>
            </w:r>
          </w:p>
        </w:tc>
      </w:tr>
      <w:tr>
        <w:tc>
          <w:tcPr>
            <w:tcW w:type="dxa" w:w="1134"/>
          </w:tcPr>
          <w:p>
            <w:r/>
            <w:r>
              <w:rPr>
                <w:sz w:val="18"/>
              </w:rPr>
              <w:t>5.1</w:t>
            </w:r>
          </w:p>
        </w:tc>
        <w:tc>
          <w:tcPr>
            <w:tcW w:type="dxa" w:w="1984"/>
          </w:tcPr>
          <w:p>
            <w:r/>
            <w:r>
              <w:rPr>
                <w:sz w:val="18"/>
              </w:rPr>
              <w:t>Marco</w:t>
            </w:r>
          </w:p>
        </w:tc>
        <w:tc>
          <w:tcPr>
            <w:tcW w:type="dxa" w:w="5386"/>
          </w:tcPr>
          <w:p>
            <w:r/>
            <w:r>
              <w:rPr>
                <w:sz w:val="18"/>
              </w:rPr>
              <w:t>Cobertura experimental 4x3 y operacionalizacion OE/OG</w:t>
            </w:r>
          </w:p>
        </w:tc>
      </w:tr>
      <w:tr>
        <w:tc>
          <w:tcPr>
            <w:tcW w:type="dxa" w:w="1134"/>
          </w:tcPr>
          <w:p>
            <w:r/>
            <w:r>
              <w:rPr>
                <w:sz w:val="18"/>
              </w:rPr>
              <w:t>5.2</w:t>
            </w:r>
          </w:p>
        </w:tc>
        <w:tc>
          <w:tcPr>
            <w:tcW w:type="dxa" w:w="1984"/>
          </w:tcPr>
          <w:p>
            <w:r/>
            <w:r>
              <w:rPr>
                <w:sz w:val="18"/>
              </w:rPr>
              <w:t>Descriptivos</w:t>
            </w:r>
          </w:p>
        </w:tc>
        <w:tc>
          <w:tcPr>
            <w:tcW w:type="dxa" w:w="5386"/>
          </w:tcPr>
          <w:p>
            <w:r/>
            <w:r>
              <w:rPr>
                <w:sz w:val="18"/>
              </w:rPr>
              <w:t>5.2.1 OG; 5.2.2 OE.1; 5.2.3 OE.2; 5.2.4 OE.3</w:t>
            </w:r>
          </w:p>
        </w:tc>
      </w:tr>
      <w:tr>
        <w:tc>
          <w:tcPr>
            <w:tcW w:type="dxa" w:w="1134"/>
          </w:tcPr>
          <w:p>
            <w:r/>
            <w:r>
              <w:rPr>
                <w:sz w:val="18"/>
              </w:rPr>
              <w:t>5.3</w:t>
            </w:r>
          </w:p>
        </w:tc>
        <w:tc>
          <w:tcPr>
            <w:tcW w:type="dxa" w:w="1984"/>
          </w:tcPr>
          <w:p>
            <w:r/>
            <w:r>
              <w:rPr>
                <w:sz w:val="18"/>
              </w:rPr>
              <w:t>Inferenciales</w:t>
            </w:r>
          </w:p>
        </w:tc>
        <w:tc>
          <w:tcPr>
            <w:tcW w:type="dxa" w:w="5386"/>
          </w:tcPr>
          <w:p>
            <w:r/>
            <w:r>
              <w:rPr>
                <w:sz w:val="18"/>
              </w:rPr>
              <w:t>5.3.1 OG; 5.3.2 OE.1; 5.3.3 OE.2; 5.3.4 OE.3</w:t>
            </w:r>
          </w:p>
        </w:tc>
      </w:tr>
      <w:tr>
        <w:tc>
          <w:tcPr>
            <w:tcW w:type="dxa" w:w="1134"/>
          </w:tcPr>
          <w:p>
            <w:r/>
            <w:r>
              <w:rPr>
                <w:sz w:val="18"/>
              </w:rPr>
              <w:t>5.4</w:t>
            </w:r>
          </w:p>
        </w:tc>
        <w:tc>
          <w:tcPr>
            <w:tcW w:type="dxa" w:w="1984"/>
          </w:tcPr>
          <w:p>
            <w:r/>
            <w:r>
              <w:rPr>
                <w:sz w:val="18"/>
              </w:rPr>
              <w:t>Otros resultados</w:t>
            </w:r>
          </w:p>
        </w:tc>
        <w:tc>
          <w:tcPr>
            <w:tcW w:type="dxa" w:w="5386"/>
          </w:tcPr>
          <w:p>
            <w:r/>
            <w:r>
              <w:rPr>
                <w:sz w:val="18"/>
              </w:rPr>
              <w:t>5.4.1 OG; 5.4.2 OE.1; 5.4.3 OE.2; 5.4.4 OE.3; 5.4.5 Control de recursos (C5)</w:t>
            </w:r>
          </w:p>
        </w:tc>
      </w:tr>
      <w:tr>
        <w:tc>
          <w:tcPr>
            <w:tcW w:type="dxa" w:w="1134"/>
          </w:tcPr>
          <w:p>
            <w:r/>
            <w:r>
              <w:rPr>
                <w:sz w:val="18"/>
              </w:rPr>
              <w:t>5.5</w:t>
            </w:r>
          </w:p>
        </w:tc>
        <w:tc>
          <w:tcPr>
            <w:tcW w:type="dxa" w:w="1984"/>
          </w:tcPr>
          <w:p>
            <w:r/>
            <w:r>
              <w:rPr>
                <w:sz w:val="18"/>
              </w:rPr>
              <w:t>Contrastacion de hipotesis</w:t>
            </w:r>
          </w:p>
        </w:tc>
        <w:tc>
          <w:tcPr>
            <w:tcW w:type="dxa" w:w="5386"/>
          </w:tcPr>
          <w:p>
            <w:r/>
            <w:r>
              <w:rPr>
                <w:sz w:val="18"/>
              </w:rPr>
              <w:t>5.5.1 H0G/H1G; 5.5.2 HE10/HE11; 5.5.3 HE20/HE21; 5.5.4 HE30/HE31; 5.5.5 Cumplimiento C1–C5</w:t>
            </w:r>
          </w:p>
        </w:tc>
      </w:tr>
      <w:tr>
        <w:tc>
          <w:tcPr>
            <w:tcW w:type="dxa" w:w="1134"/>
          </w:tcPr>
          <w:p>
            <w:r/>
            <w:r>
              <w:rPr>
                <w:sz w:val="18"/>
              </w:rPr>
              <w:t>5.6</w:t>
            </w:r>
          </w:p>
        </w:tc>
        <w:tc>
          <w:tcPr>
            <w:tcW w:type="dxa" w:w="1984"/>
          </w:tcPr>
          <w:p>
            <w:r/>
            <w:r>
              <w:rPr>
                <w:sz w:val="18"/>
              </w:rPr>
              <w:t>Discusion</w:t>
            </w:r>
          </w:p>
        </w:tc>
        <w:tc>
          <w:tcPr>
            <w:tcW w:type="dxa" w:w="5386"/>
          </w:tcPr>
          <w:p>
            <w:r/>
            <w:r>
              <w:rPr>
                <w:sz w:val="18"/>
              </w:rPr>
              <w:t>Interpretacion integrada y limitaciones</w:t>
            </w:r>
          </w:p>
        </w:tc>
      </w:tr>
    </w:tbl>
    <w:p/>
    <w:p>
      <w:pPr>
        <w:jc w:val="both"/>
      </w:pPr>
      <w:r>
        <w:rPr>
          <w:rFonts w:ascii="Times New Roman" w:hAnsi="Times New Roman" w:cs="Times New Roman"/>
          <w:b w:val="0"/>
          <w:sz w:val="24"/>
        </w:rPr>
        <w:t>Cadena vertical Cap. 1 → Cap. 5: PG ↔ OG ↔ H0G/H1G; PE.1 ↔ OE.1 ↔ HE10/HE11 (E1); PE.2 ↔ OE.2 ↔ HE20/HE21 (E2); PE.3 ↔ OE.3 ↔ HE30/HE31 (E3). Formulaciones exactas del autor; no parafrasear. Fuente unica: resultados guardados de 50 episodios Drive en outputs/. Determinacion del impacto = criterios C1–C5 (§5.1.1), con C5 = control de recursos; cada eje a nivel distrito y edificio. TOPSIS (medida multicriterio formal adicional; C* MAAC ≈ 0,9827) y ranking evaluate_v2 4/4 (MAAC 0,9538) apoyan la determinación multiobjetivo de OG/OE; HE11/HE21/HE31 se contrastan con KPI-gains (impacto significativo y diferencias) + C3–C5, complementados por TOPSIS/evaluate_v2.</w:t>
      </w:r>
    </w:p>
    <w:p>
      <w:pPr>
        <w:pStyle w:val="Heading2"/>
      </w:pPr>
      <w:r>
        <w:t>5.1 Marco experimental y cobertura</w:t>
      </w:r>
    </w:p>
    <w:p>
      <w:r>
        <w:rPr>
          <w:b/>
          <w:color w:val="595959"/>
          <w:sz w:val="19"/>
        </w:rPr>
        <w:t>Tabla 5.1. Operacionalizacion OG/OE → escenario → KPI.</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14"/>
            <w:shd w:val="clear" w:color="auto" w:fill="1F4E79"/>
          </w:tcPr>
          <w:p>
            <w:r/>
            <w:r>
              <w:rPr>
                <w:b/>
                <w:color w:val="FFFFFF"/>
                <w:sz w:val="18"/>
              </w:rPr>
              <w:t>Objetivo</w:t>
            </w:r>
          </w:p>
        </w:tc>
        <w:tc>
          <w:tcPr>
            <w:tcW w:type="dxa" w:w="1020"/>
            <w:shd w:val="clear" w:color="auto" w:fill="1F4E79"/>
          </w:tcPr>
          <w:p>
            <w:r/>
            <w:r>
              <w:rPr>
                <w:b/>
                <w:color w:val="FFFFFF"/>
                <w:sz w:val="18"/>
              </w:rPr>
              <w:t>Escenario</w:t>
            </w:r>
          </w:p>
        </w:tc>
        <w:tc>
          <w:tcPr>
            <w:tcW w:type="dxa" w:w="1020"/>
            <w:shd w:val="clear" w:color="auto" w:fill="1F4E79"/>
          </w:tcPr>
          <w:p>
            <w:r/>
            <w:r>
              <w:rPr>
                <w:b/>
                <w:color w:val="FFFFFF"/>
                <w:sz w:val="18"/>
              </w:rPr>
              <w:t>VD</w:t>
            </w:r>
          </w:p>
        </w:tc>
        <w:tc>
          <w:tcPr>
            <w:tcW w:type="dxa" w:w="2551"/>
            <w:shd w:val="clear" w:color="auto" w:fill="1F4E79"/>
          </w:tcPr>
          <w:p>
            <w:r/>
            <w:r>
              <w:rPr>
                <w:b/>
                <w:color w:val="FFFFFF"/>
                <w:sz w:val="18"/>
              </w:rPr>
              <w:t>KPI principal</w:t>
            </w:r>
          </w:p>
        </w:tc>
        <w:tc>
          <w:tcPr>
            <w:tcW w:type="dxa" w:w="1984"/>
            <w:shd w:val="clear" w:color="auto" w:fill="1F4E79"/>
          </w:tcPr>
          <w:p>
            <w:r/>
            <w:r>
              <w:rPr>
                <w:b/>
                <w:color w:val="FFFFFF"/>
                <w:sz w:val="18"/>
              </w:rPr>
              <w:t>Pesos</w:t>
            </w:r>
          </w:p>
        </w:tc>
      </w:tr>
      <w:tr>
        <w:tc>
          <w:tcPr>
            <w:tcW w:type="dxa" w:w="1814"/>
          </w:tcPr>
          <w:p>
            <w:r/>
            <w:r>
              <w:rPr>
                <w:sz w:val="18"/>
              </w:rPr>
              <w:t>OE.1 Flexibilidad</w:t>
            </w:r>
          </w:p>
        </w:tc>
        <w:tc>
          <w:tcPr>
            <w:tcW w:type="dxa" w:w="1020"/>
          </w:tcPr>
          <w:p>
            <w:r/>
            <w:r>
              <w:rPr>
                <w:sz w:val="18"/>
              </w:rPr>
              <w:t>E1</w:t>
            </w:r>
          </w:p>
        </w:tc>
        <w:tc>
          <w:tcPr>
            <w:tcW w:type="dxa" w:w="1020"/>
          </w:tcPr>
          <w:p>
            <w:r/>
            <w:r>
              <w:rPr>
                <w:sz w:val="18"/>
              </w:rPr>
              <w:t>D-VD.1</w:t>
            </w:r>
          </w:p>
        </w:tc>
        <w:tc>
          <w:tcPr>
            <w:tcW w:type="dxa" w:w="2551"/>
          </w:tcPr>
          <w:p>
            <w:r/>
            <w:r>
              <w:rPr>
                <w:sz w:val="18"/>
              </w:rPr>
              <w:t>flex_composite / KPI-gains</w:t>
            </w:r>
          </w:p>
        </w:tc>
        <w:tc>
          <w:tcPr>
            <w:tcW w:type="dxa" w:w="1984"/>
          </w:tcPr>
          <w:p>
            <w:r/>
            <w:r>
              <w:rPr>
                <w:sz w:val="18"/>
              </w:rPr>
              <w:t>[0,70; 0,15; 0,15]</w:t>
            </w:r>
          </w:p>
        </w:tc>
      </w:tr>
      <w:tr>
        <w:tc>
          <w:tcPr>
            <w:tcW w:type="dxa" w:w="1814"/>
          </w:tcPr>
          <w:p>
            <w:r/>
            <w:r>
              <w:rPr>
                <w:sz w:val="18"/>
              </w:rPr>
              <w:t>OE.2 Emisiones CO2</w:t>
            </w:r>
          </w:p>
        </w:tc>
        <w:tc>
          <w:tcPr>
            <w:tcW w:type="dxa" w:w="1020"/>
          </w:tcPr>
          <w:p>
            <w:r/>
            <w:r>
              <w:rPr>
                <w:sz w:val="18"/>
              </w:rPr>
              <w:t>E2</w:t>
            </w:r>
          </w:p>
        </w:tc>
        <w:tc>
          <w:tcPr>
            <w:tcW w:type="dxa" w:w="1020"/>
          </w:tcPr>
          <w:p>
            <w:r/>
            <w:r>
              <w:rPr>
                <w:sz w:val="18"/>
              </w:rPr>
              <w:t>D-VD.2</w:t>
            </w:r>
          </w:p>
        </w:tc>
        <w:tc>
          <w:tcPr>
            <w:tcW w:type="dxa" w:w="2551"/>
          </w:tcPr>
          <w:p>
            <w:r/>
            <w:r>
              <w:rPr>
                <w:sz w:val="18"/>
              </w:rPr>
              <w:t>carbon_emissions_delta</w:t>
            </w:r>
          </w:p>
        </w:tc>
        <w:tc>
          <w:tcPr>
            <w:tcW w:type="dxa" w:w="1984"/>
          </w:tcPr>
          <w:p>
            <w:r/>
            <w:r>
              <w:rPr>
                <w:sz w:val="18"/>
              </w:rPr>
              <w:t>[0,15; 0,70; 0,15]</w:t>
            </w:r>
          </w:p>
        </w:tc>
      </w:tr>
      <w:tr>
        <w:tc>
          <w:tcPr>
            <w:tcW w:type="dxa" w:w="1814"/>
          </w:tcPr>
          <w:p>
            <w:r/>
            <w:r>
              <w:rPr>
                <w:sz w:val="18"/>
              </w:rPr>
              <w:t>OE.3 Costos</w:t>
            </w:r>
          </w:p>
        </w:tc>
        <w:tc>
          <w:tcPr>
            <w:tcW w:type="dxa" w:w="1020"/>
          </w:tcPr>
          <w:p>
            <w:r/>
            <w:r>
              <w:rPr>
                <w:sz w:val="18"/>
              </w:rPr>
              <w:t>E3</w:t>
            </w:r>
          </w:p>
        </w:tc>
        <w:tc>
          <w:tcPr>
            <w:tcW w:type="dxa" w:w="1020"/>
          </w:tcPr>
          <w:p>
            <w:r/>
            <w:r>
              <w:rPr>
                <w:sz w:val="18"/>
              </w:rPr>
              <w:t>D-VD.3</w:t>
            </w:r>
          </w:p>
        </w:tc>
        <w:tc>
          <w:tcPr>
            <w:tcW w:type="dxa" w:w="2551"/>
          </w:tcPr>
          <w:p>
            <w:r/>
            <w:r>
              <w:rPr>
                <w:sz w:val="18"/>
              </w:rPr>
              <w:t>electricity_cost_delta</w:t>
            </w:r>
          </w:p>
        </w:tc>
        <w:tc>
          <w:tcPr>
            <w:tcW w:type="dxa" w:w="1984"/>
          </w:tcPr>
          <w:p>
            <w:r/>
            <w:r>
              <w:rPr>
                <w:sz w:val="18"/>
              </w:rPr>
              <w:t>[0,25; 0,15; 0,60]</w:t>
            </w:r>
          </w:p>
        </w:tc>
      </w:tr>
      <w:tr>
        <w:tc>
          <w:tcPr>
            <w:tcW w:type="dxa" w:w="1814"/>
          </w:tcPr>
          <w:p>
            <w:r/>
            <w:r>
              <w:rPr>
                <w:sz w:val="18"/>
              </w:rPr>
              <w:t>OG Coordinacion</w:t>
            </w:r>
          </w:p>
        </w:tc>
        <w:tc>
          <w:tcPr>
            <w:tcW w:type="dxa" w:w="1020"/>
          </w:tcPr>
          <w:p>
            <w:r/>
            <w:r>
              <w:rPr>
                <w:sz w:val="18"/>
              </w:rPr>
              <w:t>E1–E3</w:t>
            </w:r>
          </w:p>
        </w:tc>
        <w:tc>
          <w:tcPr>
            <w:tcW w:type="dxa" w:w="1020"/>
          </w:tcPr>
          <w:p>
            <w:r/>
            <w:r>
              <w:rPr>
                <w:sz w:val="18"/>
              </w:rPr>
              <w:t>Multiobjetivo</w:t>
            </w:r>
          </w:p>
        </w:tc>
        <w:tc>
          <w:tcPr>
            <w:tcW w:type="dxa" w:w="2551"/>
          </w:tcPr>
          <w:p>
            <w:r/>
            <w:r>
              <w:rPr>
                <w:sz w:val="18"/>
              </w:rPr>
              <w:t>best_madrl + integracion</w:t>
            </w:r>
          </w:p>
        </w:tc>
        <w:tc>
          <w:tcPr>
            <w:tcW w:type="dxa" w:w="1984"/>
          </w:tcPr>
          <w:p>
            <w:r/>
            <w:r>
              <w:rPr>
                <w:sz w:val="18"/>
              </w:rPr>
              <w:t>—</w:t>
            </w:r>
          </w:p>
        </w:tc>
      </w:tr>
    </w:tbl>
    <w:p/>
    <w:p>
      <w:r>
        <w:rPr>
          <w:b/>
          <w:color w:val="595959"/>
          <w:sz w:val="19"/>
        </w:rPr>
        <w:t>Tabla 5.2. Cobertura de episodios y KPIs finales.</w:t>
      </w:r>
    </w:p>
    <w:tbl>
      <w:tblPr>
        <w:tblStyle w:val="LightGrid-Accent1"/>
        <w:tblW w:type="auto" w:w="0"/>
        <w:jc w:val="center"/>
        <w:tblLook w:firstColumn="1" w:firstRow="1" w:lastColumn="0" w:lastRow="0" w:noHBand="0" w:noVBand="1" w:val="04A0"/>
      </w:tblPr>
      <w:tblGrid>
        <w:gridCol w:w="1520"/>
        <w:gridCol w:w="1520"/>
        <w:gridCol w:w="1520"/>
        <w:gridCol w:w="1520"/>
        <w:gridCol w:w="1520"/>
        <w:gridCol w:w="1520"/>
      </w:tblGrid>
      <w:tr>
        <w:tc>
          <w:tcPr>
            <w:tcW w:type="dxa" w:w="1247"/>
            <w:shd w:val="clear" w:color="auto" w:fill="1F4E79"/>
          </w:tcPr>
          <w:p>
            <w:r/>
            <w:r>
              <w:rPr>
                <w:b/>
                <w:color w:val="FFFFFF"/>
                <w:sz w:val="18"/>
              </w:rPr>
              <w:t>Algoritmo</w:t>
            </w:r>
          </w:p>
        </w:tc>
        <w:tc>
          <w:tcPr>
            <w:tcW w:type="dxa" w:w="850"/>
            <w:shd w:val="clear" w:color="auto" w:fill="1F4E79"/>
          </w:tcPr>
          <w:p>
            <w:r/>
            <w:r>
              <w:rPr>
                <w:b/>
                <w:color w:val="FFFFFF"/>
                <w:sz w:val="18"/>
              </w:rPr>
              <w:t>E1</w:t>
            </w:r>
          </w:p>
        </w:tc>
        <w:tc>
          <w:tcPr>
            <w:tcW w:type="dxa" w:w="850"/>
            <w:shd w:val="clear" w:color="auto" w:fill="1F4E79"/>
          </w:tcPr>
          <w:p>
            <w:r/>
            <w:r>
              <w:rPr>
                <w:b/>
                <w:color w:val="FFFFFF"/>
                <w:sz w:val="18"/>
              </w:rPr>
              <w:t>E2</w:t>
            </w:r>
          </w:p>
        </w:tc>
        <w:tc>
          <w:tcPr>
            <w:tcW w:type="dxa" w:w="850"/>
            <w:shd w:val="clear" w:color="auto" w:fill="1F4E79"/>
          </w:tcPr>
          <w:p>
            <w:r/>
            <w:r>
              <w:rPr>
                <w:b/>
                <w:color w:val="FFFFFF"/>
                <w:sz w:val="18"/>
              </w:rPr>
              <w:t>E3</w:t>
            </w:r>
          </w:p>
        </w:tc>
        <w:tc>
          <w:tcPr>
            <w:tcW w:type="dxa" w:w="1984"/>
            <w:shd w:val="clear" w:color="auto" w:fill="1F4E79"/>
          </w:tcPr>
          <w:p>
            <w:r/>
            <w:r>
              <w:rPr>
                <w:b/>
                <w:color w:val="FFFFFF"/>
                <w:sz w:val="18"/>
              </w:rPr>
              <w:t>KPIs finales</w:t>
            </w:r>
          </w:p>
        </w:tc>
        <w:tc>
          <w:tcPr>
            <w:tcW w:type="dxa" w:w="2551"/>
            <w:shd w:val="clear" w:color="auto" w:fill="1F4E79"/>
          </w:tcPr>
          <w:p>
            <w:r/>
            <w:r>
              <w:rPr>
                <w:b/>
                <w:color w:val="FFFFFF"/>
                <w:sz w:val="18"/>
              </w:rPr>
              <w:t>Uso</w:t>
            </w:r>
          </w:p>
        </w:tc>
      </w:tr>
      <w:tr>
        <w:tc>
          <w:tcPr>
            <w:tcW w:type="dxa" w:w="1247"/>
          </w:tcPr>
          <w:p>
            <w:r/>
            <w:r>
              <w:rPr>
                <w:sz w:val="18"/>
              </w:rPr>
              <w:t>MATD3</w:t>
            </w:r>
          </w:p>
        </w:tc>
        <w:tc>
          <w:tcPr>
            <w:tcW w:type="dxa" w:w="850"/>
          </w:tcPr>
          <w:p>
            <w:r/>
            <w:r>
              <w:rPr>
                <w:sz w:val="18"/>
              </w:rPr>
              <w:t>50</w:t>
            </w:r>
          </w:p>
        </w:tc>
        <w:tc>
          <w:tcPr>
            <w:tcW w:type="dxa" w:w="850"/>
          </w:tcPr>
          <w:p>
            <w:r/>
            <w:r>
              <w:rPr>
                <w:sz w:val="18"/>
              </w:rPr>
              <w:t>50</w:t>
            </w:r>
          </w:p>
        </w:tc>
        <w:tc>
          <w:tcPr>
            <w:tcW w:type="dxa" w:w="850"/>
          </w:tcPr>
          <w:p>
            <w:r/>
            <w:r>
              <w:rPr>
                <w:sz w:val="18"/>
              </w:rPr>
              <w:t>50</w:t>
            </w:r>
          </w:p>
        </w:tc>
        <w:tc>
          <w:tcPr>
            <w:tcW w:type="dxa" w:w="1984"/>
          </w:tcPr>
          <w:p>
            <w:r/>
            <w:r>
              <w:rPr>
                <w:sz w:val="18"/>
              </w:rPr>
              <w:t>Si</w:t>
            </w:r>
          </w:p>
        </w:tc>
        <w:tc>
          <w:tcPr>
            <w:tcW w:type="dxa" w:w="2551"/>
          </w:tcPr>
          <w:p>
            <w:r/>
            <w:r>
              <w:rPr>
                <w:sz w:val="18"/>
              </w:rPr>
              <w:t>Descriptivo + inferencial canonico</w:t>
            </w:r>
          </w:p>
        </w:tc>
      </w:tr>
      <w:tr>
        <w:tc>
          <w:tcPr>
            <w:tcW w:type="dxa" w:w="1247"/>
          </w:tcPr>
          <w:p>
            <w:r/>
            <w:r>
              <w:rPr>
                <w:sz w:val="18"/>
              </w:rPr>
              <w:t>MAAC</w:t>
            </w:r>
          </w:p>
        </w:tc>
        <w:tc>
          <w:tcPr>
            <w:tcW w:type="dxa" w:w="850"/>
          </w:tcPr>
          <w:p>
            <w:r/>
            <w:r>
              <w:rPr>
                <w:sz w:val="18"/>
              </w:rPr>
              <w:t>50</w:t>
            </w:r>
          </w:p>
        </w:tc>
        <w:tc>
          <w:tcPr>
            <w:tcW w:type="dxa" w:w="850"/>
          </w:tcPr>
          <w:p>
            <w:r/>
            <w:r>
              <w:rPr>
                <w:sz w:val="18"/>
              </w:rPr>
              <w:t>50</w:t>
            </w:r>
          </w:p>
        </w:tc>
        <w:tc>
          <w:tcPr>
            <w:tcW w:type="dxa" w:w="850"/>
          </w:tcPr>
          <w:p>
            <w:r/>
            <w:r>
              <w:rPr>
                <w:sz w:val="18"/>
              </w:rPr>
              <w:t>50</w:t>
            </w:r>
          </w:p>
        </w:tc>
        <w:tc>
          <w:tcPr>
            <w:tcW w:type="dxa" w:w="1984"/>
          </w:tcPr>
          <w:p>
            <w:r/>
            <w:r>
              <w:rPr>
                <w:sz w:val="18"/>
              </w:rPr>
              <w:t>Si</w:t>
            </w:r>
          </w:p>
        </w:tc>
        <w:tc>
          <w:tcPr>
            <w:tcW w:type="dxa" w:w="2551"/>
          </w:tcPr>
          <w:p>
            <w:r/>
            <w:r>
              <w:rPr>
                <w:sz w:val="18"/>
              </w:rPr>
              <w:t>Descriptivo + inferencial canonico</w:t>
            </w:r>
          </w:p>
        </w:tc>
      </w:tr>
      <w:tr>
        <w:tc>
          <w:tcPr>
            <w:tcW w:type="dxa" w:w="1247"/>
          </w:tcPr>
          <w:p>
            <w:r/>
            <w:r>
              <w:rPr>
                <w:sz w:val="18"/>
              </w:rPr>
              <w:t>MASAC</w:t>
            </w:r>
          </w:p>
        </w:tc>
        <w:tc>
          <w:tcPr>
            <w:tcW w:type="dxa" w:w="850"/>
          </w:tcPr>
          <w:p>
            <w:r/>
            <w:r>
              <w:rPr>
                <w:sz w:val="18"/>
              </w:rPr>
              <w:t>50</w:t>
            </w:r>
          </w:p>
        </w:tc>
        <w:tc>
          <w:tcPr>
            <w:tcW w:type="dxa" w:w="850"/>
          </w:tcPr>
          <w:p>
            <w:r/>
            <w:r>
              <w:rPr>
                <w:sz w:val="18"/>
              </w:rPr>
              <w:t>50</w:t>
            </w:r>
          </w:p>
        </w:tc>
        <w:tc>
          <w:tcPr>
            <w:tcW w:type="dxa" w:w="850"/>
          </w:tcPr>
          <w:p>
            <w:r/>
            <w:r>
              <w:rPr>
                <w:sz w:val="18"/>
              </w:rPr>
              <w:t>50</w:t>
            </w:r>
          </w:p>
        </w:tc>
        <w:tc>
          <w:tcPr>
            <w:tcW w:type="dxa" w:w="1984"/>
          </w:tcPr>
          <w:p>
            <w:r/>
            <w:r>
              <w:rPr>
                <w:sz w:val="18"/>
              </w:rPr>
              <w:t>Si</w:t>
            </w:r>
          </w:p>
        </w:tc>
        <w:tc>
          <w:tcPr>
            <w:tcW w:type="dxa" w:w="2551"/>
          </w:tcPr>
          <w:p>
            <w:r/>
            <w:r>
              <w:rPr>
                <w:sz w:val="18"/>
              </w:rPr>
              <w:t>Descriptivo + inferencial canonico</w:t>
            </w:r>
          </w:p>
        </w:tc>
      </w:tr>
      <w:tr>
        <w:tc>
          <w:tcPr>
            <w:tcW w:type="dxa" w:w="1247"/>
          </w:tcPr>
          <w:p>
            <w:r/>
            <w:r>
              <w:rPr>
                <w:sz w:val="18"/>
              </w:rPr>
              <w:t>HAPPO</w:t>
            </w:r>
          </w:p>
        </w:tc>
        <w:tc>
          <w:tcPr>
            <w:tcW w:type="dxa" w:w="850"/>
          </w:tcPr>
          <w:p>
            <w:r/>
            <w:r>
              <w:rPr>
                <w:sz w:val="18"/>
              </w:rPr>
              <w:t>49</w:t>
            </w:r>
          </w:p>
        </w:tc>
        <w:tc>
          <w:tcPr>
            <w:tcW w:type="dxa" w:w="850"/>
          </w:tcPr>
          <w:p>
            <w:r/>
            <w:r>
              <w:rPr>
                <w:sz w:val="18"/>
              </w:rPr>
              <w:t>49</w:t>
            </w:r>
          </w:p>
        </w:tc>
        <w:tc>
          <w:tcPr>
            <w:tcW w:type="dxa" w:w="850"/>
          </w:tcPr>
          <w:p>
            <w:r/>
            <w:r>
              <w:rPr>
                <w:sz w:val="18"/>
              </w:rPr>
              <w:t>49</w:t>
            </w:r>
          </w:p>
        </w:tc>
        <w:tc>
          <w:tcPr>
            <w:tcW w:type="dxa" w:w="1984"/>
          </w:tcPr>
          <w:p>
            <w:r/>
            <w:r>
              <w:rPr>
                <w:sz w:val="18"/>
              </w:rPr>
              <w:t>Si (Drive 2026-07-28)</w:t>
            </w:r>
          </w:p>
        </w:tc>
        <w:tc>
          <w:tcPr>
            <w:tcW w:type="dxa" w:w="2551"/>
          </w:tcPr>
          <w:p>
            <w:r/>
            <w:r>
              <w:rPr>
                <w:sz w:val="18"/>
              </w:rPr>
              <w:t>Descriptivo 4/4; HE canonica 3x3</w:t>
            </w:r>
          </w:p>
        </w:tc>
      </w:tr>
    </w:tbl>
    <w:p/>
    <w:p>
      <w:pPr>
        <w:pStyle w:val="Heading3"/>
      </w:pPr>
      <w:r>
        <w:t>5.1.1 Criterios de determinacion del impacto (cumplimiento completo)</w:t>
      </w:r>
    </w:p>
    <w:p>
      <w:pPr>
        <w:jc w:val="both"/>
      </w:pPr>
      <w:r>
        <w:rPr>
          <w:b w:val="0"/>
          <w:i w:val="0"/>
        </w:rPr>
        <w:t>Para cumplir OG/OE.1–OE.3 y demostrar las hipotesis no basta un ranking descriptivo. La determinacion del impacto exige el conjunto completo de criterios C1–C5. C5 (control de recursos) es obligatorio: el efecto MADRL solo es atribuible a las acciones sobre BESS, cargadores EV/V2G y carga desplazable. Cada eje OE se reporta a nivel distrito y a nivel edificio.</w:t>
      </w:r>
    </w:p>
    <w:p>
      <w:r>
        <w:rPr>
          <w:b/>
          <w:color w:val="595959"/>
          <w:sz w:val="19"/>
        </w:rPr>
        <w:t>Tabla 5.1.1. Criterios completos de determinacion del impacto (C5 = control de recursos).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680"/>
            <w:shd w:val="clear" w:color="auto" w:fill="1F4E79"/>
          </w:tcPr>
          <w:p>
            <w:r/>
            <w:r>
              <w:rPr>
                <w:b/>
                <w:color w:val="FFFFFF"/>
                <w:sz w:val="18"/>
              </w:rPr>
              <w:t>Id</w:t>
            </w:r>
          </w:p>
        </w:tc>
        <w:tc>
          <w:tcPr>
            <w:tcW w:type="dxa" w:w="1814"/>
            <w:shd w:val="clear" w:color="auto" w:fill="1F4E79"/>
          </w:tcPr>
          <w:p>
            <w:r/>
            <w:r>
              <w:rPr>
                <w:b/>
                <w:color w:val="FFFFFF"/>
                <w:sz w:val="18"/>
              </w:rPr>
              <w:t>Criterio</w:t>
            </w:r>
          </w:p>
        </w:tc>
        <w:tc>
          <w:tcPr>
            <w:tcW w:type="dxa" w:w="2268"/>
            <w:shd w:val="clear" w:color="auto" w:fill="1F4E79"/>
          </w:tcPr>
          <w:p>
            <w:r/>
            <w:r>
              <w:rPr>
                <w:b/>
                <w:color w:val="FFFFFF"/>
                <w:sz w:val="18"/>
              </w:rPr>
              <w:t>Medida / prueba</w:t>
            </w:r>
          </w:p>
        </w:tc>
        <w:tc>
          <w:tcPr>
            <w:tcW w:type="dxa" w:w="1984"/>
            <w:shd w:val="clear" w:color="auto" w:fill="1F4E79"/>
          </w:tcPr>
          <w:p>
            <w:r/>
            <w:r>
              <w:rPr>
                <w:b/>
                <w:color w:val="FFFFFF"/>
                <w:sz w:val="18"/>
              </w:rPr>
              <w:t>Rol</w:t>
            </w:r>
          </w:p>
        </w:tc>
        <w:tc>
          <w:tcPr>
            <w:tcW w:type="dxa" w:w="1984"/>
            <w:shd w:val="clear" w:color="auto" w:fill="1F4E79"/>
          </w:tcPr>
          <w:p>
            <w:r/>
            <w:r>
              <w:rPr>
                <w:b/>
                <w:color w:val="FFFFFF"/>
                <w:sz w:val="18"/>
              </w:rPr>
              <w:t>Artefacto</w:t>
            </w:r>
          </w:p>
        </w:tc>
      </w:tr>
      <w:tr>
        <w:tc>
          <w:tcPr>
            <w:tcW w:type="dxa" w:w="680"/>
          </w:tcPr>
          <w:p>
            <w:r/>
            <w:r>
              <w:rPr>
                <w:sz w:val="18"/>
              </w:rPr>
              <w:t>C1</w:t>
            </w:r>
          </w:p>
        </w:tc>
        <w:tc>
          <w:tcPr>
            <w:tcW w:type="dxa" w:w="1814"/>
          </w:tcPr>
          <w:p>
            <w:r/>
            <w:r>
              <w:rPr>
                <w:sz w:val="18"/>
              </w:rPr>
              <w:t>Impacto vs baseline</w:t>
            </w:r>
          </w:p>
        </w:tc>
        <w:tc>
          <w:tcPr>
            <w:tcW w:type="dxa" w:w="2268"/>
          </w:tcPr>
          <w:p>
            <w:r/>
            <w:r>
              <w:rPr>
                <w:sz w:val="18"/>
              </w:rPr>
              <w:t>Wilcoxon KPI-gains vs cero + Holm</w:t>
            </w:r>
          </w:p>
        </w:tc>
        <w:tc>
          <w:tcPr>
            <w:tcW w:type="dxa" w:w="1984"/>
          </w:tcPr>
          <w:p>
            <w:r/>
            <w:r>
              <w:rPr>
                <w:sz w:val="18"/>
              </w:rPr>
              <w:t>Inferencial HE (necesario)</w:t>
            </w:r>
          </w:p>
        </w:tc>
        <w:tc>
          <w:tcPr>
            <w:tcW w:type="dxa" w:w="1984"/>
          </w:tcPr>
          <w:p>
            <w:r/>
            <w:r>
              <w:rPr>
                <w:sz w:val="18"/>
              </w:rPr>
              <w:t>KPI-gains distrito (evaluate_v2)</w:t>
            </w:r>
          </w:p>
        </w:tc>
      </w:tr>
      <w:tr>
        <w:tc>
          <w:tcPr>
            <w:tcW w:type="dxa" w:w="680"/>
          </w:tcPr>
          <w:p>
            <w:r/>
            <w:r>
              <w:rPr>
                <w:sz w:val="18"/>
              </w:rPr>
              <w:t>C2</w:t>
            </w:r>
          </w:p>
        </w:tc>
        <w:tc>
          <w:tcPr>
            <w:tcW w:type="dxa" w:w="1814"/>
          </w:tcPr>
          <w:p>
            <w:r/>
            <w:r>
              <w:rPr>
                <w:sz w:val="18"/>
              </w:rPr>
              <w:t>Diferencias entre algoritmos</w:t>
            </w:r>
          </w:p>
        </w:tc>
        <w:tc>
          <w:tcPr>
            <w:tcW w:type="dxa" w:w="2268"/>
          </w:tcPr>
          <w:p>
            <w:r/>
            <w:r>
              <w:rPr>
                <w:sz w:val="18"/>
              </w:rPr>
              <w:t>Kruskal-Wallis / Friedman + post hoc</w:t>
            </w:r>
          </w:p>
        </w:tc>
        <w:tc>
          <w:tcPr>
            <w:tcW w:type="dxa" w:w="1984"/>
          </w:tcPr>
          <w:p>
            <w:r/>
            <w:r>
              <w:rPr>
                <w:sz w:val="18"/>
              </w:rPr>
              <w:t>Inferencial HE (necesario)</w:t>
            </w:r>
          </w:p>
        </w:tc>
        <w:tc>
          <w:tcPr>
            <w:tcW w:type="dxa" w:w="1984"/>
          </w:tcPr>
          <w:p>
            <w:r/>
            <w:r>
              <w:rPr>
                <w:sz w:val="18"/>
              </w:rPr>
              <w:t>KPI-gains / integracion multi-eje</w:t>
            </w:r>
          </w:p>
        </w:tc>
      </w:tr>
      <w:tr>
        <w:tc>
          <w:tcPr>
            <w:tcW w:type="dxa" w:w="680"/>
          </w:tcPr>
          <w:p>
            <w:r/>
            <w:r>
              <w:rPr>
                <w:sz w:val="18"/>
              </w:rPr>
              <w:t>C3</w:t>
            </w:r>
          </w:p>
        </w:tc>
        <w:tc>
          <w:tcPr>
            <w:tcW w:type="dxa" w:w="1814"/>
          </w:tcPr>
          <w:p>
            <w:r/>
            <w:r>
              <w:rPr>
                <w:sz w:val="18"/>
              </w:rPr>
              <w:t>KPIs fisicos de distrito por eje</w:t>
            </w:r>
          </w:p>
        </w:tc>
        <w:tc>
          <w:tcPr>
            <w:tcW w:type="dxa" w:w="2268"/>
          </w:tcPr>
          <w:p>
            <w:r/>
            <w:r>
              <w:rPr>
                <w:sz w:val="18"/>
              </w:rPr>
              <w:t>flex_composite / ΔCO2 / Δcosto</w:t>
            </w:r>
          </w:p>
        </w:tc>
        <w:tc>
          <w:tcPr>
            <w:tcW w:type="dxa" w:w="1984"/>
          </w:tcPr>
          <w:p>
            <w:r/>
            <w:r>
              <w:rPr>
                <w:sz w:val="18"/>
              </w:rPr>
              <w:t>Descriptivo OE.1–OE.3</w:t>
            </w:r>
          </w:p>
        </w:tc>
        <w:tc>
          <w:tcPr>
            <w:tcW w:type="dxa" w:w="1984"/>
          </w:tcPr>
          <w:p>
            <w:r/>
            <w:r>
              <w:rPr>
                <w:sz w:val="18"/>
              </w:rPr>
              <w:t>district_objectives_by_algorithm.csv</w:t>
            </w:r>
          </w:p>
        </w:tc>
      </w:tr>
      <w:tr>
        <w:tc>
          <w:tcPr>
            <w:tcW w:type="dxa" w:w="680"/>
          </w:tcPr>
          <w:p>
            <w:r/>
            <w:r>
              <w:rPr>
                <w:sz w:val="18"/>
              </w:rPr>
              <w:t>C4</w:t>
            </w:r>
          </w:p>
        </w:tc>
        <w:tc>
          <w:tcPr>
            <w:tcW w:type="dxa" w:w="1814"/>
          </w:tcPr>
          <w:p>
            <w:r/>
            <w:r>
              <w:rPr>
                <w:sz w:val="18"/>
              </w:rPr>
              <w:t>KPIs desagregados por edificio por eje</w:t>
            </w:r>
          </w:p>
        </w:tc>
        <w:tc>
          <w:tcPr>
            <w:tcW w:type="dxa" w:w="2268"/>
          </w:tcPr>
          <w:p>
            <w:r/>
            <w:r>
              <w:rPr>
                <w:sz w:val="18"/>
              </w:rPr>
              <w:t>17 edificios × E1/E2/E3</w:t>
            </w:r>
          </w:p>
        </w:tc>
        <w:tc>
          <w:tcPr>
            <w:tcW w:type="dxa" w:w="1984"/>
          </w:tcPr>
          <w:p>
            <w:r/>
            <w:r>
              <w:rPr>
                <w:sz w:val="18"/>
              </w:rPr>
              <w:t>Descriptivo OE.1–OE.3</w:t>
            </w:r>
          </w:p>
        </w:tc>
        <w:tc>
          <w:tcPr>
            <w:tcW w:type="dxa" w:w="1984"/>
          </w:tcPr>
          <w:p>
            <w:r/>
            <w:r>
              <w:rPr>
                <w:sz w:val="18"/>
              </w:rPr>
              <w:t>building_objectives_by_algorithm.csv</w:t>
            </w:r>
          </w:p>
        </w:tc>
      </w:tr>
      <w:tr>
        <w:tc>
          <w:tcPr>
            <w:tcW w:type="dxa" w:w="680"/>
          </w:tcPr>
          <w:p>
            <w:r/>
            <w:r>
              <w:rPr>
                <w:sz w:val="18"/>
              </w:rPr>
              <w:t>C5</w:t>
            </w:r>
          </w:p>
        </w:tc>
        <w:tc>
          <w:tcPr>
            <w:tcW w:type="dxa" w:w="1814"/>
          </w:tcPr>
          <w:p>
            <w:r/>
            <w:r>
              <w:rPr>
                <w:sz w:val="18"/>
              </w:rPr>
              <w:t>Control de recursos</w:t>
            </w:r>
          </w:p>
        </w:tc>
        <w:tc>
          <w:tcPr>
            <w:tcW w:type="dxa" w:w="2268"/>
          </w:tcPr>
          <w:p>
            <w:r/>
            <w:r>
              <w:rPr>
                <w:sz w:val="18"/>
              </w:rPr>
              <w:t>BESS, EV/V2G, carga desplazable (acciones y exito EV)</w:t>
            </w:r>
          </w:p>
        </w:tc>
        <w:tc>
          <w:tcPr>
            <w:tcW w:type="dxa" w:w="1984"/>
          </w:tcPr>
          <w:p>
            <w:r/>
            <w:r>
              <w:rPr>
                <w:sz w:val="18"/>
              </w:rPr>
              <w:t>Obligatorio (atribuibilidad del impacto)</w:t>
            </w:r>
          </w:p>
        </w:tc>
        <w:tc>
          <w:tcPr>
            <w:tcW w:type="dxa" w:w="1984"/>
          </w:tcPr>
          <w:p>
            <w:r/>
            <w:r>
              <w:rPr>
                <w:sz w:val="18"/>
              </w:rPr>
              <w:t>inventario + traces + EV success</w:t>
            </w:r>
          </w:p>
        </w:tc>
      </w:tr>
    </w:tbl>
    <w:p/>
    <w:p>
      <w:pPr>
        <w:jc w:val="both"/>
      </w:pPr>
      <w:r>
        <w:rPr>
          <w:rFonts w:ascii="Times New Roman" w:hAnsi="Times New Roman" w:cs="Times New Roman"/>
          <w:b w:val="0"/>
          <w:sz w:val="24"/>
        </w:rPr>
        <w:t>Regla de cumplimiento sin parciales: un OE se considera documentado solo si C3+C4 (distrito y edificio del eje) y C5 (control de recursos) estan presentes junto con C1+C2 en la contrastacion HE. TOPSIS y evaluate_v2 4/4 son medidas formales adicionales que refuerzan el juicio de OG/OE/HE junto a C1–C5, sin reemplazar el conjunto de criterios de impacto.</w:t>
      </w:r>
    </w:p>
    <w:p>
      <w:pPr>
        <w:pStyle w:val="Heading2"/>
      </w:pPr>
      <w:r>
        <w:t>5.2 Resultados descriptivos estadisticos</w:t>
      </w:r>
    </w:p>
    <w:p>
      <w:pPr>
        <w:jc w:val="both"/>
      </w:pPr>
      <w:r>
        <w:rPr>
          <w:rFonts w:ascii="Times New Roman" w:hAnsi="Times New Roman" w:cs="Times New Roman"/>
          <w:b w:val="0"/>
          <w:sz w:val="24"/>
        </w:rPr>
        <w:t>Primer acapite de resultados en cumplimiento de los objetivos. Estadistica descriptiva sobre los 50 episodios Drive en outputs/, con subacapites independientes para OG, OE.1, OE.2 y OE.3. Cada OE documenta C3 (distrito) y C4 (edificio). TOPSIS (C* MAAC ≈ 0,9827) y evaluate_v2 4/4 (MAAC 0,9538) son medidas formales adicionales para la determinación multiobjetivo de OG/OE y el contraste de HE; complementan KPI-gains sin sustituir el omnibus.</w:t>
      </w:r>
    </w:p>
    <w:p>
      <w:pPr>
        <w:pStyle w:val="Heading3"/>
      </w:pPr>
      <w:r>
        <w:t>5.2.1 OG — resultados descriptivos estadisticos</w:t>
      </w:r>
    </w:p>
    <w:p>
      <w:pPr>
        <w:jc w:val="both"/>
      </w:pPr>
      <w:r>
        <w:rPr>
          <w:b w:val="0"/>
          <w:i w:val="0"/>
        </w:rPr>
        <w:t>PG (referencia). ¿En qué medida el algoritmo MADRL (aprendizaje por refuerzo profundo multiagente) impacta en la gestión coordinada de la flexibilidad energética, las emisiones de CO₂ y los costos energéticos en comunidades inteligentes de la ciudad de Iquitos, y cuál de los algoritmos presenta el mejor desempeño a nivel global?</w:t>
      </w:r>
    </w:p>
    <w:p>
      <w:pPr>
        <w:jc w:val="both"/>
      </w:pPr>
      <w:r>
        <w:rPr>
          <w:b w:val="0"/>
          <w:i w:val="0"/>
        </w:rPr>
        <w:t>OG. - Determinar el impacto de los algoritmos aprendizaje por refuerzo profundo multiagente (MADRLs) en la gestión coordinada de la flexibilidad energética, las emisiones de CO₂ y los costos energéticos en comunidades inteligentes de la ciudad de Iquitos, e identificar cuál de los algoritmos presenta el mejor desempeño a nivel global.</w:t>
      </w:r>
    </w:p>
    <w:p>
      <w:r>
        <w:rPr>
          <w:b/>
          <w:color w:val="595959"/>
          <w:sz w:val="19"/>
        </w:rPr>
        <w:t>Tabla 5.2.1. Ranking descriptivo integrado (best_madrl_report.json, canonico 3x3).</w:t>
      </w:r>
    </w:p>
    <w:tbl>
      <w:tblPr>
        <w:tblStyle w:val="LightGrid-Accent1"/>
        <w:tblW w:type="auto" w:w="0"/>
        <w:jc w:val="center"/>
        <w:tblLook w:firstColumn="1" w:firstRow="1" w:lastColumn="0" w:lastRow="0" w:noHBand="0" w:noVBand="1" w:val="04A0"/>
      </w:tblPr>
      <w:tblGrid>
        <w:gridCol w:w="1520"/>
        <w:gridCol w:w="1520"/>
        <w:gridCol w:w="1520"/>
        <w:gridCol w:w="1520"/>
        <w:gridCol w:w="1520"/>
        <w:gridCol w:w="1520"/>
      </w:tblGrid>
      <w:tr>
        <w:tc>
          <w:tcPr>
            <w:tcW w:type="dxa" w:w="850"/>
            <w:shd w:val="clear" w:color="auto" w:fill="1F4E79"/>
          </w:tcPr>
          <w:p>
            <w:r/>
            <w:r>
              <w:rPr>
                <w:b/>
                <w:color w:val="FFFFFF"/>
                <w:sz w:val="18"/>
              </w:rPr>
              <w:t>Rango</w:t>
            </w:r>
          </w:p>
        </w:tc>
        <w:tc>
          <w:tcPr>
            <w:tcW w:type="dxa" w:w="1417"/>
            <w:shd w:val="clear" w:color="auto" w:fill="1F4E79"/>
          </w:tcPr>
          <w:p>
            <w:r/>
            <w:r>
              <w:rPr>
                <w:b/>
                <w:color w:val="FFFFFF"/>
                <w:sz w:val="18"/>
              </w:rPr>
              <w:t>Algoritmo</w:t>
            </w:r>
          </w:p>
        </w:tc>
        <w:tc>
          <w:tcPr>
            <w:tcW w:type="dxa" w:w="1247"/>
            <w:shd w:val="clear" w:color="auto" w:fill="1F4E79"/>
          </w:tcPr>
          <w:p>
            <w:r/>
            <w:r>
              <w:rPr>
                <w:b/>
                <w:color w:val="FFFFFF"/>
                <w:sz w:val="18"/>
              </w:rPr>
              <w:t>Global</w:t>
            </w:r>
          </w:p>
        </w:tc>
        <w:tc>
          <w:tcPr>
            <w:tcW w:type="dxa" w:w="1134"/>
            <w:shd w:val="clear" w:color="auto" w:fill="1F4E79"/>
          </w:tcPr>
          <w:p>
            <w:r/>
            <w:r>
              <w:rPr>
                <w:b/>
                <w:color w:val="FFFFFF"/>
                <w:sz w:val="18"/>
              </w:rPr>
              <w:t>OE.1</w:t>
            </w:r>
          </w:p>
        </w:tc>
        <w:tc>
          <w:tcPr>
            <w:tcW w:type="dxa" w:w="1134"/>
            <w:shd w:val="clear" w:color="auto" w:fill="1F4E79"/>
          </w:tcPr>
          <w:p>
            <w:r/>
            <w:r>
              <w:rPr>
                <w:b/>
                <w:color w:val="FFFFFF"/>
                <w:sz w:val="18"/>
              </w:rPr>
              <w:t>OE.2</w:t>
            </w:r>
          </w:p>
        </w:tc>
        <w:tc>
          <w:tcPr>
            <w:tcW w:type="dxa" w:w="1134"/>
            <w:shd w:val="clear" w:color="auto" w:fill="1F4E79"/>
          </w:tcPr>
          <w:p>
            <w:r/>
            <w:r>
              <w:rPr>
                <w:b/>
                <w:color w:val="FFFFFF"/>
                <w:sz w:val="18"/>
              </w:rPr>
              <w:t>OE.3</w:t>
            </w:r>
          </w:p>
        </w:tc>
      </w:tr>
      <w:tr>
        <w:tc>
          <w:tcPr>
            <w:tcW w:type="dxa" w:w="850"/>
          </w:tcPr>
          <w:p>
            <w:r/>
            <w:r>
              <w:rPr>
                <w:sz w:val="18"/>
              </w:rPr>
              <w:t>1</w:t>
            </w:r>
          </w:p>
        </w:tc>
        <w:tc>
          <w:tcPr>
            <w:tcW w:type="dxa" w:w="1417"/>
          </w:tcPr>
          <w:p>
            <w:r/>
            <w:r>
              <w:rPr>
                <w:sz w:val="18"/>
              </w:rPr>
              <w:t>MATD3</w:t>
            </w:r>
          </w:p>
        </w:tc>
        <w:tc>
          <w:tcPr>
            <w:tcW w:type="dxa" w:w="1247"/>
          </w:tcPr>
          <w:p>
            <w:r/>
            <w:r>
              <w:rPr>
                <w:sz w:val="18"/>
              </w:rPr>
              <w:t>0.6667</w:t>
            </w:r>
          </w:p>
        </w:tc>
        <w:tc>
          <w:tcPr>
            <w:tcW w:type="dxa" w:w="1134"/>
          </w:tcPr>
          <w:p>
            <w:r/>
            <w:r>
              <w:rPr>
                <w:sz w:val="18"/>
              </w:rPr>
              <w:t>1.0000</w:t>
            </w:r>
          </w:p>
        </w:tc>
        <w:tc>
          <w:tcPr>
            <w:tcW w:type="dxa" w:w="1134"/>
          </w:tcPr>
          <w:p>
            <w:r/>
            <w:r>
              <w:rPr>
                <w:sz w:val="18"/>
              </w:rPr>
              <w:t>1.0000</w:t>
            </w:r>
          </w:p>
        </w:tc>
        <w:tc>
          <w:tcPr>
            <w:tcW w:type="dxa" w:w="1134"/>
          </w:tcPr>
          <w:p>
            <w:r/>
            <w:r>
              <w:rPr>
                <w:sz w:val="18"/>
              </w:rPr>
              <w:t>0.0000</w:t>
            </w:r>
          </w:p>
        </w:tc>
      </w:tr>
      <w:tr>
        <w:tc>
          <w:tcPr>
            <w:tcW w:type="dxa" w:w="850"/>
          </w:tcPr>
          <w:p>
            <w:r/>
            <w:r>
              <w:rPr>
                <w:sz w:val="18"/>
              </w:rPr>
              <w:t>2</w:t>
            </w:r>
          </w:p>
        </w:tc>
        <w:tc>
          <w:tcPr>
            <w:tcW w:type="dxa" w:w="1417"/>
          </w:tcPr>
          <w:p>
            <w:r/>
            <w:r>
              <w:rPr>
                <w:sz w:val="18"/>
              </w:rPr>
              <w:t>MAAC</w:t>
            </w:r>
          </w:p>
        </w:tc>
        <w:tc>
          <w:tcPr>
            <w:tcW w:type="dxa" w:w="1247"/>
          </w:tcPr>
          <w:p>
            <w:r/>
            <w:r>
              <w:rPr>
                <w:sz w:val="18"/>
              </w:rPr>
              <w:t>0.5706</w:t>
            </w:r>
          </w:p>
        </w:tc>
        <w:tc>
          <w:tcPr>
            <w:tcW w:type="dxa" w:w="1134"/>
          </w:tcPr>
          <w:p>
            <w:r/>
            <w:r>
              <w:rPr>
                <w:sz w:val="18"/>
              </w:rPr>
              <w:t>0.5837</w:t>
            </w:r>
          </w:p>
        </w:tc>
        <w:tc>
          <w:tcPr>
            <w:tcW w:type="dxa" w:w="1134"/>
          </w:tcPr>
          <w:p>
            <w:r/>
            <w:r>
              <w:rPr>
                <w:sz w:val="18"/>
              </w:rPr>
              <w:t>0.1282</w:t>
            </w:r>
          </w:p>
        </w:tc>
        <w:tc>
          <w:tcPr>
            <w:tcW w:type="dxa" w:w="1134"/>
          </w:tcPr>
          <w:p>
            <w:r/>
            <w:r>
              <w:rPr>
                <w:sz w:val="18"/>
              </w:rPr>
              <w:t>1.0000</w:t>
            </w:r>
          </w:p>
        </w:tc>
      </w:tr>
      <w:tr>
        <w:tc>
          <w:tcPr>
            <w:tcW w:type="dxa" w:w="850"/>
          </w:tcPr>
          <w:p>
            <w:r/>
            <w:r>
              <w:rPr>
                <w:sz w:val="18"/>
              </w:rPr>
              <w:t>3</w:t>
            </w:r>
          </w:p>
        </w:tc>
        <w:tc>
          <w:tcPr>
            <w:tcW w:type="dxa" w:w="1417"/>
          </w:tcPr>
          <w:p>
            <w:r/>
            <w:r>
              <w:rPr>
                <w:sz w:val="18"/>
              </w:rPr>
              <w:t>MASAC</w:t>
            </w:r>
          </w:p>
        </w:tc>
        <w:tc>
          <w:tcPr>
            <w:tcW w:type="dxa" w:w="1247"/>
          </w:tcPr>
          <w:p>
            <w:r/>
            <w:r>
              <w:rPr>
                <w:sz w:val="18"/>
              </w:rPr>
              <w:t>0.2351</w:t>
            </w:r>
          </w:p>
        </w:tc>
        <w:tc>
          <w:tcPr>
            <w:tcW w:type="dxa" w:w="1134"/>
          </w:tcPr>
          <w:p>
            <w:r/>
            <w:r>
              <w:rPr>
                <w:sz w:val="18"/>
              </w:rPr>
              <w:t>0.0000</w:t>
            </w:r>
          </w:p>
        </w:tc>
        <w:tc>
          <w:tcPr>
            <w:tcW w:type="dxa" w:w="1134"/>
          </w:tcPr>
          <w:p>
            <w:r/>
            <w:r>
              <w:rPr>
                <w:sz w:val="18"/>
              </w:rPr>
              <w:t>0.0000</w:t>
            </w:r>
          </w:p>
        </w:tc>
        <w:tc>
          <w:tcPr>
            <w:tcW w:type="dxa" w:w="1134"/>
          </w:tcPr>
          <w:p>
            <w:r/>
            <w:r>
              <w:rPr>
                <w:sz w:val="18"/>
              </w:rPr>
              <w:t>0.7054</w:t>
            </w:r>
          </w:p>
        </w:tc>
      </w:tr>
    </w:tbl>
    <w:p/>
    <w:p>
      <w:pPr>
        <w:jc w:val="both"/>
      </w:pPr>
      <w:r>
        <w:rPr>
          <w:b w:val="0"/>
          <w:i w:val="0"/>
        </w:rPr>
        <w:t>Lectura descriptiva del OG / PG: MATD3 obtiene el mejor score global (0,6667) al liderar OE.1 y OE.2; MAAC lidera OE.3. No hay dominador Pareto unico. El ranking evaluate_v2 4/4 (incluye HAPPO) confirma a HAPPO en ultimo lugar (score 0). El cumplimiento completo del OG exige ademas C1–C5 (§5.1.1), con control de recursos en §5.4.5.</w:t>
      </w:r>
    </w:p>
    <w:p>
      <w:pPr>
        <w:pStyle w:val="Heading3"/>
      </w:pPr>
      <w:r>
        <w:t>5.2.2 OE.1 — resultados descriptivos estadisticos</w:t>
      </w:r>
    </w:p>
    <w:p>
      <w:pPr>
        <w:jc w:val="both"/>
      </w:pPr>
      <w:r>
        <w:rPr>
          <w:b w:val="0"/>
          <w:i w:val="0"/>
        </w:rPr>
        <w:t>PE.1: ¿En qué medida el algoritmo MADRL impacta en la flexibilidad energética en comunidades inteligentes de la ciudad de Iquitos, y cuál de los algoritmos presenta el mejor desempeño en el escenario E1?</w:t>
      </w:r>
    </w:p>
    <w:p>
      <w:pPr>
        <w:jc w:val="both"/>
      </w:pPr>
      <w:r>
        <w:rPr>
          <w:b w:val="0"/>
          <w:i w:val="0"/>
        </w:rPr>
        <w:t>OE.1: Determinar el impacto de los algoritmos MADRLs en la flexibilidad energética en comunidades inteligentes de la ciudad de Iquitos e identificar cuál de los algoritmos presenta el mejor desempeño en el escenario E1.</w:t>
      </w:r>
    </w:p>
    <w:p>
      <w:pPr>
        <w:jc w:val="both"/>
      </w:pPr>
      <w:r>
        <w:rPr>
          <w:b w:val="0"/>
          <w:i w:val="0"/>
        </w:rPr>
        <w:t>Evidencia descriptiva en escenario E1 (pesos [0,70; 0,15; 0,15]), calculada sobre los 50 episodios Drive en outputs/. Se reportan KPIs a nivel distrito y a nivel edificio (criterios C3 y C4); no se decide hipotesis aqui.</w:t>
      </w:r>
    </w:p>
    <w:p>
      <w:r>
        <w:rPr>
          <w:b/>
          <w:color w:val="595959"/>
          <w:sz w:val="19"/>
        </w:rPr>
        <w:t>Tabla 5.2.2. KPIs distritales OE.1 en E1 (descriptivo).</w:t>
      </w:r>
    </w:p>
    <w:tbl>
      <w:tblPr>
        <w:tblStyle w:val="LightGrid-Accent1"/>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247"/>
            <w:shd w:val="clear" w:color="auto" w:fill="1F4E79"/>
          </w:tcPr>
          <w:p>
            <w:r/>
            <w:r>
              <w:rPr>
                <w:b/>
                <w:color w:val="FFFFFF"/>
                <w:sz w:val="18"/>
              </w:rPr>
              <w:t>Algoritmo</w:t>
            </w:r>
          </w:p>
        </w:tc>
        <w:tc>
          <w:tcPr>
            <w:tcW w:type="dxa" w:w="1361"/>
            <w:shd w:val="clear" w:color="auto" w:fill="1F4E79"/>
          </w:tcPr>
          <w:p>
            <w:r/>
            <w:r>
              <w:rPr>
                <w:b/>
                <w:color w:val="FFFFFF"/>
                <w:sz w:val="18"/>
              </w:rPr>
              <w:t>Flexibilidad compuesta</w:t>
            </w:r>
          </w:p>
        </w:tc>
        <w:tc>
          <w:tcPr>
            <w:tcW w:type="dxa" w:w="1361"/>
            <w:shd w:val="clear" w:color="auto" w:fill="1F4E79"/>
          </w:tcPr>
          <w:p>
            <w:r/>
            <w:r>
              <w:rPr>
                <w:b/>
                <w:color w:val="FFFFFF"/>
                <w:sz w:val="18"/>
              </w:rPr>
              <w:t>Pico promedio</w:t>
            </w:r>
          </w:p>
        </w:tc>
        <w:tc>
          <w:tcPr>
            <w:tcW w:type="dxa" w:w="1361"/>
            <w:shd w:val="clear" w:color="auto" w:fill="1F4E79"/>
          </w:tcPr>
          <w:p>
            <w:r/>
            <w:r>
              <w:rPr>
                <w:b/>
                <w:color w:val="FFFFFF"/>
                <w:sz w:val="18"/>
              </w:rPr>
              <w:t>Ramping promedio</w:t>
            </w:r>
          </w:p>
        </w:tc>
        <w:tc>
          <w:tcPr>
            <w:tcW w:type="dxa" w:w="1361"/>
            <w:shd w:val="clear" w:color="auto" w:fill="1F4E79"/>
          </w:tcPr>
          <w:p>
            <w:r/>
            <w:r>
              <w:rPr>
                <w:b/>
                <w:color w:val="FFFFFF"/>
                <w:sz w:val="18"/>
              </w:rPr>
              <w:t>1 − factor de carga</w:t>
            </w:r>
          </w:p>
        </w:tc>
        <w:tc>
          <w:tcPr>
            <w:tcW w:type="dxa" w:w="1361"/>
            <w:shd w:val="clear" w:color="auto" w:fill="1F4E79"/>
          </w:tcPr>
          <w:p>
            <w:r/>
            <w:r>
              <w:rPr>
                <w:b/>
                <w:color w:val="FFFFFF"/>
                <w:sz w:val="18"/>
              </w:rPr>
              <w:t>Delta importacion red (kWh)</w:t>
            </w:r>
          </w:p>
        </w:tc>
        <w:tc>
          <w:tcPr>
            <w:tcW w:type="dxa" w:w="1361"/>
            <w:shd w:val="clear" w:color="auto" w:fill="1F4E79"/>
          </w:tcPr>
          <w:p>
            <w:r/>
            <w:r>
              <w:rPr>
                <w:b/>
                <w:color w:val="FFFFFF"/>
                <w:sz w:val="18"/>
              </w:rPr>
              <w:t>Exito salida EV</w:t>
            </w:r>
          </w:p>
        </w:tc>
      </w:tr>
      <w:tr>
        <w:tc>
          <w:tcPr>
            <w:tcW w:type="dxa" w:w="1247"/>
          </w:tcPr>
          <w:p>
            <w:r/>
            <w:r>
              <w:rPr>
                <w:sz w:val="18"/>
              </w:rPr>
              <w:t>MATD3</w:t>
            </w:r>
          </w:p>
        </w:tc>
        <w:tc>
          <w:tcPr>
            <w:tcW w:type="dxa" w:w="1361"/>
          </w:tcPr>
          <w:p>
            <w:r/>
            <w:r>
              <w:rPr>
                <w:sz w:val="18"/>
              </w:rPr>
              <w:t>1.0009</w:t>
            </w:r>
          </w:p>
        </w:tc>
        <w:tc>
          <w:tcPr>
            <w:tcW w:type="dxa" w:w="1361"/>
          </w:tcPr>
          <w:p>
            <w:r/>
            <w:r>
              <w:rPr>
                <w:sz w:val="18"/>
              </w:rPr>
              <w:t>1.0081</w:t>
            </w:r>
          </w:p>
        </w:tc>
        <w:tc>
          <w:tcPr>
            <w:tcW w:type="dxa" w:w="1361"/>
          </w:tcPr>
          <w:p>
            <w:r/>
            <w:r>
              <w:rPr>
                <w:sz w:val="18"/>
              </w:rPr>
              <w:t>1.0012</w:t>
            </w:r>
          </w:p>
        </w:tc>
        <w:tc>
          <w:tcPr>
            <w:tcW w:type="dxa" w:w="1361"/>
          </w:tcPr>
          <w:p>
            <w:r/>
            <w:r>
              <w:rPr>
                <w:sz w:val="18"/>
              </w:rPr>
              <w:t>0.9935</w:t>
            </w:r>
          </w:p>
        </w:tc>
        <w:tc>
          <w:tcPr>
            <w:tcW w:type="dxa" w:w="1361"/>
          </w:tcPr>
          <w:p>
            <w:r/>
            <w:r>
              <w:rPr>
                <w:sz w:val="18"/>
              </w:rPr>
              <w:t>44,795</w:t>
            </w:r>
          </w:p>
        </w:tc>
        <w:tc>
          <w:tcPr>
            <w:tcW w:type="dxa" w:w="1361"/>
          </w:tcPr>
          <w:p>
            <w:r/>
            <w:r>
              <w:rPr>
                <w:sz w:val="18"/>
              </w:rPr>
              <w:t>43.9%</w:t>
            </w:r>
          </w:p>
        </w:tc>
      </w:tr>
      <w:tr>
        <w:tc>
          <w:tcPr>
            <w:tcW w:type="dxa" w:w="1247"/>
          </w:tcPr>
          <w:p>
            <w:r/>
            <w:r>
              <w:rPr>
                <w:sz w:val="18"/>
              </w:rPr>
              <w:t>MAAC</w:t>
            </w:r>
          </w:p>
        </w:tc>
        <w:tc>
          <w:tcPr>
            <w:tcW w:type="dxa" w:w="1361"/>
          </w:tcPr>
          <w:p>
            <w:r/>
            <w:r>
              <w:rPr>
                <w:sz w:val="18"/>
              </w:rPr>
              <w:t>1.0124</w:t>
            </w:r>
          </w:p>
        </w:tc>
        <w:tc>
          <w:tcPr>
            <w:tcW w:type="dxa" w:w="1361"/>
          </w:tcPr>
          <w:p>
            <w:r/>
            <w:r>
              <w:rPr>
                <w:sz w:val="18"/>
              </w:rPr>
              <w:t>1.0307</w:t>
            </w:r>
          </w:p>
        </w:tc>
        <w:tc>
          <w:tcPr>
            <w:tcW w:type="dxa" w:w="1361"/>
          </w:tcPr>
          <w:p>
            <w:r/>
            <w:r>
              <w:rPr>
                <w:sz w:val="18"/>
              </w:rPr>
              <w:t>1.0110</w:t>
            </w:r>
          </w:p>
        </w:tc>
        <w:tc>
          <w:tcPr>
            <w:tcW w:type="dxa" w:w="1361"/>
          </w:tcPr>
          <w:p>
            <w:r/>
            <w:r>
              <w:rPr>
                <w:sz w:val="18"/>
              </w:rPr>
              <w:t>0.9956</w:t>
            </w:r>
          </w:p>
        </w:tc>
        <w:tc>
          <w:tcPr>
            <w:tcW w:type="dxa" w:w="1361"/>
          </w:tcPr>
          <w:p>
            <w:r/>
            <w:r>
              <w:rPr>
                <w:sz w:val="18"/>
              </w:rPr>
              <w:t>8,025</w:t>
            </w:r>
          </w:p>
        </w:tc>
        <w:tc>
          <w:tcPr>
            <w:tcW w:type="dxa" w:w="1361"/>
          </w:tcPr>
          <w:p>
            <w:r/>
            <w:r>
              <w:rPr>
                <w:sz w:val="18"/>
              </w:rPr>
              <w:t>4.2%</w:t>
            </w:r>
          </w:p>
        </w:tc>
      </w:tr>
      <w:tr>
        <w:tc>
          <w:tcPr>
            <w:tcW w:type="dxa" w:w="1247"/>
          </w:tcPr>
          <w:p>
            <w:r/>
            <w:r>
              <w:rPr>
                <w:sz w:val="18"/>
              </w:rPr>
              <w:t>MASAC</w:t>
            </w:r>
          </w:p>
        </w:tc>
        <w:tc>
          <w:tcPr>
            <w:tcW w:type="dxa" w:w="1361"/>
          </w:tcPr>
          <w:p>
            <w:r/>
            <w:r>
              <w:rPr>
                <w:sz w:val="18"/>
              </w:rPr>
              <w:t>1.0286</w:t>
            </w:r>
          </w:p>
        </w:tc>
        <w:tc>
          <w:tcPr>
            <w:tcW w:type="dxa" w:w="1361"/>
          </w:tcPr>
          <w:p>
            <w:r/>
            <w:r>
              <w:rPr>
                <w:sz w:val="18"/>
              </w:rPr>
              <w:t>1.0851</w:t>
            </w:r>
          </w:p>
        </w:tc>
        <w:tc>
          <w:tcPr>
            <w:tcW w:type="dxa" w:w="1361"/>
          </w:tcPr>
          <w:p>
            <w:r/>
            <w:r>
              <w:rPr>
                <w:sz w:val="18"/>
              </w:rPr>
              <w:t>1.0220</w:t>
            </w:r>
          </w:p>
        </w:tc>
        <w:tc>
          <w:tcPr>
            <w:tcW w:type="dxa" w:w="1361"/>
          </w:tcPr>
          <w:p>
            <w:r/>
            <w:r>
              <w:rPr>
                <w:sz w:val="18"/>
              </w:rPr>
              <w:t>0.9786</w:t>
            </w:r>
          </w:p>
        </w:tc>
        <w:tc>
          <w:tcPr>
            <w:tcW w:type="dxa" w:w="1361"/>
          </w:tcPr>
          <w:p>
            <w:r/>
            <w:r>
              <w:rPr>
                <w:sz w:val="18"/>
              </w:rPr>
              <w:t>29,499</w:t>
            </w:r>
          </w:p>
        </w:tc>
        <w:tc>
          <w:tcPr>
            <w:tcW w:type="dxa" w:w="1361"/>
          </w:tcPr>
          <w:p>
            <w:r/>
            <w:r>
              <w:rPr>
                <w:sz w:val="18"/>
              </w:rPr>
              <w:t>3.9%</w:t>
            </w:r>
          </w:p>
        </w:tc>
      </w:tr>
    </w:tbl>
    <w:p/>
    <w:p>
      <w:r>
        <w:rPr>
          <w:b/>
          <w:color w:val="595959"/>
          <w:sz w:val="19"/>
        </w:rPr>
        <w:t>Tabla 5.2.2b. Ranking descriptivo OE.1 (best_madrl_report.json).</w:t>
      </w:r>
    </w:p>
    <w:tbl>
      <w:tblPr>
        <w:tblStyle w:val="LightGrid-Accent1"/>
        <w:tblW w:type="auto" w:w="0"/>
        <w:jc w:val="center"/>
        <w:tblLook w:firstColumn="1" w:firstRow="1" w:lastColumn="0" w:lastRow="0" w:noHBand="0" w:noVBand="1" w:val="04A0"/>
      </w:tblPr>
      <w:tblGrid>
        <w:gridCol w:w="3041"/>
        <w:gridCol w:w="3041"/>
        <w:gridCol w:w="3041"/>
      </w:tblGrid>
      <w:tr>
        <w:tc>
          <w:tcPr>
            <w:tcW w:type="dxa" w:w="1701"/>
            <w:shd w:val="clear" w:color="auto" w:fill="1F4E79"/>
          </w:tcPr>
          <w:p>
            <w:r/>
            <w:r>
              <w:rPr>
                <w:b/>
                <w:color w:val="FFFFFF"/>
                <w:sz w:val="18"/>
              </w:rPr>
              <w:t>Algoritmo</w:t>
            </w:r>
          </w:p>
        </w:tc>
        <w:tc>
          <w:tcPr>
            <w:tcW w:type="dxa" w:w="2268"/>
            <w:shd w:val="clear" w:color="auto" w:fill="1F4E79"/>
          </w:tcPr>
          <w:p>
            <w:r/>
            <w:r>
              <w:rPr>
                <w:b/>
                <w:color w:val="FFFFFF"/>
                <w:sz w:val="18"/>
              </w:rPr>
              <w:t>Score OE1</w:t>
            </w:r>
          </w:p>
        </w:tc>
        <w:tc>
          <w:tcPr>
            <w:tcW w:type="dxa" w:w="2551"/>
            <w:shd w:val="clear" w:color="auto" w:fill="1F4E79"/>
          </w:tcPr>
          <w:p>
            <w:r/>
            <w:r>
              <w:rPr>
                <w:b/>
                <w:color w:val="FFFFFF"/>
                <w:sz w:val="18"/>
              </w:rPr>
              <w:t>Mayor efecto OE1</w:t>
            </w:r>
          </w:p>
        </w:tc>
      </w:tr>
      <w:tr>
        <w:tc>
          <w:tcPr>
            <w:tcW w:type="dxa" w:w="1701"/>
          </w:tcPr>
          <w:p>
            <w:r/>
            <w:r>
              <w:rPr>
                <w:sz w:val="18"/>
              </w:rPr>
              <w:t>MATD3</w:t>
            </w:r>
          </w:p>
        </w:tc>
        <w:tc>
          <w:tcPr>
            <w:tcW w:type="dxa" w:w="2268"/>
          </w:tcPr>
          <w:p>
            <w:r/>
            <w:r>
              <w:rPr>
                <w:sz w:val="18"/>
              </w:rPr>
              <w:t>1.0000</w:t>
            </w:r>
          </w:p>
        </w:tc>
        <w:tc>
          <w:tcPr>
            <w:tcW w:type="dxa" w:w="2551"/>
          </w:tcPr>
          <w:p>
            <w:r/>
            <w:r>
              <w:rPr>
                <w:sz w:val="18"/>
              </w:rPr>
              <w:t>Si</w:t>
            </w:r>
          </w:p>
        </w:tc>
      </w:tr>
      <w:tr>
        <w:tc>
          <w:tcPr>
            <w:tcW w:type="dxa" w:w="1701"/>
          </w:tcPr>
          <w:p>
            <w:r/>
            <w:r>
              <w:rPr>
                <w:sz w:val="18"/>
              </w:rPr>
              <w:t>MAAC</w:t>
            </w:r>
          </w:p>
        </w:tc>
        <w:tc>
          <w:tcPr>
            <w:tcW w:type="dxa" w:w="2268"/>
          </w:tcPr>
          <w:p>
            <w:r/>
            <w:r>
              <w:rPr>
                <w:sz w:val="18"/>
              </w:rPr>
              <w:t>0.5837</w:t>
            </w:r>
          </w:p>
        </w:tc>
        <w:tc>
          <w:tcPr>
            <w:tcW w:type="dxa" w:w="2551"/>
          </w:tcPr>
          <w:p>
            <w:r/>
            <w:r>
              <w:rPr>
                <w:sz w:val="18"/>
              </w:rPr>
              <w:t>No</w:t>
            </w:r>
          </w:p>
        </w:tc>
      </w:tr>
      <w:tr>
        <w:tc>
          <w:tcPr>
            <w:tcW w:type="dxa" w:w="1701"/>
          </w:tcPr>
          <w:p>
            <w:r/>
            <w:r>
              <w:rPr>
                <w:sz w:val="18"/>
              </w:rPr>
              <w:t>MASAC</w:t>
            </w:r>
          </w:p>
        </w:tc>
        <w:tc>
          <w:tcPr>
            <w:tcW w:type="dxa" w:w="2268"/>
          </w:tcPr>
          <w:p>
            <w:r/>
            <w:r>
              <w:rPr>
                <w:sz w:val="18"/>
              </w:rPr>
              <w:t>0.0000</w:t>
            </w:r>
          </w:p>
        </w:tc>
        <w:tc>
          <w:tcPr>
            <w:tcW w:type="dxa" w:w="2551"/>
          </w:tcPr>
          <w:p>
            <w:r/>
            <w:r>
              <w:rPr>
                <w:sz w:val="18"/>
              </w:rPr>
              <w:t>No</w:t>
            </w:r>
          </w:p>
        </w:tc>
      </w:tr>
    </w:tbl>
    <w:p/>
    <w:p>
      <w:r>
        <w:rPr>
          <w:b/>
          <w:color w:val="595959"/>
          <w:sz w:val="19"/>
        </w:rPr>
        <w:t>Tabla 5.2.2c. Descriptivo episodico OE.1 (reward_mean por episodio).</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247"/>
            <w:shd w:val="clear" w:color="auto" w:fill="1F4E79"/>
          </w:tcPr>
          <w:p>
            <w:r/>
            <w:r>
              <w:rPr>
                <w:b/>
                <w:color w:val="FFFFFF"/>
                <w:sz w:val="18"/>
              </w:rPr>
              <w:t>Algoritmo</w:t>
            </w:r>
          </w:p>
        </w:tc>
        <w:tc>
          <w:tcPr>
            <w:tcW w:type="dxa" w:w="850"/>
            <w:shd w:val="clear" w:color="auto" w:fill="1F4E79"/>
          </w:tcPr>
          <w:p>
            <w:r/>
            <w:r>
              <w:rPr>
                <w:b/>
                <w:color w:val="FFFFFF"/>
                <w:sz w:val="18"/>
              </w:rPr>
              <w:t>n ep.</w:t>
            </w:r>
          </w:p>
        </w:tc>
        <w:tc>
          <w:tcPr>
            <w:tcW w:type="dxa" w:w="1417"/>
            <w:shd w:val="clear" w:color="auto" w:fill="1F4E79"/>
          </w:tcPr>
          <w:p>
            <w:r/>
            <w:r>
              <w:rPr>
                <w:b/>
                <w:color w:val="FFFFFF"/>
                <w:sz w:val="18"/>
              </w:rPr>
              <w:t>Media</w:t>
            </w:r>
          </w:p>
        </w:tc>
        <w:tc>
          <w:tcPr>
            <w:tcW w:type="dxa" w:w="1417"/>
            <w:shd w:val="clear" w:color="auto" w:fill="1F4E79"/>
          </w:tcPr>
          <w:p>
            <w:r/>
            <w:r>
              <w:rPr>
                <w:b/>
                <w:color w:val="FFFFFF"/>
                <w:sz w:val="18"/>
              </w:rPr>
              <w:t>Mediana</w:t>
            </w:r>
          </w:p>
        </w:tc>
        <w:tc>
          <w:tcPr>
            <w:tcW w:type="dxa" w:w="1417"/>
            <w:shd w:val="clear" w:color="auto" w:fill="1F4E79"/>
          </w:tcPr>
          <w:p>
            <w:r/>
            <w:r>
              <w:rPr>
                <w:b/>
                <w:color w:val="FFFFFF"/>
                <w:sz w:val="18"/>
              </w:rPr>
              <w:t>Desv. est.</w:t>
            </w:r>
          </w:p>
        </w:tc>
      </w:tr>
      <w:tr>
        <w:tc>
          <w:tcPr>
            <w:tcW w:type="dxa" w:w="1247"/>
          </w:tcPr>
          <w:p>
            <w:r/>
            <w:r>
              <w:rPr>
                <w:sz w:val="18"/>
              </w:rPr>
              <w:t>MAAC</w:t>
            </w:r>
          </w:p>
        </w:tc>
        <w:tc>
          <w:tcPr>
            <w:tcW w:type="dxa" w:w="850"/>
          </w:tcPr>
          <w:p>
            <w:r/>
            <w:r>
              <w:rPr>
                <w:sz w:val="18"/>
              </w:rPr>
              <w:t>50</w:t>
            </w:r>
          </w:p>
        </w:tc>
        <w:tc>
          <w:tcPr>
            <w:tcW w:type="dxa" w:w="1417"/>
          </w:tcPr>
          <w:p>
            <w:r/>
            <w:r>
              <w:rPr>
                <w:sz w:val="18"/>
              </w:rPr>
              <w:t>-0.6052</w:t>
            </w:r>
          </w:p>
        </w:tc>
        <w:tc>
          <w:tcPr>
            <w:tcW w:type="dxa" w:w="1417"/>
          </w:tcPr>
          <w:p>
            <w:r/>
            <w:r>
              <w:rPr>
                <w:sz w:val="18"/>
              </w:rPr>
              <w:t>-0.6126</w:t>
            </w:r>
          </w:p>
        </w:tc>
        <w:tc>
          <w:tcPr>
            <w:tcW w:type="dxa" w:w="1417"/>
          </w:tcPr>
          <w:p>
            <w:r/>
            <w:r>
              <w:rPr>
                <w:sz w:val="18"/>
              </w:rPr>
              <w:t>0.0147</w:t>
            </w:r>
          </w:p>
        </w:tc>
      </w:tr>
      <w:tr>
        <w:tc>
          <w:tcPr>
            <w:tcW w:type="dxa" w:w="1247"/>
          </w:tcPr>
          <w:p>
            <w:r/>
            <w:r>
              <w:rPr>
                <w:sz w:val="18"/>
              </w:rPr>
              <w:t>MASAC</w:t>
            </w:r>
          </w:p>
        </w:tc>
        <w:tc>
          <w:tcPr>
            <w:tcW w:type="dxa" w:w="850"/>
          </w:tcPr>
          <w:p>
            <w:r/>
            <w:r>
              <w:rPr>
                <w:sz w:val="18"/>
              </w:rPr>
              <w:t>50</w:t>
            </w:r>
          </w:p>
        </w:tc>
        <w:tc>
          <w:tcPr>
            <w:tcW w:type="dxa" w:w="1417"/>
          </w:tcPr>
          <w:p>
            <w:r/>
            <w:r>
              <w:rPr>
                <w:sz w:val="18"/>
              </w:rPr>
              <w:t>-0.6133</w:t>
            </w:r>
          </w:p>
        </w:tc>
        <w:tc>
          <w:tcPr>
            <w:tcW w:type="dxa" w:w="1417"/>
          </w:tcPr>
          <w:p>
            <w:r/>
            <w:r>
              <w:rPr>
                <w:sz w:val="18"/>
              </w:rPr>
              <w:t>-0.6198</w:t>
            </w:r>
          </w:p>
        </w:tc>
        <w:tc>
          <w:tcPr>
            <w:tcW w:type="dxa" w:w="1417"/>
          </w:tcPr>
          <w:p>
            <w:r/>
            <w:r>
              <w:rPr>
                <w:sz w:val="18"/>
              </w:rPr>
              <w:t>0.0141</w:t>
            </w:r>
          </w:p>
        </w:tc>
      </w:tr>
      <w:tr>
        <w:tc>
          <w:tcPr>
            <w:tcW w:type="dxa" w:w="1247"/>
          </w:tcPr>
          <w:p>
            <w:r/>
            <w:r>
              <w:rPr>
                <w:sz w:val="18"/>
              </w:rPr>
              <w:t>MATD3</w:t>
            </w:r>
          </w:p>
        </w:tc>
        <w:tc>
          <w:tcPr>
            <w:tcW w:type="dxa" w:w="850"/>
          </w:tcPr>
          <w:p>
            <w:r/>
            <w:r>
              <w:rPr>
                <w:sz w:val="18"/>
              </w:rPr>
              <w:t>50</w:t>
            </w:r>
          </w:p>
        </w:tc>
        <w:tc>
          <w:tcPr>
            <w:tcW w:type="dxa" w:w="1417"/>
          </w:tcPr>
          <w:p>
            <w:r/>
            <w:r>
              <w:rPr>
                <w:sz w:val="18"/>
              </w:rPr>
              <w:t>-0.6330</w:t>
            </w:r>
          </w:p>
        </w:tc>
        <w:tc>
          <w:tcPr>
            <w:tcW w:type="dxa" w:w="1417"/>
          </w:tcPr>
          <w:p>
            <w:r/>
            <w:r>
              <w:rPr>
                <w:sz w:val="18"/>
              </w:rPr>
              <w:t>-0.6208</w:t>
            </w:r>
          </w:p>
        </w:tc>
        <w:tc>
          <w:tcPr>
            <w:tcW w:type="dxa" w:w="1417"/>
          </w:tcPr>
          <w:p>
            <w:r/>
            <w:r>
              <w:rPr>
                <w:sz w:val="18"/>
              </w:rPr>
              <w:t>0.0470</w:t>
            </w:r>
          </w:p>
        </w:tc>
      </w:tr>
      <w:tr>
        <w:tc>
          <w:tcPr>
            <w:tcW w:type="dxa" w:w="1247"/>
          </w:tcPr>
          <w:p>
            <w:r/>
            <w:r>
              <w:rPr>
                <w:sz w:val="18"/>
              </w:rPr>
              <w:t>HAPPO</w:t>
            </w:r>
          </w:p>
        </w:tc>
        <w:tc>
          <w:tcPr>
            <w:tcW w:type="dxa" w:w="850"/>
          </w:tcPr>
          <w:p>
            <w:r/>
            <w:r>
              <w:rPr>
                <w:sz w:val="18"/>
              </w:rPr>
              <w:t>49</w:t>
            </w:r>
          </w:p>
        </w:tc>
        <w:tc>
          <w:tcPr>
            <w:tcW w:type="dxa" w:w="1417"/>
          </w:tcPr>
          <w:p>
            <w:r/>
            <w:r>
              <w:rPr>
                <w:sz w:val="18"/>
              </w:rPr>
              <w:t>-0.6303</w:t>
            </w:r>
          </w:p>
        </w:tc>
        <w:tc>
          <w:tcPr>
            <w:tcW w:type="dxa" w:w="1417"/>
          </w:tcPr>
          <w:p>
            <w:r/>
            <w:r>
              <w:rPr>
                <w:sz w:val="18"/>
              </w:rPr>
              <w:t>-0.6303</w:t>
            </w:r>
          </w:p>
        </w:tc>
        <w:tc>
          <w:tcPr>
            <w:tcW w:type="dxa" w:w="1417"/>
          </w:tcPr>
          <w:p>
            <w:r/>
            <w:r>
              <w:rPr>
                <w:sz w:val="18"/>
              </w:rPr>
              <w:t>0.0213</w:t>
            </w:r>
          </w:p>
        </w:tc>
      </w:tr>
    </w:tbl>
    <w:p/>
    <w:p>
      <w:pPr>
        <w:jc w:val="both"/>
      </w:pPr>
      <w:r>
        <w:rPr>
          <w:b w:val="0"/>
          <w:i w:val="0"/>
        </w:rPr>
        <w:t>Lectura descriptiva OE.1: lider por KPI primario de distrito = MATD3 (Flexibilidad compuesta = 1.0009); mejor mediana episodica = MAAC.</w:t>
      </w:r>
    </w:p>
    <w:p>
      <w:r>
        <w:drawing>
          <wp:inline xmlns:a="http://schemas.openxmlformats.org/drawingml/2006/main" xmlns:pic="http://schemas.openxmlformats.org/drawingml/2006/picture">
            <wp:extent cx="6300000" cy="2180769"/>
            <wp:docPr id="1" name="Picture 1"/>
            <wp:cNvGraphicFramePr>
              <a:graphicFrameLocks noChangeAspect="1"/>
            </wp:cNvGraphicFramePr>
            <a:graphic>
              <a:graphicData uri="http://schemas.openxmlformats.org/drawingml/2006/picture">
                <pic:pic>
                  <pic:nvPicPr>
                    <pic:cNvPr id="0" name="drive_district_objectives.png"/>
                    <pic:cNvPicPr/>
                  </pic:nvPicPr>
                  <pic:blipFill>
                    <a:blip r:embed="rId9"/>
                    <a:stretch>
                      <a:fillRect/>
                    </a:stretch>
                  </pic:blipFill>
                  <pic:spPr>
                    <a:xfrm>
                      <a:off x="0" y="0"/>
                      <a:ext cx="6300000" cy="2180769"/>
                    </a:xfrm>
                    <a:prstGeom prst="rect"/>
                  </pic:spPr>
                </pic:pic>
              </a:graphicData>
            </a:graphic>
          </wp:inline>
        </w:drawing>
      </w:r>
    </w:p>
    <w:p>
      <w:pPr>
        <w:jc w:val="center"/>
      </w:pPr>
      <w:r>
        <w:rPr>
          <w:i/>
          <w:color w:val="595959"/>
          <w:sz w:val="18"/>
        </w:rPr>
        <w:t>Figura 5.1. KPIs multiobjetivo a nivel distrito (OE.1–OE.3; criterio C3).</w:t>
      </w:r>
    </w:p>
    <w:p/>
    <w:p>
      <w:r>
        <w:drawing>
          <wp:inline xmlns:a="http://schemas.openxmlformats.org/drawingml/2006/main" xmlns:pic="http://schemas.openxmlformats.org/drawingml/2006/picture">
            <wp:extent cx="5940000" cy="7425000"/>
            <wp:docPr id="2" name="Picture 2"/>
            <wp:cNvGraphicFramePr>
              <a:graphicFrameLocks noChangeAspect="1"/>
            </wp:cNvGraphicFramePr>
            <a:graphic>
              <a:graphicData uri="http://schemas.openxmlformats.org/drawingml/2006/picture">
                <pic:pic>
                  <pic:nvPicPr>
                    <pic:cNvPr id="0" name="drive_building_E1_flex_composite_proxy.png"/>
                    <pic:cNvPicPr/>
                  </pic:nvPicPr>
                  <pic:blipFill>
                    <a:blip r:embed="rId10"/>
                    <a:stretch>
                      <a:fillRect/>
                    </a:stretch>
                  </pic:blipFill>
                  <pic:spPr>
                    <a:xfrm>
                      <a:off x="0" y="0"/>
                      <a:ext cx="5940000" cy="7425000"/>
                    </a:xfrm>
                    <a:prstGeom prst="rect"/>
                  </pic:spPr>
                </pic:pic>
              </a:graphicData>
            </a:graphic>
          </wp:inline>
        </w:drawing>
      </w:r>
    </w:p>
    <w:p>
      <w:pPr>
        <w:jc w:val="center"/>
      </w:pPr>
      <w:r>
        <w:rPr>
          <w:i/>
          <w:color w:val="595959"/>
          <w:sz w:val="18"/>
        </w:rPr>
        <w:t>Figura 5.2. OE.1 a nivel edificio — Flexibilidad compuesta (criterio C4).</w:t>
      </w:r>
    </w:p>
    <w:p/>
    <w:p>
      <w:pPr>
        <w:jc w:val="both"/>
      </w:pPr>
      <w:r>
        <w:rPr>
          <w:b w:val="0"/>
          <w:i w:val="0"/>
        </w:rPr>
        <w:t>Criterios C3/C4 en OE.1: el KPI primario se interpreta a nivel distrito (Tabla 5.2.2) y a nivel de los 17 edificios (figura precedente). El criterio C5 (control de recursos) se documenta en §5.4.5.</w:t>
      </w:r>
    </w:p>
    <w:p>
      <w:pPr>
        <w:pStyle w:val="Heading3"/>
      </w:pPr>
      <w:r>
        <w:t>5.2.3 OE.2 — resultados descriptivos estadisticos</w:t>
      </w:r>
    </w:p>
    <w:p>
      <w:pPr>
        <w:jc w:val="both"/>
      </w:pPr>
      <w:r>
        <w:rPr>
          <w:b w:val="0"/>
          <w:i w:val="0"/>
        </w:rPr>
        <w:t>PE.2: ¿En qué medida el algoritmo MADRL impacta en las emisiones de CO₂ en comunidades inteligentes de la ciudad de Iquitos, y cuál de los algoritmos presenta el mejor desempeño en el escenario E2?</w:t>
      </w:r>
    </w:p>
    <w:p>
      <w:pPr>
        <w:jc w:val="both"/>
      </w:pPr>
      <w:r>
        <w:rPr>
          <w:b w:val="0"/>
          <w:i w:val="0"/>
        </w:rPr>
        <w:t>OE.2: Determinar el impacto de los algoritmos MADRLs en las emisiones de CO₂ en comunidades inteligentes de la ciudad de Iquitos e identificar cuál de los algoritmos presenta el mejor desempeño en el escenario E2.</w:t>
      </w:r>
    </w:p>
    <w:p>
      <w:pPr>
        <w:jc w:val="both"/>
      </w:pPr>
      <w:r>
        <w:rPr>
          <w:b w:val="0"/>
          <w:i w:val="0"/>
        </w:rPr>
        <w:t>Evidencia descriptiva en escenario E2 (pesos [0,15; 0,70; 0,15]), calculada sobre los 50 episodios Drive en outputs/. Se reportan KPIs a nivel distrito y a nivel edificio (criterios C3 y C4); no se decide hipotesis aqui.</w:t>
      </w:r>
    </w:p>
    <w:p>
      <w:r>
        <w:rPr>
          <w:b/>
          <w:color w:val="595959"/>
          <w:sz w:val="19"/>
        </w:rPr>
        <w:t>Tabla 5.2.3. KPIs distritales OE.2 en E2 (descriptivo).</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247"/>
            <w:shd w:val="clear" w:color="auto" w:fill="1F4E79"/>
          </w:tcPr>
          <w:p>
            <w:r/>
            <w:r>
              <w:rPr>
                <w:b/>
                <w:color w:val="FFFFFF"/>
                <w:sz w:val="18"/>
              </w:rPr>
              <w:t>Algoritmo</w:t>
            </w:r>
          </w:p>
        </w:tc>
        <w:tc>
          <w:tcPr>
            <w:tcW w:type="dxa" w:w="1361"/>
            <w:shd w:val="clear" w:color="auto" w:fill="1F4E79"/>
          </w:tcPr>
          <w:p>
            <w:r/>
            <w:r>
              <w:rPr>
                <w:b/>
                <w:color w:val="FFFFFF"/>
                <w:sz w:val="18"/>
              </w:rPr>
              <w:t>Delta CO2 (kg)</w:t>
            </w:r>
          </w:p>
        </w:tc>
        <w:tc>
          <w:tcPr>
            <w:tcW w:type="dxa" w:w="1361"/>
            <w:shd w:val="clear" w:color="auto" w:fill="1F4E79"/>
          </w:tcPr>
          <w:p>
            <w:r/>
            <w:r>
              <w:rPr>
                <w:b/>
                <w:color w:val="FFFFFF"/>
                <w:sz w:val="18"/>
              </w:rPr>
              <w:t>Flexibilidad compuesta (secundaria)</w:t>
            </w:r>
          </w:p>
        </w:tc>
        <w:tc>
          <w:tcPr>
            <w:tcW w:type="dxa" w:w="1361"/>
            <w:shd w:val="clear" w:color="auto" w:fill="1F4E79"/>
          </w:tcPr>
          <w:p>
            <w:r/>
            <w:r>
              <w:rPr>
                <w:b/>
                <w:color w:val="FFFFFF"/>
                <w:sz w:val="18"/>
              </w:rPr>
              <w:t>Delta importacion red (kWh)</w:t>
            </w:r>
          </w:p>
        </w:tc>
        <w:tc>
          <w:tcPr>
            <w:tcW w:type="dxa" w:w="1361"/>
            <w:shd w:val="clear" w:color="auto" w:fill="1F4E79"/>
          </w:tcPr>
          <w:p>
            <w:r/>
            <w:r>
              <w:rPr>
                <w:b/>
                <w:color w:val="FFFFFF"/>
                <w:sz w:val="18"/>
              </w:rPr>
              <w:t>Exito salida EV</w:t>
            </w:r>
          </w:p>
        </w:tc>
      </w:tr>
      <w:tr>
        <w:tc>
          <w:tcPr>
            <w:tcW w:type="dxa" w:w="1247"/>
          </w:tcPr>
          <w:p>
            <w:r/>
            <w:r>
              <w:rPr>
                <w:sz w:val="18"/>
              </w:rPr>
              <w:t>MATD3</w:t>
            </w:r>
          </w:p>
        </w:tc>
        <w:tc>
          <w:tcPr>
            <w:tcW w:type="dxa" w:w="1361"/>
          </w:tcPr>
          <w:p>
            <w:r/>
            <w:r>
              <w:rPr>
                <w:sz w:val="18"/>
              </w:rPr>
              <w:t>23,070</w:t>
            </w:r>
          </w:p>
        </w:tc>
        <w:tc>
          <w:tcPr>
            <w:tcW w:type="dxa" w:w="1361"/>
          </w:tcPr>
          <w:p>
            <w:r/>
            <w:r>
              <w:rPr>
                <w:sz w:val="18"/>
              </w:rPr>
              <w:t>1.0007</w:t>
            </w:r>
          </w:p>
        </w:tc>
        <w:tc>
          <w:tcPr>
            <w:tcW w:type="dxa" w:w="1361"/>
          </w:tcPr>
          <w:p>
            <w:r/>
            <w:r>
              <w:rPr>
                <w:sz w:val="18"/>
              </w:rPr>
              <w:t>26,169</w:t>
            </w:r>
          </w:p>
        </w:tc>
        <w:tc>
          <w:tcPr>
            <w:tcW w:type="dxa" w:w="1361"/>
          </w:tcPr>
          <w:p>
            <w:r/>
            <w:r>
              <w:rPr>
                <w:sz w:val="18"/>
              </w:rPr>
              <w:t>36.4%</w:t>
            </w:r>
          </w:p>
        </w:tc>
      </w:tr>
      <w:tr>
        <w:tc>
          <w:tcPr>
            <w:tcW w:type="dxa" w:w="1247"/>
          </w:tcPr>
          <w:p>
            <w:r/>
            <w:r>
              <w:rPr>
                <w:sz w:val="18"/>
              </w:rPr>
              <w:t>MAAC</w:t>
            </w:r>
          </w:p>
        </w:tc>
        <w:tc>
          <w:tcPr>
            <w:tcW w:type="dxa" w:w="1361"/>
          </w:tcPr>
          <w:p>
            <w:r/>
            <w:r>
              <w:rPr>
                <w:sz w:val="18"/>
              </w:rPr>
              <w:t>70,654</w:t>
            </w:r>
          </w:p>
        </w:tc>
        <w:tc>
          <w:tcPr>
            <w:tcW w:type="dxa" w:w="1361"/>
          </w:tcPr>
          <w:p>
            <w:r/>
            <w:r>
              <w:rPr>
                <w:sz w:val="18"/>
              </w:rPr>
              <w:t>1.0172</w:t>
            </w:r>
          </w:p>
        </w:tc>
        <w:tc>
          <w:tcPr>
            <w:tcW w:type="dxa" w:w="1361"/>
          </w:tcPr>
          <w:p>
            <w:r/>
            <w:r>
              <w:rPr>
                <w:sz w:val="18"/>
              </w:rPr>
              <w:t>24,930</w:t>
            </w:r>
          </w:p>
        </w:tc>
        <w:tc>
          <w:tcPr>
            <w:tcW w:type="dxa" w:w="1361"/>
          </w:tcPr>
          <w:p>
            <w:r/>
            <w:r>
              <w:rPr>
                <w:sz w:val="18"/>
              </w:rPr>
              <w:t>4.1%</w:t>
            </w:r>
          </w:p>
        </w:tc>
      </w:tr>
      <w:tr>
        <w:tc>
          <w:tcPr>
            <w:tcW w:type="dxa" w:w="1247"/>
          </w:tcPr>
          <w:p>
            <w:r/>
            <w:r>
              <w:rPr>
                <w:sz w:val="18"/>
              </w:rPr>
              <w:t>MASAC</w:t>
            </w:r>
          </w:p>
        </w:tc>
        <w:tc>
          <w:tcPr>
            <w:tcW w:type="dxa" w:w="1361"/>
          </w:tcPr>
          <w:p>
            <w:r/>
            <w:r>
              <w:rPr>
                <w:sz w:val="18"/>
              </w:rPr>
              <w:t>77,649</w:t>
            </w:r>
          </w:p>
        </w:tc>
        <w:tc>
          <w:tcPr>
            <w:tcW w:type="dxa" w:w="1361"/>
          </w:tcPr>
          <w:p>
            <w:r/>
            <w:r>
              <w:rPr>
                <w:sz w:val="18"/>
              </w:rPr>
              <w:t>1.0318</w:t>
            </w:r>
          </w:p>
        </w:tc>
        <w:tc>
          <w:tcPr>
            <w:tcW w:type="dxa" w:w="1361"/>
          </w:tcPr>
          <w:p>
            <w:r/>
            <w:r>
              <w:rPr>
                <w:sz w:val="18"/>
              </w:rPr>
              <w:t>28,207</w:t>
            </w:r>
          </w:p>
        </w:tc>
        <w:tc>
          <w:tcPr>
            <w:tcW w:type="dxa" w:w="1361"/>
          </w:tcPr>
          <w:p>
            <w:r/>
            <w:r>
              <w:rPr>
                <w:sz w:val="18"/>
              </w:rPr>
              <w:t>4.1%</w:t>
            </w:r>
          </w:p>
        </w:tc>
      </w:tr>
    </w:tbl>
    <w:p/>
    <w:p>
      <w:r>
        <w:rPr>
          <w:b/>
          <w:color w:val="595959"/>
          <w:sz w:val="19"/>
        </w:rPr>
        <w:t>Tabla 5.2.3b. Ranking descriptivo OE.2 (best_madrl_report.json).</w:t>
      </w:r>
    </w:p>
    <w:tbl>
      <w:tblPr>
        <w:tblStyle w:val="LightGrid-Accent1"/>
        <w:tblW w:type="auto" w:w="0"/>
        <w:jc w:val="center"/>
        <w:tblLook w:firstColumn="1" w:firstRow="1" w:lastColumn="0" w:lastRow="0" w:noHBand="0" w:noVBand="1" w:val="04A0"/>
      </w:tblPr>
      <w:tblGrid>
        <w:gridCol w:w="3041"/>
        <w:gridCol w:w="3041"/>
        <w:gridCol w:w="3041"/>
      </w:tblGrid>
      <w:tr>
        <w:tc>
          <w:tcPr>
            <w:tcW w:type="dxa" w:w="1701"/>
            <w:shd w:val="clear" w:color="auto" w:fill="1F4E79"/>
          </w:tcPr>
          <w:p>
            <w:r/>
            <w:r>
              <w:rPr>
                <w:b/>
                <w:color w:val="FFFFFF"/>
                <w:sz w:val="18"/>
              </w:rPr>
              <w:t>Algoritmo</w:t>
            </w:r>
          </w:p>
        </w:tc>
        <w:tc>
          <w:tcPr>
            <w:tcW w:type="dxa" w:w="2268"/>
            <w:shd w:val="clear" w:color="auto" w:fill="1F4E79"/>
          </w:tcPr>
          <w:p>
            <w:r/>
            <w:r>
              <w:rPr>
                <w:b/>
                <w:color w:val="FFFFFF"/>
                <w:sz w:val="18"/>
              </w:rPr>
              <w:t>Score OE2</w:t>
            </w:r>
          </w:p>
        </w:tc>
        <w:tc>
          <w:tcPr>
            <w:tcW w:type="dxa" w:w="2551"/>
            <w:shd w:val="clear" w:color="auto" w:fill="1F4E79"/>
          </w:tcPr>
          <w:p>
            <w:r/>
            <w:r>
              <w:rPr>
                <w:b/>
                <w:color w:val="FFFFFF"/>
                <w:sz w:val="18"/>
              </w:rPr>
              <w:t>Mayor efecto OE2</w:t>
            </w:r>
          </w:p>
        </w:tc>
      </w:tr>
      <w:tr>
        <w:tc>
          <w:tcPr>
            <w:tcW w:type="dxa" w:w="1701"/>
          </w:tcPr>
          <w:p>
            <w:r/>
            <w:r>
              <w:rPr>
                <w:sz w:val="18"/>
              </w:rPr>
              <w:t>MATD3</w:t>
            </w:r>
          </w:p>
        </w:tc>
        <w:tc>
          <w:tcPr>
            <w:tcW w:type="dxa" w:w="2268"/>
          </w:tcPr>
          <w:p>
            <w:r/>
            <w:r>
              <w:rPr>
                <w:sz w:val="18"/>
              </w:rPr>
              <w:t>1.0000</w:t>
            </w:r>
          </w:p>
        </w:tc>
        <w:tc>
          <w:tcPr>
            <w:tcW w:type="dxa" w:w="2551"/>
          </w:tcPr>
          <w:p>
            <w:r/>
            <w:r>
              <w:rPr>
                <w:sz w:val="18"/>
              </w:rPr>
              <w:t>Si</w:t>
            </w:r>
          </w:p>
        </w:tc>
      </w:tr>
      <w:tr>
        <w:tc>
          <w:tcPr>
            <w:tcW w:type="dxa" w:w="1701"/>
          </w:tcPr>
          <w:p>
            <w:r/>
            <w:r>
              <w:rPr>
                <w:sz w:val="18"/>
              </w:rPr>
              <w:t>MAAC</w:t>
            </w:r>
          </w:p>
        </w:tc>
        <w:tc>
          <w:tcPr>
            <w:tcW w:type="dxa" w:w="2268"/>
          </w:tcPr>
          <w:p>
            <w:r/>
            <w:r>
              <w:rPr>
                <w:sz w:val="18"/>
              </w:rPr>
              <w:t>0.1282</w:t>
            </w:r>
          </w:p>
        </w:tc>
        <w:tc>
          <w:tcPr>
            <w:tcW w:type="dxa" w:w="2551"/>
          </w:tcPr>
          <w:p>
            <w:r/>
            <w:r>
              <w:rPr>
                <w:sz w:val="18"/>
              </w:rPr>
              <w:t>No</w:t>
            </w:r>
          </w:p>
        </w:tc>
      </w:tr>
      <w:tr>
        <w:tc>
          <w:tcPr>
            <w:tcW w:type="dxa" w:w="1701"/>
          </w:tcPr>
          <w:p>
            <w:r/>
            <w:r>
              <w:rPr>
                <w:sz w:val="18"/>
              </w:rPr>
              <w:t>MASAC</w:t>
            </w:r>
          </w:p>
        </w:tc>
        <w:tc>
          <w:tcPr>
            <w:tcW w:type="dxa" w:w="2268"/>
          </w:tcPr>
          <w:p>
            <w:r/>
            <w:r>
              <w:rPr>
                <w:sz w:val="18"/>
              </w:rPr>
              <w:t>0.0000</w:t>
            </w:r>
          </w:p>
        </w:tc>
        <w:tc>
          <w:tcPr>
            <w:tcW w:type="dxa" w:w="2551"/>
          </w:tcPr>
          <w:p>
            <w:r/>
            <w:r>
              <w:rPr>
                <w:sz w:val="18"/>
              </w:rPr>
              <w:t>No</w:t>
            </w:r>
          </w:p>
        </w:tc>
      </w:tr>
    </w:tbl>
    <w:p/>
    <w:p>
      <w:r>
        <w:rPr>
          <w:b/>
          <w:color w:val="595959"/>
          <w:sz w:val="19"/>
        </w:rPr>
        <w:t>Tabla 5.2.3c. Descriptivo episodico OE.2 (emision distrital por episodio (kgCO2 eq.)).</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247"/>
            <w:shd w:val="clear" w:color="auto" w:fill="1F4E79"/>
          </w:tcPr>
          <w:p>
            <w:r/>
            <w:r>
              <w:rPr>
                <w:b/>
                <w:color w:val="FFFFFF"/>
                <w:sz w:val="18"/>
              </w:rPr>
              <w:t>Algoritmo</w:t>
            </w:r>
          </w:p>
        </w:tc>
        <w:tc>
          <w:tcPr>
            <w:tcW w:type="dxa" w:w="850"/>
            <w:shd w:val="clear" w:color="auto" w:fill="1F4E79"/>
          </w:tcPr>
          <w:p>
            <w:r/>
            <w:r>
              <w:rPr>
                <w:b/>
                <w:color w:val="FFFFFF"/>
                <w:sz w:val="18"/>
              </w:rPr>
              <w:t>n ep.</w:t>
            </w:r>
          </w:p>
        </w:tc>
        <w:tc>
          <w:tcPr>
            <w:tcW w:type="dxa" w:w="1417"/>
            <w:shd w:val="clear" w:color="auto" w:fill="1F4E79"/>
          </w:tcPr>
          <w:p>
            <w:r/>
            <w:r>
              <w:rPr>
                <w:b/>
                <w:color w:val="FFFFFF"/>
                <w:sz w:val="18"/>
              </w:rPr>
              <w:t>Media</w:t>
            </w:r>
          </w:p>
        </w:tc>
        <w:tc>
          <w:tcPr>
            <w:tcW w:type="dxa" w:w="1417"/>
            <w:shd w:val="clear" w:color="auto" w:fill="1F4E79"/>
          </w:tcPr>
          <w:p>
            <w:r/>
            <w:r>
              <w:rPr>
                <w:b/>
                <w:color w:val="FFFFFF"/>
                <w:sz w:val="18"/>
              </w:rPr>
              <w:t>Mediana</w:t>
            </w:r>
          </w:p>
        </w:tc>
        <w:tc>
          <w:tcPr>
            <w:tcW w:type="dxa" w:w="1417"/>
            <w:shd w:val="clear" w:color="auto" w:fill="1F4E79"/>
          </w:tcPr>
          <w:p>
            <w:r/>
            <w:r>
              <w:rPr>
                <w:b/>
                <w:color w:val="FFFFFF"/>
                <w:sz w:val="18"/>
              </w:rPr>
              <w:t>Desv. est.</w:t>
            </w:r>
          </w:p>
        </w:tc>
      </w:tr>
      <w:tr>
        <w:tc>
          <w:tcPr>
            <w:tcW w:type="dxa" w:w="1247"/>
          </w:tcPr>
          <w:p>
            <w:r/>
            <w:r>
              <w:rPr>
                <w:sz w:val="18"/>
              </w:rPr>
              <w:t>HAPPO</w:t>
            </w:r>
          </w:p>
        </w:tc>
        <w:tc>
          <w:tcPr>
            <w:tcW w:type="dxa" w:w="850"/>
          </w:tcPr>
          <w:p>
            <w:r/>
            <w:r>
              <w:rPr>
                <w:sz w:val="18"/>
              </w:rPr>
              <w:t>49</w:t>
            </w:r>
          </w:p>
        </w:tc>
        <w:tc>
          <w:tcPr>
            <w:tcW w:type="dxa" w:w="1417"/>
          </w:tcPr>
          <w:p>
            <w:r/>
            <w:r>
              <w:rPr>
                <w:sz w:val="18"/>
              </w:rPr>
              <w:t>883.0</w:t>
            </w:r>
          </w:p>
        </w:tc>
        <w:tc>
          <w:tcPr>
            <w:tcW w:type="dxa" w:w="1417"/>
          </w:tcPr>
          <w:p>
            <w:r/>
            <w:r>
              <w:rPr>
                <w:sz w:val="18"/>
              </w:rPr>
              <w:t>804.8</w:t>
            </w:r>
          </w:p>
        </w:tc>
        <w:tc>
          <w:tcPr>
            <w:tcW w:type="dxa" w:w="1417"/>
          </w:tcPr>
          <w:p>
            <w:r/>
            <w:r>
              <w:rPr>
                <w:sz w:val="18"/>
              </w:rPr>
              <w:t>287.0</w:t>
            </w:r>
          </w:p>
        </w:tc>
      </w:tr>
      <w:tr>
        <w:tc>
          <w:tcPr>
            <w:tcW w:type="dxa" w:w="1247"/>
          </w:tcPr>
          <w:p>
            <w:r/>
            <w:r>
              <w:rPr>
                <w:sz w:val="18"/>
              </w:rPr>
              <w:t>MAAC</w:t>
            </w:r>
          </w:p>
        </w:tc>
        <w:tc>
          <w:tcPr>
            <w:tcW w:type="dxa" w:w="850"/>
          </w:tcPr>
          <w:p>
            <w:r/>
            <w:r>
              <w:rPr>
                <w:sz w:val="18"/>
              </w:rPr>
              <w:t>50</w:t>
            </w:r>
          </w:p>
        </w:tc>
        <w:tc>
          <w:tcPr>
            <w:tcW w:type="dxa" w:w="1417"/>
          </w:tcPr>
          <w:p>
            <w:r/>
            <w:r>
              <w:rPr>
                <w:sz w:val="18"/>
              </w:rPr>
              <w:t>1,056.4</w:t>
            </w:r>
          </w:p>
        </w:tc>
        <w:tc>
          <w:tcPr>
            <w:tcW w:type="dxa" w:w="1417"/>
          </w:tcPr>
          <w:p>
            <w:r/>
            <w:r>
              <w:rPr>
                <w:sz w:val="18"/>
              </w:rPr>
              <w:t>1,132.6</w:t>
            </w:r>
          </w:p>
        </w:tc>
        <w:tc>
          <w:tcPr>
            <w:tcW w:type="dxa" w:w="1417"/>
          </w:tcPr>
          <w:p>
            <w:r/>
            <w:r>
              <w:rPr>
                <w:sz w:val="18"/>
              </w:rPr>
              <w:t>99.4</w:t>
            </w:r>
          </w:p>
        </w:tc>
      </w:tr>
      <w:tr>
        <w:tc>
          <w:tcPr>
            <w:tcW w:type="dxa" w:w="1247"/>
          </w:tcPr>
          <w:p>
            <w:r/>
            <w:r>
              <w:rPr>
                <w:sz w:val="18"/>
              </w:rPr>
              <w:t>MASAC</w:t>
            </w:r>
          </w:p>
        </w:tc>
        <w:tc>
          <w:tcPr>
            <w:tcW w:type="dxa" w:w="850"/>
          </w:tcPr>
          <w:p>
            <w:r/>
            <w:r>
              <w:rPr>
                <w:sz w:val="18"/>
              </w:rPr>
              <w:t>50</w:t>
            </w:r>
          </w:p>
        </w:tc>
        <w:tc>
          <w:tcPr>
            <w:tcW w:type="dxa" w:w="1417"/>
          </w:tcPr>
          <w:p>
            <w:r/>
            <w:r>
              <w:rPr>
                <w:sz w:val="18"/>
              </w:rPr>
              <w:t>1,078.4</w:t>
            </w:r>
          </w:p>
        </w:tc>
        <w:tc>
          <w:tcPr>
            <w:tcW w:type="dxa" w:w="1417"/>
          </w:tcPr>
          <w:p>
            <w:r/>
            <w:r>
              <w:rPr>
                <w:sz w:val="18"/>
              </w:rPr>
              <w:t>1,132.6</w:t>
            </w:r>
          </w:p>
        </w:tc>
        <w:tc>
          <w:tcPr>
            <w:tcW w:type="dxa" w:w="1417"/>
          </w:tcPr>
          <w:p>
            <w:r/>
            <w:r>
              <w:rPr>
                <w:sz w:val="18"/>
              </w:rPr>
              <w:t>121.1</w:t>
            </w:r>
          </w:p>
        </w:tc>
      </w:tr>
      <w:tr>
        <w:tc>
          <w:tcPr>
            <w:tcW w:type="dxa" w:w="1247"/>
          </w:tcPr>
          <w:p>
            <w:r/>
            <w:r>
              <w:rPr>
                <w:sz w:val="18"/>
              </w:rPr>
              <w:t>MATD3</w:t>
            </w:r>
          </w:p>
        </w:tc>
        <w:tc>
          <w:tcPr>
            <w:tcW w:type="dxa" w:w="850"/>
          </w:tcPr>
          <w:p>
            <w:r/>
            <w:r>
              <w:rPr>
                <w:sz w:val="18"/>
              </w:rPr>
              <w:t>50</w:t>
            </w:r>
          </w:p>
        </w:tc>
        <w:tc>
          <w:tcPr>
            <w:tcW w:type="dxa" w:w="1417"/>
          </w:tcPr>
          <w:p>
            <w:r/>
            <w:r>
              <w:rPr>
                <w:sz w:val="18"/>
              </w:rPr>
              <w:t>1,132.2</w:t>
            </w:r>
          </w:p>
        </w:tc>
        <w:tc>
          <w:tcPr>
            <w:tcW w:type="dxa" w:w="1417"/>
          </w:tcPr>
          <w:p>
            <w:r/>
            <w:r>
              <w:rPr>
                <w:sz w:val="18"/>
              </w:rPr>
              <w:t>1,137.4</w:t>
            </w:r>
          </w:p>
        </w:tc>
        <w:tc>
          <w:tcPr>
            <w:tcW w:type="dxa" w:w="1417"/>
          </w:tcPr>
          <w:p>
            <w:r/>
            <w:r>
              <w:rPr>
                <w:sz w:val="18"/>
              </w:rPr>
              <w:t>236.8</w:t>
            </w:r>
          </w:p>
        </w:tc>
      </w:tr>
    </w:tbl>
    <w:p/>
    <w:p>
      <w:pPr>
        <w:jc w:val="both"/>
      </w:pPr>
      <w:r>
        <w:rPr>
          <w:b w:val="0"/>
          <w:i w:val="0"/>
        </w:rPr>
        <w:t>Lectura descriptiva OE.2: lider por KPI primario de distrito = MATD3 (Delta CO2 (kg) = 23,070); mejor mediana episodica = HAPPO.</w:t>
      </w:r>
    </w:p>
    <w:p>
      <w:r>
        <w:drawing>
          <wp:inline xmlns:a="http://schemas.openxmlformats.org/drawingml/2006/main" xmlns:pic="http://schemas.openxmlformats.org/drawingml/2006/picture">
            <wp:extent cx="5940000" cy="7425000"/>
            <wp:docPr id="3" name="Picture 3"/>
            <wp:cNvGraphicFramePr>
              <a:graphicFrameLocks noChangeAspect="1"/>
            </wp:cNvGraphicFramePr>
            <a:graphic>
              <a:graphicData uri="http://schemas.openxmlformats.org/drawingml/2006/picture">
                <pic:pic>
                  <pic:nvPicPr>
                    <pic:cNvPr id="0" name="drive_building_E2_carbon_emissions_delta_kgco2.png"/>
                    <pic:cNvPicPr/>
                  </pic:nvPicPr>
                  <pic:blipFill>
                    <a:blip r:embed="rId11"/>
                    <a:stretch>
                      <a:fillRect/>
                    </a:stretch>
                  </pic:blipFill>
                  <pic:spPr>
                    <a:xfrm>
                      <a:off x="0" y="0"/>
                      <a:ext cx="5940000" cy="7425000"/>
                    </a:xfrm>
                    <a:prstGeom prst="rect"/>
                  </pic:spPr>
                </pic:pic>
              </a:graphicData>
            </a:graphic>
          </wp:inline>
        </w:drawing>
      </w:r>
    </w:p>
    <w:p>
      <w:pPr>
        <w:jc w:val="center"/>
      </w:pPr>
      <w:r>
        <w:rPr>
          <w:i/>
          <w:color w:val="595959"/>
          <w:sz w:val="18"/>
        </w:rPr>
        <w:t>Figura 5.3. OE.2 a nivel edificio — Delta CO2 (kg) (criterio C4).</w:t>
      </w:r>
    </w:p>
    <w:p/>
    <w:p>
      <w:pPr>
        <w:jc w:val="both"/>
      </w:pPr>
      <w:r>
        <w:rPr>
          <w:b w:val="0"/>
          <w:i w:val="0"/>
        </w:rPr>
        <w:t>Criterios C3/C4 en OE.2: el KPI primario se interpreta a nivel distrito (Tabla 5.2.3) y a nivel de los 17 edificios (figura precedente). El criterio C5 (control de recursos) se documenta en §5.4.5.</w:t>
      </w:r>
    </w:p>
    <w:p>
      <w:pPr>
        <w:pStyle w:val="Heading3"/>
      </w:pPr>
      <w:r>
        <w:t>5.2.4 OE.3 — resultados descriptivos estadisticos</w:t>
      </w:r>
    </w:p>
    <w:p>
      <w:pPr>
        <w:jc w:val="both"/>
      </w:pPr>
      <w:r>
        <w:rPr>
          <w:b w:val="0"/>
          <w:i w:val="0"/>
        </w:rPr>
        <w:t>PE.3: ¿En qué medida el algoritmo MADRL impacta en los costos energéticos en comunidades inteligentes de la ciudad de Iquitos, y cuál de los algoritmos presenta el mejor desempeño en el escenario E3?</w:t>
      </w:r>
    </w:p>
    <w:p>
      <w:pPr>
        <w:jc w:val="both"/>
      </w:pPr>
      <w:r>
        <w:rPr>
          <w:b w:val="0"/>
          <w:i w:val="0"/>
        </w:rPr>
        <w:t>OE.3: Determinar el impacto de los algoritmos MADRLs en los costos energéticos en comunidades inteligentes de la ciudad de Iquitos e identificar cuál de los algoritmos presenta el mejor desempeño en el escenario E3.</w:t>
      </w:r>
    </w:p>
    <w:p>
      <w:pPr>
        <w:jc w:val="both"/>
      </w:pPr>
      <w:r>
        <w:rPr>
          <w:b w:val="0"/>
          <w:i w:val="0"/>
        </w:rPr>
        <w:t>Evidencia descriptiva en escenario E3 (pesos [0,15; 0,15; 0,70]), calculada sobre los 50 episodios Drive en outputs/. Se reportan KPIs a nivel distrito y a nivel edificio (criterios C3 y C4); no se decide hipotesis aqui.</w:t>
      </w:r>
    </w:p>
    <w:p>
      <w:r>
        <w:rPr>
          <w:b/>
          <w:color w:val="595959"/>
          <w:sz w:val="19"/>
        </w:rPr>
        <w:t>Tabla 5.2.4. KPIs distritales OE.3 en E3 (descriptivo).</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247"/>
            <w:shd w:val="clear" w:color="auto" w:fill="1F4E79"/>
          </w:tcPr>
          <w:p>
            <w:r/>
            <w:r>
              <w:rPr>
                <w:b/>
                <w:color w:val="FFFFFF"/>
                <w:sz w:val="18"/>
              </w:rPr>
              <w:t>Algoritmo</w:t>
            </w:r>
          </w:p>
        </w:tc>
        <w:tc>
          <w:tcPr>
            <w:tcW w:type="dxa" w:w="1361"/>
            <w:shd w:val="clear" w:color="auto" w:fill="1F4E79"/>
          </w:tcPr>
          <w:p>
            <w:r/>
            <w:r>
              <w:rPr>
                <w:b/>
                <w:color w:val="FFFFFF"/>
                <w:sz w:val="18"/>
              </w:rPr>
              <w:t>Delta costo electrico (EUR)</w:t>
            </w:r>
          </w:p>
        </w:tc>
        <w:tc>
          <w:tcPr>
            <w:tcW w:type="dxa" w:w="1361"/>
            <w:shd w:val="clear" w:color="auto" w:fill="1F4E79"/>
          </w:tcPr>
          <w:p>
            <w:r/>
            <w:r>
              <w:rPr>
                <w:b/>
                <w:color w:val="FFFFFF"/>
                <w:sz w:val="18"/>
              </w:rPr>
              <w:t>Flexibilidad compuesta (secundaria)</w:t>
            </w:r>
          </w:p>
        </w:tc>
        <w:tc>
          <w:tcPr>
            <w:tcW w:type="dxa" w:w="1361"/>
            <w:shd w:val="clear" w:color="auto" w:fill="1F4E79"/>
          </w:tcPr>
          <w:p>
            <w:r/>
            <w:r>
              <w:rPr>
                <w:b/>
                <w:color w:val="FFFFFF"/>
                <w:sz w:val="18"/>
              </w:rPr>
              <w:t>Pico promedio</w:t>
            </w:r>
          </w:p>
        </w:tc>
        <w:tc>
          <w:tcPr>
            <w:tcW w:type="dxa" w:w="1361"/>
            <w:shd w:val="clear" w:color="auto" w:fill="1F4E79"/>
          </w:tcPr>
          <w:p>
            <w:r/>
            <w:r>
              <w:rPr>
                <w:b/>
                <w:color w:val="FFFFFF"/>
                <w:sz w:val="18"/>
              </w:rPr>
              <w:t>Exito salida EV</w:t>
            </w:r>
          </w:p>
        </w:tc>
      </w:tr>
      <w:tr>
        <w:tc>
          <w:tcPr>
            <w:tcW w:type="dxa" w:w="1247"/>
          </w:tcPr>
          <w:p>
            <w:r/>
            <w:r>
              <w:rPr>
                <w:sz w:val="18"/>
              </w:rPr>
              <w:t>MAAC</w:t>
            </w:r>
          </w:p>
        </w:tc>
        <w:tc>
          <w:tcPr>
            <w:tcW w:type="dxa" w:w="1361"/>
          </w:tcPr>
          <w:p>
            <w:r/>
            <w:r>
              <w:rPr>
                <w:sz w:val="18"/>
              </w:rPr>
              <w:t>9,515</w:t>
            </w:r>
          </w:p>
        </w:tc>
        <w:tc>
          <w:tcPr>
            <w:tcW w:type="dxa" w:w="1361"/>
          </w:tcPr>
          <w:p>
            <w:r/>
            <w:r>
              <w:rPr>
                <w:sz w:val="18"/>
              </w:rPr>
              <w:t>1.0138</w:t>
            </w:r>
          </w:p>
        </w:tc>
        <w:tc>
          <w:tcPr>
            <w:tcW w:type="dxa" w:w="1361"/>
          </w:tcPr>
          <w:p>
            <w:r/>
            <w:r>
              <w:rPr>
                <w:sz w:val="18"/>
              </w:rPr>
              <w:t>1.0309</w:t>
            </w:r>
          </w:p>
        </w:tc>
        <w:tc>
          <w:tcPr>
            <w:tcW w:type="dxa" w:w="1361"/>
          </w:tcPr>
          <w:p>
            <w:r/>
            <w:r>
              <w:rPr>
                <w:sz w:val="18"/>
              </w:rPr>
              <w:t>4.1%</w:t>
            </w:r>
          </w:p>
        </w:tc>
      </w:tr>
      <w:tr>
        <w:tc>
          <w:tcPr>
            <w:tcW w:type="dxa" w:w="1247"/>
          </w:tcPr>
          <w:p>
            <w:r/>
            <w:r>
              <w:rPr>
                <w:sz w:val="18"/>
              </w:rPr>
              <w:t>MASAC</w:t>
            </w:r>
          </w:p>
        </w:tc>
        <w:tc>
          <w:tcPr>
            <w:tcW w:type="dxa" w:w="1361"/>
          </w:tcPr>
          <w:p>
            <w:r/>
            <w:r>
              <w:rPr>
                <w:sz w:val="18"/>
              </w:rPr>
              <w:t>19,793</w:t>
            </w:r>
          </w:p>
        </w:tc>
        <w:tc>
          <w:tcPr>
            <w:tcW w:type="dxa" w:w="1361"/>
          </w:tcPr>
          <w:p>
            <w:r/>
            <w:r>
              <w:rPr>
                <w:sz w:val="18"/>
              </w:rPr>
              <w:t>1.0297</w:t>
            </w:r>
          </w:p>
        </w:tc>
        <w:tc>
          <w:tcPr>
            <w:tcW w:type="dxa" w:w="1361"/>
          </w:tcPr>
          <w:p>
            <w:r/>
            <w:r>
              <w:rPr>
                <w:sz w:val="18"/>
              </w:rPr>
              <w:t>1.0864</w:t>
            </w:r>
          </w:p>
        </w:tc>
        <w:tc>
          <w:tcPr>
            <w:tcW w:type="dxa" w:w="1361"/>
          </w:tcPr>
          <w:p>
            <w:r/>
            <w:r>
              <w:rPr>
                <w:sz w:val="18"/>
              </w:rPr>
              <w:t>4.1%</w:t>
            </w:r>
          </w:p>
        </w:tc>
      </w:tr>
      <w:tr>
        <w:tc>
          <w:tcPr>
            <w:tcW w:type="dxa" w:w="1247"/>
          </w:tcPr>
          <w:p>
            <w:r/>
            <w:r>
              <w:rPr>
                <w:sz w:val="18"/>
              </w:rPr>
              <w:t>MATD3</w:t>
            </w:r>
          </w:p>
        </w:tc>
        <w:tc>
          <w:tcPr>
            <w:tcW w:type="dxa" w:w="1361"/>
          </w:tcPr>
          <w:p>
            <w:r/>
            <w:r>
              <w:rPr>
                <w:sz w:val="18"/>
              </w:rPr>
              <w:t>44,399</w:t>
            </w:r>
          </w:p>
        </w:tc>
        <w:tc>
          <w:tcPr>
            <w:tcW w:type="dxa" w:w="1361"/>
          </w:tcPr>
          <w:p>
            <w:r/>
            <w:r>
              <w:rPr>
                <w:sz w:val="18"/>
              </w:rPr>
              <w:t>1.0006</w:t>
            </w:r>
          </w:p>
        </w:tc>
        <w:tc>
          <w:tcPr>
            <w:tcW w:type="dxa" w:w="1361"/>
          </w:tcPr>
          <w:p>
            <w:r/>
            <w:r>
              <w:rPr>
                <w:sz w:val="18"/>
              </w:rPr>
              <w:t>1.0071</w:t>
            </w:r>
          </w:p>
        </w:tc>
        <w:tc>
          <w:tcPr>
            <w:tcW w:type="dxa" w:w="1361"/>
          </w:tcPr>
          <w:p>
            <w:r/>
            <w:r>
              <w:rPr>
                <w:sz w:val="18"/>
              </w:rPr>
              <w:t>48.2%</w:t>
            </w:r>
          </w:p>
        </w:tc>
      </w:tr>
    </w:tbl>
    <w:p/>
    <w:p>
      <w:r>
        <w:rPr>
          <w:b/>
          <w:color w:val="595959"/>
          <w:sz w:val="19"/>
        </w:rPr>
        <w:t>Tabla 5.2.4b. Ranking descriptivo OE.3 (best_madrl_report.json).</w:t>
      </w:r>
    </w:p>
    <w:tbl>
      <w:tblPr>
        <w:tblStyle w:val="LightGrid-Accent1"/>
        <w:tblW w:type="auto" w:w="0"/>
        <w:jc w:val="center"/>
        <w:tblLook w:firstColumn="1" w:firstRow="1" w:lastColumn="0" w:lastRow="0" w:noHBand="0" w:noVBand="1" w:val="04A0"/>
      </w:tblPr>
      <w:tblGrid>
        <w:gridCol w:w="3041"/>
        <w:gridCol w:w="3041"/>
        <w:gridCol w:w="3041"/>
      </w:tblGrid>
      <w:tr>
        <w:tc>
          <w:tcPr>
            <w:tcW w:type="dxa" w:w="1701"/>
            <w:shd w:val="clear" w:color="auto" w:fill="1F4E79"/>
          </w:tcPr>
          <w:p>
            <w:r/>
            <w:r>
              <w:rPr>
                <w:b/>
                <w:color w:val="FFFFFF"/>
                <w:sz w:val="18"/>
              </w:rPr>
              <w:t>Algoritmo</w:t>
            </w:r>
          </w:p>
        </w:tc>
        <w:tc>
          <w:tcPr>
            <w:tcW w:type="dxa" w:w="2268"/>
            <w:shd w:val="clear" w:color="auto" w:fill="1F4E79"/>
          </w:tcPr>
          <w:p>
            <w:r/>
            <w:r>
              <w:rPr>
                <w:b/>
                <w:color w:val="FFFFFF"/>
                <w:sz w:val="18"/>
              </w:rPr>
              <w:t>Score OE3</w:t>
            </w:r>
          </w:p>
        </w:tc>
        <w:tc>
          <w:tcPr>
            <w:tcW w:type="dxa" w:w="2551"/>
            <w:shd w:val="clear" w:color="auto" w:fill="1F4E79"/>
          </w:tcPr>
          <w:p>
            <w:r/>
            <w:r>
              <w:rPr>
                <w:b/>
                <w:color w:val="FFFFFF"/>
                <w:sz w:val="18"/>
              </w:rPr>
              <w:t>Mayor efecto OE3</w:t>
            </w:r>
          </w:p>
        </w:tc>
      </w:tr>
      <w:tr>
        <w:tc>
          <w:tcPr>
            <w:tcW w:type="dxa" w:w="1701"/>
          </w:tcPr>
          <w:p>
            <w:r/>
            <w:r>
              <w:rPr>
                <w:sz w:val="18"/>
              </w:rPr>
              <w:t>MAAC</w:t>
            </w:r>
          </w:p>
        </w:tc>
        <w:tc>
          <w:tcPr>
            <w:tcW w:type="dxa" w:w="2268"/>
          </w:tcPr>
          <w:p>
            <w:r/>
            <w:r>
              <w:rPr>
                <w:sz w:val="18"/>
              </w:rPr>
              <w:t>1.0000</w:t>
            </w:r>
          </w:p>
        </w:tc>
        <w:tc>
          <w:tcPr>
            <w:tcW w:type="dxa" w:w="2551"/>
          </w:tcPr>
          <w:p>
            <w:r/>
            <w:r>
              <w:rPr>
                <w:sz w:val="18"/>
              </w:rPr>
              <w:t>Si</w:t>
            </w:r>
          </w:p>
        </w:tc>
      </w:tr>
      <w:tr>
        <w:tc>
          <w:tcPr>
            <w:tcW w:type="dxa" w:w="1701"/>
          </w:tcPr>
          <w:p>
            <w:r/>
            <w:r>
              <w:rPr>
                <w:sz w:val="18"/>
              </w:rPr>
              <w:t>MASAC</w:t>
            </w:r>
          </w:p>
        </w:tc>
        <w:tc>
          <w:tcPr>
            <w:tcW w:type="dxa" w:w="2268"/>
          </w:tcPr>
          <w:p>
            <w:r/>
            <w:r>
              <w:rPr>
                <w:sz w:val="18"/>
              </w:rPr>
              <w:t>0.7054</w:t>
            </w:r>
          </w:p>
        </w:tc>
        <w:tc>
          <w:tcPr>
            <w:tcW w:type="dxa" w:w="2551"/>
          </w:tcPr>
          <w:p>
            <w:r/>
            <w:r>
              <w:rPr>
                <w:sz w:val="18"/>
              </w:rPr>
              <w:t>No</w:t>
            </w:r>
          </w:p>
        </w:tc>
      </w:tr>
      <w:tr>
        <w:tc>
          <w:tcPr>
            <w:tcW w:type="dxa" w:w="1701"/>
          </w:tcPr>
          <w:p>
            <w:r/>
            <w:r>
              <w:rPr>
                <w:sz w:val="18"/>
              </w:rPr>
              <w:t>MATD3</w:t>
            </w:r>
          </w:p>
        </w:tc>
        <w:tc>
          <w:tcPr>
            <w:tcW w:type="dxa" w:w="2268"/>
          </w:tcPr>
          <w:p>
            <w:r/>
            <w:r>
              <w:rPr>
                <w:sz w:val="18"/>
              </w:rPr>
              <w:t>0.0000</w:t>
            </w:r>
          </w:p>
        </w:tc>
        <w:tc>
          <w:tcPr>
            <w:tcW w:type="dxa" w:w="2551"/>
          </w:tcPr>
          <w:p>
            <w:r/>
            <w:r>
              <w:rPr>
                <w:sz w:val="18"/>
              </w:rPr>
              <w:t>No</w:t>
            </w:r>
          </w:p>
        </w:tc>
      </w:tr>
    </w:tbl>
    <w:p/>
    <w:p>
      <w:r>
        <w:rPr>
          <w:b/>
          <w:color w:val="595959"/>
          <w:sz w:val="19"/>
        </w:rPr>
        <w:t>Tabla 5.2.4c. Descriptivo episodico OE.3 (costo distrital por episodio (EUR)).</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247"/>
            <w:shd w:val="clear" w:color="auto" w:fill="1F4E79"/>
          </w:tcPr>
          <w:p>
            <w:r/>
            <w:r>
              <w:rPr>
                <w:b/>
                <w:color w:val="FFFFFF"/>
                <w:sz w:val="18"/>
              </w:rPr>
              <w:t>Algoritmo</w:t>
            </w:r>
          </w:p>
        </w:tc>
        <w:tc>
          <w:tcPr>
            <w:tcW w:type="dxa" w:w="850"/>
            <w:shd w:val="clear" w:color="auto" w:fill="1F4E79"/>
          </w:tcPr>
          <w:p>
            <w:r/>
            <w:r>
              <w:rPr>
                <w:b/>
                <w:color w:val="FFFFFF"/>
                <w:sz w:val="18"/>
              </w:rPr>
              <w:t>n ep.</w:t>
            </w:r>
          </w:p>
        </w:tc>
        <w:tc>
          <w:tcPr>
            <w:tcW w:type="dxa" w:w="1417"/>
            <w:shd w:val="clear" w:color="auto" w:fill="1F4E79"/>
          </w:tcPr>
          <w:p>
            <w:r/>
            <w:r>
              <w:rPr>
                <w:b/>
                <w:color w:val="FFFFFF"/>
                <w:sz w:val="18"/>
              </w:rPr>
              <w:t>Media</w:t>
            </w:r>
          </w:p>
        </w:tc>
        <w:tc>
          <w:tcPr>
            <w:tcW w:type="dxa" w:w="1417"/>
            <w:shd w:val="clear" w:color="auto" w:fill="1F4E79"/>
          </w:tcPr>
          <w:p>
            <w:r/>
            <w:r>
              <w:rPr>
                <w:b/>
                <w:color w:val="FFFFFF"/>
                <w:sz w:val="18"/>
              </w:rPr>
              <w:t>Mediana</w:t>
            </w:r>
          </w:p>
        </w:tc>
        <w:tc>
          <w:tcPr>
            <w:tcW w:type="dxa" w:w="1417"/>
            <w:shd w:val="clear" w:color="auto" w:fill="1F4E79"/>
          </w:tcPr>
          <w:p>
            <w:r/>
            <w:r>
              <w:rPr>
                <w:b/>
                <w:color w:val="FFFFFF"/>
                <w:sz w:val="18"/>
              </w:rPr>
              <w:t>Desv. est.</w:t>
            </w:r>
          </w:p>
        </w:tc>
      </w:tr>
      <w:tr>
        <w:tc>
          <w:tcPr>
            <w:tcW w:type="dxa" w:w="1247"/>
          </w:tcPr>
          <w:p>
            <w:r/>
            <w:r>
              <w:rPr>
                <w:sz w:val="18"/>
              </w:rPr>
              <w:t>HAPPO</w:t>
            </w:r>
          </w:p>
        </w:tc>
        <w:tc>
          <w:tcPr>
            <w:tcW w:type="dxa" w:w="850"/>
          </w:tcPr>
          <w:p>
            <w:r/>
            <w:r>
              <w:rPr>
                <w:sz w:val="18"/>
              </w:rPr>
              <w:t>49</w:t>
            </w:r>
          </w:p>
        </w:tc>
        <w:tc>
          <w:tcPr>
            <w:tcW w:type="dxa" w:w="1417"/>
          </w:tcPr>
          <w:p>
            <w:r/>
            <w:r>
              <w:rPr>
                <w:sz w:val="18"/>
              </w:rPr>
              <w:t>352.6</w:t>
            </w:r>
          </w:p>
        </w:tc>
        <w:tc>
          <w:tcPr>
            <w:tcW w:type="dxa" w:w="1417"/>
          </w:tcPr>
          <w:p>
            <w:r/>
            <w:r>
              <w:rPr>
                <w:sz w:val="18"/>
              </w:rPr>
              <w:t>232.5</w:t>
            </w:r>
          </w:p>
        </w:tc>
        <w:tc>
          <w:tcPr>
            <w:tcW w:type="dxa" w:w="1417"/>
          </w:tcPr>
          <w:p>
            <w:r/>
            <w:r>
              <w:rPr>
                <w:sz w:val="18"/>
              </w:rPr>
              <w:t>381.7</w:t>
            </w:r>
          </w:p>
        </w:tc>
      </w:tr>
      <w:tr>
        <w:tc>
          <w:tcPr>
            <w:tcW w:type="dxa" w:w="1247"/>
          </w:tcPr>
          <w:p>
            <w:r/>
            <w:r>
              <w:rPr>
                <w:sz w:val="18"/>
              </w:rPr>
              <w:t>MAAC</w:t>
            </w:r>
          </w:p>
        </w:tc>
        <w:tc>
          <w:tcPr>
            <w:tcW w:type="dxa" w:w="850"/>
          </w:tcPr>
          <w:p>
            <w:r/>
            <w:r>
              <w:rPr>
                <w:sz w:val="18"/>
              </w:rPr>
              <w:t>50</w:t>
            </w:r>
          </w:p>
        </w:tc>
        <w:tc>
          <w:tcPr>
            <w:tcW w:type="dxa" w:w="1417"/>
          </w:tcPr>
          <w:p>
            <w:r/>
            <w:r>
              <w:rPr>
                <w:sz w:val="18"/>
              </w:rPr>
              <w:t>795.4</w:t>
            </w:r>
          </w:p>
        </w:tc>
        <w:tc>
          <w:tcPr>
            <w:tcW w:type="dxa" w:w="1417"/>
          </w:tcPr>
          <w:p>
            <w:r/>
            <w:r>
              <w:rPr>
                <w:sz w:val="18"/>
              </w:rPr>
              <w:t>689.5</w:t>
            </w:r>
          </w:p>
        </w:tc>
        <w:tc>
          <w:tcPr>
            <w:tcW w:type="dxa" w:w="1417"/>
          </w:tcPr>
          <w:p>
            <w:r/>
            <w:r>
              <w:rPr>
                <w:sz w:val="18"/>
              </w:rPr>
              <w:t>212.0</w:t>
            </w:r>
          </w:p>
        </w:tc>
      </w:tr>
      <w:tr>
        <w:tc>
          <w:tcPr>
            <w:tcW w:type="dxa" w:w="1247"/>
          </w:tcPr>
          <w:p>
            <w:r/>
            <w:r>
              <w:rPr>
                <w:sz w:val="18"/>
              </w:rPr>
              <w:t>MASAC</w:t>
            </w:r>
          </w:p>
        </w:tc>
        <w:tc>
          <w:tcPr>
            <w:tcW w:type="dxa" w:w="850"/>
          </w:tcPr>
          <w:p>
            <w:r/>
            <w:r>
              <w:rPr>
                <w:sz w:val="18"/>
              </w:rPr>
              <w:t>50</w:t>
            </w:r>
          </w:p>
        </w:tc>
        <w:tc>
          <w:tcPr>
            <w:tcW w:type="dxa" w:w="1417"/>
          </w:tcPr>
          <w:p>
            <w:r/>
            <w:r>
              <w:rPr>
                <w:sz w:val="18"/>
              </w:rPr>
              <w:t>812.2</w:t>
            </w:r>
          </w:p>
        </w:tc>
        <w:tc>
          <w:tcPr>
            <w:tcW w:type="dxa" w:w="1417"/>
          </w:tcPr>
          <w:p>
            <w:r/>
            <w:r>
              <w:rPr>
                <w:sz w:val="18"/>
              </w:rPr>
              <w:t>689.5</w:t>
            </w:r>
          </w:p>
        </w:tc>
        <w:tc>
          <w:tcPr>
            <w:tcW w:type="dxa" w:w="1417"/>
          </w:tcPr>
          <w:p>
            <w:r/>
            <w:r>
              <w:rPr>
                <w:sz w:val="18"/>
              </w:rPr>
              <w:t>206.4</w:t>
            </w:r>
          </w:p>
        </w:tc>
      </w:tr>
      <w:tr>
        <w:tc>
          <w:tcPr>
            <w:tcW w:type="dxa" w:w="1247"/>
          </w:tcPr>
          <w:p>
            <w:r/>
            <w:r>
              <w:rPr>
                <w:sz w:val="18"/>
              </w:rPr>
              <w:t>MATD3</w:t>
            </w:r>
          </w:p>
        </w:tc>
        <w:tc>
          <w:tcPr>
            <w:tcW w:type="dxa" w:w="850"/>
          </w:tcPr>
          <w:p>
            <w:r/>
            <w:r>
              <w:rPr>
                <w:sz w:val="18"/>
              </w:rPr>
              <w:t>50</w:t>
            </w:r>
          </w:p>
        </w:tc>
        <w:tc>
          <w:tcPr>
            <w:tcW w:type="dxa" w:w="1417"/>
          </w:tcPr>
          <w:p>
            <w:r/>
            <w:r>
              <w:rPr>
                <w:sz w:val="18"/>
              </w:rPr>
              <w:t>759.3</w:t>
            </w:r>
          </w:p>
        </w:tc>
        <w:tc>
          <w:tcPr>
            <w:tcW w:type="dxa" w:w="1417"/>
          </w:tcPr>
          <w:p>
            <w:r/>
            <w:r>
              <w:rPr>
                <w:sz w:val="18"/>
              </w:rPr>
              <w:t>691.0</w:t>
            </w:r>
          </w:p>
        </w:tc>
        <w:tc>
          <w:tcPr>
            <w:tcW w:type="dxa" w:w="1417"/>
          </w:tcPr>
          <w:p>
            <w:r/>
            <w:r>
              <w:rPr>
                <w:sz w:val="18"/>
              </w:rPr>
              <w:t>303.9</w:t>
            </w:r>
          </w:p>
        </w:tc>
      </w:tr>
    </w:tbl>
    <w:p/>
    <w:p>
      <w:pPr>
        <w:jc w:val="both"/>
      </w:pPr>
      <w:r>
        <w:rPr>
          <w:b w:val="0"/>
          <w:i w:val="0"/>
        </w:rPr>
        <w:t>Lectura descriptiva OE.3: lider por KPI primario de distrito = MAAC (Delta costo electrico (EUR) = 9,515); mejor mediana episodica = HAPPO.</w:t>
      </w:r>
    </w:p>
    <w:p>
      <w:r>
        <w:drawing>
          <wp:inline xmlns:a="http://schemas.openxmlformats.org/drawingml/2006/main" xmlns:pic="http://schemas.openxmlformats.org/drawingml/2006/picture">
            <wp:extent cx="5940000" cy="7425000"/>
            <wp:docPr id="4" name="Picture 4"/>
            <wp:cNvGraphicFramePr>
              <a:graphicFrameLocks noChangeAspect="1"/>
            </wp:cNvGraphicFramePr>
            <a:graphic>
              <a:graphicData uri="http://schemas.openxmlformats.org/drawingml/2006/picture">
                <pic:pic>
                  <pic:nvPicPr>
                    <pic:cNvPr id="0" name="drive_building_E3_electricity_cost_delta_eur.png"/>
                    <pic:cNvPicPr/>
                  </pic:nvPicPr>
                  <pic:blipFill>
                    <a:blip r:embed="rId12"/>
                    <a:stretch>
                      <a:fillRect/>
                    </a:stretch>
                  </pic:blipFill>
                  <pic:spPr>
                    <a:xfrm>
                      <a:off x="0" y="0"/>
                      <a:ext cx="5940000" cy="7425000"/>
                    </a:xfrm>
                    <a:prstGeom prst="rect"/>
                  </pic:spPr>
                </pic:pic>
              </a:graphicData>
            </a:graphic>
          </wp:inline>
        </w:drawing>
      </w:r>
    </w:p>
    <w:p>
      <w:pPr>
        <w:jc w:val="center"/>
      </w:pPr>
      <w:r>
        <w:rPr>
          <w:i/>
          <w:color w:val="595959"/>
          <w:sz w:val="18"/>
        </w:rPr>
        <w:t>Figura 5.4. OE.3 a nivel edificio — Delta costo electrico (EUR) (criterio C4).</w:t>
      </w:r>
    </w:p>
    <w:p/>
    <w:p>
      <w:pPr>
        <w:jc w:val="both"/>
      </w:pPr>
      <w:r>
        <w:rPr>
          <w:b w:val="0"/>
          <w:i w:val="0"/>
        </w:rPr>
        <w:t>Criterios C3/C4 en OE.3: el KPI primario se interpreta a nivel distrito (Tabla 5.2.4) y a nivel de los 17 edificios (figura precedente). El criterio C5 (control de recursos) se documenta en §5.4.5.</w:t>
      </w:r>
    </w:p>
    <w:p>
      <w:pPr>
        <w:pStyle w:val="Heading2"/>
      </w:pPr>
      <w:r>
        <w:t>5.3 Resultados inferenciales estadisticos</w:t>
      </w:r>
    </w:p>
    <w:p>
      <w:pPr>
        <w:jc w:val="both"/>
      </w:pPr>
      <w:r>
        <w:rPr>
          <w:rFonts w:ascii="Times New Roman" w:hAnsi="Times New Roman" w:cs="Times New Roman"/>
          <w:b w:val="0"/>
          <w:sz w:val="24"/>
        </w:rPr>
        <w:t>Segundo acapite. Pruebas sobre KPI-gains de los 50 episodios Drive (outputs/madrl_v3_20260627_164047/resumen_comparativo/estadistica/problemas_objetivos_hipotesis/), alpha = 0,05. Subacapites independientes OG, OE.1, OE.2 y OE.3. El omnibus de hipótesis usa KPI-gains (§5.5); TOPSIS y evaluate_v2 4/4 aportan la medida multicriterio/ranking adicional para contrastar OG/OE/HE en clave multiobjetivo.</w:t>
      </w:r>
    </w:p>
    <w:p>
      <w:pPr>
        <w:pStyle w:val="Heading3"/>
      </w:pPr>
      <w:r>
        <w:t>5.3.1 OG — resultados inferenciales estadisticos</w:t>
      </w:r>
    </w:p>
    <w:p>
      <w:r>
        <w:rPr>
          <w:b/>
          <w:color w:val="595959"/>
          <w:sz w:val="19"/>
        </w:rPr>
        <w:t>Tabla 5.3.1a. Shapiro-Wilk OG (KPI-gains 50 ep Drive).</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417"/>
            <w:shd w:val="clear" w:color="auto" w:fill="1F4E79"/>
          </w:tcPr>
          <w:p>
            <w:r/>
            <w:r>
              <w:rPr>
                <w:b/>
                <w:color w:val="FFFFFF"/>
                <w:sz w:val="18"/>
              </w:rPr>
              <w:t>Alcance</w:t>
            </w:r>
          </w:p>
        </w:tc>
        <w:tc>
          <w:tcPr>
            <w:tcW w:type="dxa" w:w="850"/>
            <w:shd w:val="clear" w:color="auto" w:fill="1F4E79"/>
          </w:tcPr>
          <w:p>
            <w:r/>
            <w:r>
              <w:rPr>
                <w:b/>
                <w:color w:val="FFFFFF"/>
                <w:sz w:val="18"/>
              </w:rPr>
              <w:t>Hipotesis</w:t>
            </w:r>
          </w:p>
        </w:tc>
        <w:tc>
          <w:tcPr>
            <w:tcW w:type="dxa" w:w="1134"/>
            <w:shd w:val="clear" w:color="auto" w:fill="1F4E79"/>
          </w:tcPr>
          <w:p>
            <w:r/>
            <w:r>
              <w:rPr>
                <w:b/>
                <w:color w:val="FFFFFF"/>
                <w:sz w:val="18"/>
              </w:rPr>
              <w:t>Algoritmo</w:t>
            </w:r>
          </w:p>
        </w:tc>
        <w:tc>
          <w:tcPr>
            <w:tcW w:type="dxa" w:w="1417"/>
            <w:shd w:val="clear" w:color="auto" w:fill="1F4E79"/>
          </w:tcPr>
          <w:p>
            <w:r/>
            <w:r>
              <w:rPr>
                <w:b/>
                <w:color w:val="FFFFFF"/>
                <w:sz w:val="18"/>
              </w:rPr>
              <w:t>p (SW)</w:t>
            </w:r>
          </w:p>
        </w:tc>
        <w:tc>
          <w:tcPr>
            <w:tcW w:type="dxa" w:w="1417"/>
            <w:shd w:val="clear" w:color="auto" w:fill="1F4E79"/>
          </w:tcPr>
          <w:p>
            <w:r/>
            <w:r>
              <w:rPr>
                <w:b/>
                <w:color w:val="FFFFFF"/>
                <w:sz w:val="18"/>
              </w:rPr>
              <w:t>Normalidad rechazada</w:t>
            </w:r>
          </w:p>
        </w:tc>
      </w:tr>
      <w:tr>
        <w:tc>
          <w:tcPr>
            <w:tcW w:type="dxa" w:w="1417"/>
          </w:tcPr>
          <w:p>
            <w:r/>
            <w:r>
              <w:rPr>
                <w:sz w:val="18"/>
              </w:rPr>
              <w:t>Global (ALL)</w:t>
            </w:r>
          </w:p>
        </w:tc>
        <w:tc>
          <w:tcPr>
            <w:tcW w:type="dxa" w:w="850"/>
          </w:tcPr>
          <w:p>
            <w:r/>
            <w:r>
              <w:rPr>
                <w:sz w:val="18"/>
              </w:rPr>
              <w:t>HG</w:t>
            </w:r>
          </w:p>
        </w:tc>
        <w:tc>
          <w:tcPr>
            <w:tcW w:type="dxa" w:w="1134"/>
          </w:tcPr>
          <w:p>
            <w:r/>
            <w:r>
              <w:rPr>
                <w:sz w:val="18"/>
              </w:rPr>
              <w:t>MASAC</w:t>
            </w:r>
          </w:p>
        </w:tc>
        <w:tc>
          <w:tcPr>
            <w:tcW w:type="dxa" w:w="1417"/>
          </w:tcPr>
          <w:p>
            <w:r/>
            <w:r>
              <w:rPr>
                <w:sz w:val="18"/>
              </w:rPr>
              <w:t>3.033e-12</w:t>
            </w:r>
          </w:p>
        </w:tc>
        <w:tc>
          <w:tcPr>
            <w:tcW w:type="dxa" w:w="1417"/>
          </w:tcPr>
          <w:p>
            <w:r/>
            <w:r>
              <w:rPr>
                <w:sz w:val="18"/>
              </w:rPr>
              <w:t>Si</w:t>
            </w:r>
          </w:p>
        </w:tc>
      </w:tr>
      <w:tr>
        <w:tc>
          <w:tcPr>
            <w:tcW w:type="dxa" w:w="1417"/>
          </w:tcPr>
          <w:p>
            <w:r/>
            <w:r>
              <w:rPr>
                <w:sz w:val="18"/>
              </w:rPr>
              <w:t>Global (ALL)</w:t>
            </w:r>
          </w:p>
        </w:tc>
        <w:tc>
          <w:tcPr>
            <w:tcW w:type="dxa" w:w="850"/>
          </w:tcPr>
          <w:p>
            <w:r/>
            <w:r>
              <w:rPr>
                <w:sz w:val="18"/>
              </w:rPr>
              <w:t>HG</w:t>
            </w:r>
          </w:p>
        </w:tc>
        <w:tc>
          <w:tcPr>
            <w:tcW w:type="dxa" w:w="1134"/>
          </w:tcPr>
          <w:p>
            <w:r/>
            <w:r>
              <w:rPr>
                <w:sz w:val="18"/>
              </w:rPr>
              <w:t>MATD3</w:t>
            </w:r>
          </w:p>
        </w:tc>
        <w:tc>
          <w:tcPr>
            <w:tcW w:type="dxa" w:w="1417"/>
          </w:tcPr>
          <w:p>
            <w:r/>
            <w:r>
              <w:rPr>
                <w:sz w:val="18"/>
              </w:rPr>
              <w:t>7.337e-12</w:t>
            </w:r>
          </w:p>
        </w:tc>
        <w:tc>
          <w:tcPr>
            <w:tcW w:type="dxa" w:w="1417"/>
          </w:tcPr>
          <w:p>
            <w:r/>
            <w:r>
              <w:rPr>
                <w:sz w:val="18"/>
              </w:rPr>
              <w:t>Si</w:t>
            </w:r>
          </w:p>
        </w:tc>
      </w:tr>
      <w:tr>
        <w:tc>
          <w:tcPr>
            <w:tcW w:type="dxa" w:w="1417"/>
          </w:tcPr>
          <w:p>
            <w:r/>
            <w:r>
              <w:rPr>
                <w:sz w:val="18"/>
              </w:rPr>
              <w:t>Global (ALL)</w:t>
            </w:r>
          </w:p>
        </w:tc>
        <w:tc>
          <w:tcPr>
            <w:tcW w:type="dxa" w:w="850"/>
          </w:tcPr>
          <w:p>
            <w:r/>
            <w:r>
              <w:rPr>
                <w:sz w:val="18"/>
              </w:rPr>
              <w:t>HG</w:t>
            </w:r>
          </w:p>
        </w:tc>
        <w:tc>
          <w:tcPr>
            <w:tcW w:type="dxa" w:w="1134"/>
          </w:tcPr>
          <w:p>
            <w:r/>
            <w:r>
              <w:rPr>
                <w:sz w:val="18"/>
              </w:rPr>
              <w:t>MAAC</w:t>
            </w:r>
          </w:p>
        </w:tc>
        <w:tc>
          <w:tcPr>
            <w:tcW w:type="dxa" w:w="1417"/>
          </w:tcPr>
          <w:p>
            <w:r/>
            <w:r>
              <w:rPr>
                <w:sz w:val="18"/>
              </w:rPr>
              <w:t>8.356e-12</w:t>
            </w:r>
          </w:p>
        </w:tc>
        <w:tc>
          <w:tcPr>
            <w:tcW w:type="dxa" w:w="1417"/>
          </w:tcPr>
          <w:p>
            <w:r/>
            <w:r>
              <w:rPr>
                <w:sz w:val="18"/>
              </w:rPr>
              <w:t>Si</w:t>
            </w:r>
          </w:p>
        </w:tc>
      </w:tr>
    </w:tbl>
    <w:p/>
    <w:p>
      <w:pPr>
        <w:jc w:val="both"/>
      </w:pPr>
      <w:r>
        <w:rPr>
          <w:b w:val="0"/>
          <w:i w:val="0"/>
        </w:rPr>
        <w:t>Contraste inferencial del OG (alimenta H0G/H1G; decision formal en §5.5.1).</w:t>
      </w:r>
    </w:p>
    <w:p>
      <w:pPr>
        <w:jc w:val="both"/>
      </w:pPr>
      <w:r>
        <w:rPr>
          <w:b w:val="0"/>
          <w:i w:val="0"/>
        </w:rPr>
        <w:t>Pruebas sobre la integracion multi-eje. Shapiro rechaza normalidad en ALL; ruta parametrica descartada. Se reportan Kruskal-Wallis y Friedman sobre KPI-gains.</w:t>
      </w:r>
    </w:p>
    <w:p>
      <w:r>
        <w:rPr>
          <w:b/>
          <w:color w:val="595959"/>
          <w:sz w:val="19"/>
        </w:rPr>
        <w:t>Tabla 5.3.1b. Kruskal-Wallis OG / ALL.</w:t>
      </w:r>
    </w:p>
    <w:tbl>
      <w:tblPr>
        <w:tblStyle w:val="LightGrid-Accent1"/>
        <w:tblW w:type="auto" w:w="0"/>
        <w:jc w:val="center"/>
        <w:tblLook w:firstColumn="1" w:firstRow="1" w:lastColumn="0" w:lastRow="0" w:noHBand="0" w:noVBand="1" w:val="04A0"/>
      </w:tblPr>
      <w:tblGrid>
        <w:gridCol w:w="1520"/>
        <w:gridCol w:w="1520"/>
        <w:gridCol w:w="1520"/>
        <w:gridCol w:w="1520"/>
        <w:gridCol w:w="1520"/>
        <w:gridCol w:w="1520"/>
      </w:tblGrid>
      <w:tr>
        <w:tc>
          <w:tcPr>
            <w:tcW w:type="dxa" w:w="1134"/>
            <w:shd w:val="clear" w:color="auto" w:fill="1F4E79"/>
          </w:tcPr>
          <w:p>
            <w:r/>
            <w:r>
              <w:rPr>
                <w:b/>
                <w:color w:val="FFFFFF"/>
                <w:sz w:val="18"/>
              </w:rPr>
              <w:t>Alcance</w:t>
            </w:r>
          </w:p>
        </w:tc>
        <w:tc>
          <w:tcPr>
            <w:tcW w:type="dxa" w:w="850"/>
            <w:shd w:val="clear" w:color="auto" w:fill="1F4E79"/>
          </w:tcPr>
          <w:p>
            <w:r/>
            <w:r>
              <w:rPr>
                <w:b/>
                <w:color w:val="FFFFFF"/>
                <w:sz w:val="18"/>
              </w:rPr>
              <w:t>Hipotesis</w:t>
            </w:r>
          </w:p>
        </w:tc>
        <w:tc>
          <w:tcPr>
            <w:tcW w:type="dxa" w:w="850"/>
            <w:shd w:val="clear" w:color="auto" w:fill="1F4E79"/>
          </w:tcPr>
          <w:p>
            <w:r/>
            <w:r>
              <w:rPr>
                <w:b/>
                <w:color w:val="FFFFFF"/>
                <w:sz w:val="18"/>
              </w:rPr>
              <w:t>H</w:t>
            </w:r>
          </w:p>
        </w:tc>
        <w:tc>
          <w:tcPr>
            <w:tcW w:type="dxa" w:w="850"/>
            <w:shd w:val="clear" w:color="auto" w:fill="1F4E79"/>
          </w:tcPr>
          <w:p>
            <w:r/>
            <w:r>
              <w:rPr>
                <w:b/>
                <w:color w:val="FFFFFF"/>
                <w:sz w:val="18"/>
              </w:rPr>
              <w:t>p</w:t>
            </w:r>
          </w:p>
        </w:tc>
        <w:tc>
          <w:tcPr>
            <w:tcW w:type="dxa" w:w="1020"/>
            <w:shd w:val="clear" w:color="auto" w:fill="1F4E79"/>
          </w:tcPr>
          <w:p>
            <w:r/>
            <w:r>
              <w:rPr>
                <w:b/>
                <w:color w:val="FFFFFF"/>
                <w:sz w:val="18"/>
              </w:rPr>
              <w:t>Signif.</w:t>
            </w:r>
          </w:p>
        </w:tc>
        <w:tc>
          <w:tcPr>
            <w:tcW w:type="dxa" w:w="1531"/>
            <w:shd w:val="clear" w:color="auto" w:fill="1F4E79"/>
          </w:tcPr>
          <w:p>
            <w:r/>
            <w:r>
              <w:rPr>
                <w:b/>
                <w:color w:val="FFFFFF"/>
                <w:sz w:val="18"/>
              </w:rPr>
              <w:t>Mejor mediana</w:t>
            </w:r>
          </w:p>
        </w:tc>
      </w:tr>
      <w:tr>
        <w:tc>
          <w:tcPr>
            <w:tcW w:type="dxa" w:w="1134"/>
          </w:tcPr>
          <w:p>
            <w:r/>
            <w:r>
              <w:rPr>
                <w:sz w:val="18"/>
              </w:rPr>
              <w:t>Global (ALL)</w:t>
            </w:r>
          </w:p>
        </w:tc>
        <w:tc>
          <w:tcPr>
            <w:tcW w:type="dxa" w:w="850"/>
          </w:tcPr>
          <w:p>
            <w:r/>
            <w:r>
              <w:rPr>
                <w:sz w:val="18"/>
              </w:rPr>
              <w:t>HG</w:t>
            </w:r>
          </w:p>
        </w:tc>
        <w:tc>
          <w:tcPr>
            <w:tcW w:type="dxa" w:w="850"/>
          </w:tcPr>
          <w:p>
            <w:r/>
            <w:r>
              <w:rPr>
                <w:sz w:val="18"/>
              </w:rPr>
              <w:t>3.723</w:t>
            </w:r>
          </w:p>
        </w:tc>
        <w:tc>
          <w:tcPr>
            <w:tcW w:type="dxa" w:w="850"/>
          </w:tcPr>
          <w:p>
            <w:r/>
            <w:r>
              <w:rPr>
                <w:sz w:val="18"/>
              </w:rPr>
              <w:t>0.1554</w:t>
            </w:r>
          </w:p>
        </w:tc>
        <w:tc>
          <w:tcPr>
            <w:tcW w:type="dxa" w:w="1020"/>
          </w:tcPr>
          <w:p>
            <w:r/>
            <w:r>
              <w:rPr>
                <w:sz w:val="18"/>
              </w:rPr>
              <w:t>No</w:t>
            </w:r>
          </w:p>
        </w:tc>
        <w:tc>
          <w:tcPr>
            <w:tcW w:type="dxa" w:w="1531"/>
          </w:tcPr>
          <w:p>
            <w:r/>
            <w:r>
              <w:rPr>
                <w:sz w:val="18"/>
              </w:rPr>
              <w:t>MATD3</w:t>
            </w:r>
          </w:p>
        </w:tc>
      </w:tr>
    </w:tbl>
    <w:p/>
    <w:p>
      <w:pPr>
        <w:jc w:val="both"/>
      </w:pPr>
      <w:r>
        <w:rPr>
          <w:b w:val="0"/>
          <w:i w:val="0"/>
        </w:rPr>
        <w:t>Referencia integrada (50 ep Drive): Friedman pareado p = 0,0096 (W = 0,1787); KW ALL KPI-gains p = 0,1554; KW scores globales p = 0,4044.</w:t>
      </w:r>
    </w:p>
    <w:p>
      <w:pPr>
        <w:pStyle w:val="Heading3"/>
      </w:pPr>
      <w:r>
        <w:t>5.3.2 OE.1 — resultados inferenciales estadisticos</w:t>
      </w:r>
    </w:p>
    <w:p>
      <w:r>
        <w:rPr>
          <w:b/>
          <w:color w:val="595959"/>
          <w:sz w:val="19"/>
        </w:rPr>
        <w:t>Tabla 5.3.2a. Shapiro-Wilk OE.1 (KPI-gains 50 ep Drive).</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417"/>
            <w:shd w:val="clear" w:color="auto" w:fill="1F4E79"/>
          </w:tcPr>
          <w:p>
            <w:r/>
            <w:r>
              <w:rPr>
                <w:b/>
                <w:color w:val="FFFFFF"/>
                <w:sz w:val="18"/>
              </w:rPr>
              <w:t>Alcance</w:t>
            </w:r>
          </w:p>
        </w:tc>
        <w:tc>
          <w:tcPr>
            <w:tcW w:type="dxa" w:w="850"/>
            <w:shd w:val="clear" w:color="auto" w:fill="1F4E79"/>
          </w:tcPr>
          <w:p>
            <w:r/>
            <w:r>
              <w:rPr>
                <w:b/>
                <w:color w:val="FFFFFF"/>
                <w:sz w:val="18"/>
              </w:rPr>
              <w:t>Hipotesis</w:t>
            </w:r>
          </w:p>
        </w:tc>
        <w:tc>
          <w:tcPr>
            <w:tcW w:type="dxa" w:w="1134"/>
            <w:shd w:val="clear" w:color="auto" w:fill="1F4E79"/>
          </w:tcPr>
          <w:p>
            <w:r/>
            <w:r>
              <w:rPr>
                <w:b/>
                <w:color w:val="FFFFFF"/>
                <w:sz w:val="18"/>
              </w:rPr>
              <w:t>Algoritmo</w:t>
            </w:r>
          </w:p>
        </w:tc>
        <w:tc>
          <w:tcPr>
            <w:tcW w:type="dxa" w:w="1417"/>
            <w:shd w:val="clear" w:color="auto" w:fill="1F4E79"/>
          </w:tcPr>
          <w:p>
            <w:r/>
            <w:r>
              <w:rPr>
                <w:b/>
                <w:color w:val="FFFFFF"/>
                <w:sz w:val="18"/>
              </w:rPr>
              <w:t>p (SW)</w:t>
            </w:r>
          </w:p>
        </w:tc>
        <w:tc>
          <w:tcPr>
            <w:tcW w:type="dxa" w:w="1417"/>
            <w:shd w:val="clear" w:color="auto" w:fill="1F4E79"/>
          </w:tcPr>
          <w:p>
            <w:r/>
            <w:r>
              <w:rPr>
                <w:b/>
                <w:color w:val="FFFFFF"/>
                <w:sz w:val="18"/>
              </w:rPr>
              <w:t>Normalidad rechazada</w:t>
            </w:r>
          </w:p>
        </w:tc>
      </w:tr>
      <w:tr>
        <w:tc>
          <w:tcPr>
            <w:tcW w:type="dxa" w:w="1417"/>
          </w:tcPr>
          <w:p>
            <w:r/>
            <w:r>
              <w:rPr>
                <w:sz w:val="18"/>
              </w:rPr>
              <w:t>OE.1 / E1</w:t>
            </w:r>
          </w:p>
        </w:tc>
        <w:tc>
          <w:tcPr>
            <w:tcW w:type="dxa" w:w="850"/>
          </w:tcPr>
          <w:p>
            <w:r/>
            <w:r>
              <w:rPr>
                <w:sz w:val="18"/>
              </w:rPr>
              <w:t>HE.1</w:t>
            </w:r>
          </w:p>
        </w:tc>
        <w:tc>
          <w:tcPr>
            <w:tcW w:type="dxa" w:w="1134"/>
          </w:tcPr>
          <w:p>
            <w:r/>
            <w:r>
              <w:rPr>
                <w:sz w:val="18"/>
              </w:rPr>
              <w:t>MASAC</w:t>
            </w:r>
          </w:p>
        </w:tc>
        <w:tc>
          <w:tcPr>
            <w:tcW w:type="dxa" w:w="1417"/>
          </w:tcPr>
          <w:p>
            <w:r/>
            <w:r>
              <w:rPr>
                <w:sz w:val="18"/>
              </w:rPr>
              <w:t>9.508e-08</w:t>
            </w:r>
          </w:p>
        </w:tc>
        <w:tc>
          <w:tcPr>
            <w:tcW w:type="dxa" w:w="1417"/>
          </w:tcPr>
          <w:p>
            <w:r/>
            <w:r>
              <w:rPr>
                <w:sz w:val="18"/>
              </w:rPr>
              <w:t>Si</w:t>
            </w:r>
          </w:p>
        </w:tc>
      </w:tr>
      <w:tr>
        <w:tc>
          <w:tcPr>
            <w:tcW w:type="dxa" w:w="1417"/>
          </w:tcPr>
          <w:p>
            <w:r/>
            <w:r>
              <w:rPr>
                <w:sz w:val="18"/>
              </w:rPr>
              <w:t>OE.1 / E1</w:t>
            </w:r>
          </w:p>
        </w:tc>
        <w:tc>
          <w:tcPr>
            <w:tcW w:type="dxa" w:w="850"/>
          </w:tcPr>
          <w:p>
            <w:r/>
            <w:r>
              <w:rPr>
                <w:sz w:val="18"/>
              </w:rPr>
              <w:t>HE.1</w:t>
            </w:r>
          </w:p>
        </w:tc>
        <w:tc>
          <w:tcPr>
            <w:tcW w:type="dxa" w:w="1134"/>
          </w:tcPr>
          <w:p>
            <w:r/>
            <w:r>
              <w:rPr>
                <w:sz w:val="18"/>
              </w:rPr>
              <w:t>MATD3</w:t>
            </w:r>
          </w:p>
        </w:tc>
        <w:tc>
          <w:tcPr>
            <w:tcW w:type="dxa" w:w="1417"/>
          </w:tcPr>
          <w:p>
            <w:r/>
            <w:r>
              <w:rPr>
                <w:sz w:val="18"/>
              </w:rPr>
              <w:t>2.230e-07</w:t>
            </w:r>
          </w:p>
        </w:tc>
        <w:tc>
          <w:tcPr>
            <w:tcW w:type="dxa" w:w="1417"/>
          </w:tcPr>
          <w:p>
            <w:r/>
            <w:r>
              <w:rPr>
                <w:sz w:val="18"/>
              </w:rPr>
              <w:t>Si</w:t>
            </w:r>
          </w:p>
        </w:tc>
      </w:tr>
      <w:tr>
        <w:tc>
          <w:tcPr>
            <w:tcW w:type="dxa" w:w="1417"/>
          </w:tcPr>
          <w:p>
            <w:r/>
            <w:r>
              <w:rPr>
                <w:sz w:val="18"/>
              </w:rPr>
              <w:t>OE.1 / E1</w:t>
            </w:r>
          </w:p>
        </w:tc>
        <w:tc>
          <w:tcPr>
            <w:tcW w:type="dxa" w:w="850"/>
          </w:tcPr>
          <w:p>
            <w:r/>
            <w:r>
              <w:rPr>
                <w:sz w:val="18"/>
              </w:rPr>
              <w:t>HE.1</w:t>
            </w:r>
          </w:p>
        </w:tc>
        <w:tc>
          <w:tcPr>
            <w:tcW w:type="dxa" w:w="1134"/>
          </w:tcPr>
          <w:p>
            <w:r/>
            <w:r>
              <w:rPr>
                <w:sz w:val="18"/>
              </w:rPr>
              <w:t>MAAC</w:t>
            </w:r>
          </w:p>
        </w:tc>
        <w:tc>
          <w:tcPr>
            <w:tcW w:type="dxa" w:w="1417"/>
          </w:tcPr>
          <w:p>
            <w:r/>
            <w:r>
              <w:rPr>
                <w:sz w:val="18"/>
              </w:rPr>
              <w:t>2.363e-07</w:t>
            </w:r>
          </w:p>
        </w:tc>
        <w:tc>
          <w:tcPr>
            <w:tcW w:type="dxa" w:w="1417"/>
          </w:tcPr>
          <w:p>
            <w:r/>
            <w:r>
              <w:rPr>
                <w:sz w:val="18"/>
              </w:rPr>
              <w:t>Si</w:t>
            </w:r>
          </w:p>
        </w:tc>
      </w:tr>
    </w:tbl>
    <w:p/>
    <w:p>
      <w:pPr>
        <w:jc w:val="both"/>
      </w:pPr>
      <w:r>
        <w:rPr>
          <w:b w:val="0"/>
          <w:i w:val="0"/>
        </w:rPr>
        <w:t>Contraste inferencial de HE10/HE11 (decision formal independiente en §5.5).</w:t>
      </w:r>
    </w:p>
    <w:p>
      <w:pPr>
        <w:jc w:val="both"/>
      </w:pPr>
      <w:r>
        <w:rPr>
          <w:b w:val="0"/>
          <w:i w:val="0"/>
        </w:rPr>
        <w:t>Puerta Shapiro: normalidad rechazada en OE.1. Ruta parametrica descartada. Kruskal-Wallis p = 0.2806 (KPI-gains, problemas_objetivos_hipotesis/).</w:t>
      </w:r>
    </w:p>
    <w:p>
      <w:r>
        <w:rPr>
          <w:b/>
          <w:color w:val="595959"/>
          <w:sz w:val="19"/>
        </w:rPr>
        <w:t>Tabla 5.3.2b. Kruskal-Wallis OE.1.</w:t>
      </w:r>
    </w:p>
    <w:tbl>
      <w:tblPr>
        <w:tblStyle w:val="LightGrid-Accent1"/>
        <w:tblW w:type="auto" w:w="0"/>
        <w:jc w:val="center"/>
        <w:tblLook w:firstColumn="1" w:firstRow="1" w:lastColumn="0" w:lastRow="0" w:noHBand="0" w:noVBand="1" w:val="04A0"/>
      </w:tblPr>
      <w:tblGrid>
        <w:gridCol w:w="1520"/>
        <w:gridCol w:w="1520"/>
        <w:gridCol w:w="1520"/>
        <w:gridCol w:w="1520"/>
        <w:gridCol w:w="1520"/>
        <w:gridCol w:w="1520"/>
      </w:tblGrid>
      <w:tr>
        <w:tc>
          <w:tcPr>
            <w:tcW w:type="dxa" w:w="1134"/>
            <w:shd w:val="clear" w:color="auto" w:fill="1F4E79"/>
          </w:tcPr>
          <w:p>
            <w:r/>
            <w:r>
              <w:rPr>
                <w:b/>
                <w:color w:val="FFFFFF"/>
                <w:sz w:val="18"/>
              </w:rPr>
              <w:t>Alcance</w:t>
            </w:r>
          </w:p>
        </w:tc>
        <w:tc>
          <w:tcPr>
            <w:tcW w:type="dxa" w:w="850"/>
            <w:shd w:val="clear" w:color="auto" w:fill="1F4E79"/>
          </w:tcPr>
          <w:p>
            <w:r/>
            <w:r>
              <w:rPr>
                <w:b/>
                <w:color w:val="FFFFFF"/>
                <w:sz w:val="18"/>
              </w:rPr>
              <w:t>Hipotesis</w:t>
            </w:r>
          </w:p>
        </w:tc>
        <w:tc>
          <w:tcPr>
            <w:tcW w:type="dxa" w:w="850"/>
            <w:shd w:val="clear" w:color="auto" w:fill="1F4E79"/>
          </w:tcPr>
          <w:p>
            <w:r/>
            <w:r>
              <w:rPr>
                <w:b/>
                <w:color w:val="FFFFFF"/>
                <w:sz w:val="18"/>
              </w:rPr>
              <w:t>H</w:t>
            </w:r>
          </w:p>
        </w:tc>
        <w:tc>
          <w:tcPr>
            <w:tcW w:type="dxa" w:w="850"/>
            <w:shd w:val="clear" w:color="auto" w:fill="1F4E79"/>
          </w:tcPr>
          <w:p>
            <w:r/>
            <w:r>
              <w:rPr>
                <w:b/>
                <w:color w:val="FFFFFF"/>
                <w:sz w:val="18"/>
              </w:rPr>
              <w:t>p</w:t>
            </w:r>
          </w:p>
        </w:tc>
        <w:tc>
          <w:tcPr>
            <w:tcW w:type="dxa" w:w="1020"/>
            <w:shd w:val="clear" w:color="auto" w:fill="1F4E79"/>
          </w:tcPr>
          <w:p>
            <w:r/>
            <w:r>
              <w:rPr>
                <w:b/>
                <w:color w:val="FFFFFF"/>
                <w:sz w:val="18"/>
              </w:rPr>
              <w:t>Signif.</w:t>
            </w:r>
          </w:p>
        </w:tc>
        <w:tc>
          <w:tcPr>
            <w:tcW w:type="dxa" w:w="1531"/>
            <w:shd w:val="clear" w:color="auto" w:fill="1F4E79"/>
          </w:tcPr>
          <w:p>
            <w:r/>
            <w:r>
              <w:rPr>
                <w:b/>
                <w:color w:val="FFFFFF"/>
                <w:sz w:val="18"/>
              </w:rPr>
              <w:t>Mejor mediana</w:t>
            </w:r>
          </w:p>
        </w:tc>
      </w:tr>
      <w:tr>
        <w:tc>
          <w:tcPr>
            <w:tcW w:type="dxa" w:w="1134"/>
          </w:tcPr>
          <w:p>
            <w:r/>
            <w:r>
              <w:rPr>
                <w:sz w:val="18"/>
              </w:rPr>
              <w:t>OE.1 / E1</w:t>
            </w:r>
          </w:p>
        </w:tc>
        <w:tc>
          <w:tcPr>
            <w:tcW w:type="dxa" w:w="850"/>
          </w:tcPr>
          <w:p>
            <w:r/>
            <w:r>
              <w:rPr>
                <w:sz w:val="18"/>
              </w:rPr>
              <w:t>HE.1</w:t>
            </w:r>
          </w:p>
        </w:tc>
        <w:tc>
          <w:tcPr>
            <w:tcW w:type="dxa" w:w="850"/>
          </w:tcPr>
          <w:p>
            <w:r/>
            <w:r>
              <w:rPr>
                <w:sz w:val="18"/>
              </w:rPr>
              <w:t>2.541</w:t>
            </w:r>
          </w:p>
        </w:tc>
        <w:tc>
          <w:tcPr>
            <w:tcW w:type="dxa" w:w="850"/>
          </w:tcPr>
          <w:p>
            <w:r/>
            <w:r>
              <w:rPr>
                <w:sz w:val="18"/>
              </w:rPr>
              <w:t>0.2806</w:t>
            </w:r>
          </w:p>
        </w:tc>
        <w:tc>
          <w:tcPr>
            <w:tcW w:type="dxa" w:w="1020"/>
          </w:tcPr>
          <w:p>
            <w:r/>
            <w:r>
              <w:rPr>
                <w:sz w:val="18"/>
              </w:rPr>
              <w:t>No</w:t>
            </w:r>
          </w:p>
        </w:tc>
        <w:tc>
          <w:tcPr>
            <w:tcW w:type="dxa" w:w="1531"/>
          </w:tcPr>
          <w:p>
            <w:r/>
            <w:r>
              <w:rPr>
                <w:sz w:val="18"/>
              </w:rPr>
              <w:t>MAAC</w:t>
            </w:r>
          </w:p>
        </w:tc>
      </w:tr>
    </w:tbl>
    <w:p/>
    <w:p>
      <w:r>
        <w:rPr>
          <w:b/>
          <w:color w:val="595959"/>
          <w:sz w:val="19"/>
        </w:rPr>
        <w:t>Tabla 5.3.2c. Mann-Whitney U OE.1.</w:t>
      </w:r>
    </w:p>
    <w:tbl>
      <w:tblPr>
        <w:tblStyle w:val="LightGrid-Accent1"/>
        <w:tblW w:type="auto" w:w="0"/>
        <w:jc w:val="center"/>
        <w:tblLook w:firstColumn="1" w:firstRow="1" w:lastColumn="0" w:lastRow="0" w:noHBand="0" w:noVBand="1" w:val="04A0"/>
      </w:tblPr>
      <w:tblGrid>
        <w:gridCol w:w="1520"/>
        <w:gridCol w:w="1520"/>
        <w:gridCol w:w="1520"/>
        <w:gridCol w:w="1520"/>
        <w:gridCol w:w="1520"/>
        <w:gridCol w:w="1520"/>
      </w:tblGrid>
      <w:tr>
        <w:tc>
          <w:tcPr>
            <w:tcW w:type="dxa" w:w="1134"/>
            <w:shd w:val="clear" w:color="auto" w:fill="1F4E79"/>
          </w:tcPr>
          <w:p>
            <w:r/>
            <w:r>
              <w:rPr>
                <w:b/>
                <w:color w:val="FFFFFF"/>
                <w:sz w:val="18"/>
              </w:rPr>
              <w:t>Alcance</w:t>
            </w:r>
          </w:p>
        </w:tc>
        <w:tc>
          <w:tcPr>
            <w:tcW w:type="dxa" w:w="850"/>
            <w:shd w:val="clear" w:color="auto" w:fill="1F4E79"/>
          </w:tcPr>
          <w:p>
            <w:r/>
            <w:r>
              <w:rPr>
                <w:b/>
                <w:color w:val="FFFFFF"/>
                <w:sz w:val="18"/>
              </w:rPr>
              <w:t>Hipotesis</w:t>
            </w:r>
          </w:p>
        </w:tc>
        <w:tc>
          <w:tcPr>
            <w:tcW w:type="dxa" w:w="1701"/>
            <w:shd w:val="clear" w:color="auto" w:fill="1F4E79"/>
          </w:tcPr>
          <w:p>
            <w:r/>
            <w:r>
              <w:rPr>
                <w:b/>
                <w:color w:val="FFFFFF"/>
                <w:sz w:val="18"/>
              </w:rPr>
              <w:t>Par</w:t>
            </w:r>
          </w:p>
        </w:tc>
        <w:tc>
          <w:tcPr>
            <w:tcW w:type="dxa" w:w="850"/>
            <w:shd w:val="clear" w:color="auto" w:fill="1F4E79"/>
          </w:tcPr>
          <w:p>
            <w:r/>
            <w:r>
              <w:rPr>
                <w:b/>
                <w:color w:val="FFFFFF"/>
                <w:sz w:val="18"/>
              </w:rPr>
              <w:t>U</w:t>
            </w:r>
          </w:p>
        </w:tc>
        <w:tc>
          <w:tcPr>
            <w:tcW w:type="dxa" w:w="850"/>
            <w:shd w:val="clear" w:color="auto" w:fill="1F4E79"/>
          </w:tcPr>
          <w:p>
            <w:r/>
            <w:r>
              <w:rPr>
                <w:b/>
                <w:color w:val="FFFFFF"/>
                <w:sz w:val="18"/>
              </w:rPr>
              <w:t>p</w:t>
            </w:r>
          </w:p>
        </w:tc>
        <w:tc>
          <w:tcPr>
            <w:tcW w:type="dxa" w:w="850"/>
            <w:shd w:val="clear" w:color="auto" w:fill="1F4E79"/>
          </w:tcPr>
          <w:p>
            <w:r/>
            <w:r>
              <w:rPr>
                <w:b/>
                <w:color w:val="FFFFFF"/>
                <w:sz w:val="18"/>
              </w:rPr>
              <w:t>Signif.</w:t>
            </w:r>
          </w:p>
        </w:tc>
      </w:tr>
      <w:tr>
        <w:tc>
          <w:tcPr>
            <w:tcW w:type="dxa" w:w="1134"/>
          </w:tcPr>
          <w:p>
            <w:r/>
            <w:r>
              <w:rPr>
                <w:sz w:val="18"/>
              </w:rPr>
              <w:t>OE.1 / E1</w:t>
            </w:r>
          </w:p>
        </w:tc>
        <w:tc>
          <w:tcPr>
            <w:tcW w:type="dxa" w:w="850"/>
          </w:tcPr>
          <w:p>
            <w:r/>
            <w:r>
              <w:rPr>
                <w:sz w:val="18"/>
              </w:rPr>
              <w:t>HE.1</w:t>
            </w:r>
          </w:p>
        </w:tc>
        <w:tc>
          <w:tcPr>
            <w:tcW w:type="dxa" w:w="1701"/>
          </w:tcPr>
          <w:p>
            <w:r/>
            <w:r>
              <w:rPr>
                <w:sz w:val="18"/>
              </w:rPr>
              <w:t>MASAC vs MATD3</w:t>
            </w:r>
          </w:p>
        </w:tc>
        <w:tc>
          <w:tcPr>
            <w:tcW w:type="dxa" w:w="850"/>
          </w:tcPr>
          <w:p>
            <w:r/>
            <w:r>
              <w:rPr>
                <w:sz w:val="18"/>
              </w:rPr>
              <w:t>521.500</w:t>
            </w:r>
          </w:p>
        </w:tc>
        <w:tc>
          <w:tcPr>
            <w:tcW w:type="dxa" w:w="850"/>
          </w:tcPr>
          <w:p>
            <w:r/>
            <w:r>
              <w:rPr>
                <w:sz w:val="18"/>
              </w:rPr>
              <w:t>0.1543</w:t>
            </w:r>
          </w:p>
        </w:tc>
        <w:tc>
          <w:tcPr>
            <w:tcW w:type="dxa" w:w="850"/>
          </w:tcPr>
          <w:p>
            <w:r/>
            <w:r>
              <w:rPr>
                <w:sz w:val="18"/>
              </w:rPr>
              <w:t>No</w:t>
            </w:r>
          </w:p>
        </w:tc>
      </w:tr>
      <w:tr>
        <w:tc>
          <w:tcPr>
            <w:tcW w:type="dxa" w:w="1134"/>
          </w:tcPr>
          <w:p>
            <w:r/>
            <w:r>
              <w:rPr>
                <w:sz w:val="18"/>
              </w:rPr>
              <w:t>OE.1 / E1</w:t>
            </w:r>
          </w:p>
        </w:tc>
        <w:tc>
          <w:tcPr>
            <w:tcW w:type="dxa" w:w="850"/>
          </w:tcPr>
          <w:p>
            <w:r/>
            <w:r>
              <w:rPr>
                <w:sz w:val="18"/>
              </w:rPr>
              <w:t>HE.1</w:t>
            </w:r>
          </w:p>
        </w:tc>
        <w:tc>
          <w:tcPr>
            <w:tcW w:type="dxa" w:w="1701"/>
          </w:tcPr>
          <w:p>
            <w:r/>
            <w:r>
              <w:rPr>
                <w:sz w:val="18"/>
              </w:rPr>
              <w:t>MASAC vs MAAC</w:t>
            </w:r>
          </w:p>
        </w:tc>
        <w:tc>
          <w:tcPr>
            <w:tcW w:type="dxa" w:w="850"/>
          </w:tcPr>
          <w:p>
            <w:r/>
            <w:r>
              <w:rPr>
                <w:sz w:val="18"/>
              </w:rPr>
              <w:t>538.500</w:t>
            </w:r>
          </w:p>
        </w:tc>
        <w:tc>
          <w:tcPr>
            <w:tcW w:type="dxa" w:w="850"/>
          </w:tcPr>
          <w:p>
            <w:r/>
            <w:r>
              <w:rPr>
                <w:sz w:val="18"/>
              </w:rPr>
              <w:t>0.2179</w:t>
            </w:r>
          </w:p>
        </w:tc>
        <w:tc>
          <w:tcPr>
            <w:tcW w:type="dxa" w:w="850"/>
          </w:tcPr>
          <w:p>
            <w:r/>
            <w:r>
              <w:rPr>
                <w:sz w:val="18"/>
              </w:rPr>
              <w:t>No</w:t>
            </w:r>
          </w:p>
        </w:tc>
      </w:tr>
      <w:tr>
        <w:tc>
          <w:tcPr>
            <w:tcW w:type="dxa" w:w="1134"/>
          </w:tcPr>
          <w:p>
            <w:r/>
            <w:r>
              <w:rPr>
                <w:sz w:val="18"/>
              </w:rPr>
              <w:t>OE.1 / E1</w:t>
            </w:r>
          </w:p>
        </w:tc>
        <w:tc>
          <w:tcPr>
            <w:tcW w:type="dxa" w:w="850"/>
          </w:tcPr>
          <w:p>
            <w:r/>
            <w:r>
              <w:rPr>
                <w:sz w:val="18"/>
              </w:rPr>
              <w:t>HE.1</w:t>
            </w:r>
          </w:p>
        </w:tc>
        <w:tc>
          <w:tcPr>
            <w:tcW w:type="dxa" w:w="1701"/>
          </w:tcPr>
          <w:p>
            <w:r/>
            <w:r>
              <w:rPr>
                <w:sz w:val="18"/>
              </w:rPr>
              <w:t>MATD3 vs MAAC</w:t>
            </w:r>
          </w:p>
        </w:tc>
        <w:tc>
          <w:tcPr>
            <w:tcW w:type="dxa" w:w="850"/>
          </w:tcPr>
          <w:p>
            <w:r/>
            <w:r>
              <w:rPr>
                <w:sz w:val="18"/>
              </w:rPr>
              <w:t>692.500</w:t>
            </w:r>
          </w:p>
        </w:tc>
        <w:tc>
          <w:tcPr>
            <w:tcW w:type="dxa" w:w="850"/>
          </w:tcPr>
          <w:p>
            <w:r/>
            <w:r>
              <w:rPr>
                <w:sz w:val="18"/>
              </w:rPr>
              <w:t>0.6193</w:t>
            </w:r>
          </w:p>
        </w:tc>
        <w:tc>
          <w:tcPr>
            <w:tcW w:type="dxa" w:w="850"/>
          </w:tcPr>
          <w:p>
            <w:r/>
            <w:r>
              <w:rPr>
                <w:sz w:val="18"/>
              </w:rPr>
              <w:t>No</w:t>
            </w:r>
          </w:p>
        </w:tc>
      </w:tr>
    </w:tbl>
    <w:p/>
    <w:p>
      <w:r>
        <w:rPr>
          <w:b/>
          <w:color w:val="595959"/>
          <w:sz w:val="19"/>
        </w:rPr>
        <w:t>Tabla 5.3.2d. Wilcoxon OE.1.</w:t>
      </w:r>
    </w:p>
    <w:tbl>
      <w:tblPr>
        <w:tblStyle w:val="LightGrid-Accent1"/>
        <w:tblW w:type="auto" w:w="0"/>
        <w:jc w:val="center"/>
        <w:tblLook w:firstColumn="1" w:firstRow="1" w:lastColumn="0" w:lastRow="0" w:noHBand="0" w:noVBand="1" w:val="04A0"/>
      </w:tblPr>
      <w:tblGrid>
        <w:gridCol w:w="3041"/>
        <w:gridCol w:w="3041"/>
        <w:gridCol w:w="3041"/>
      </w:tblGrid>
      <w:tr>
        <w:tc>
          <w:tcPr>
            <w:tcW w:type="dxa" w:w="1701"/>
            <w:shd w:val="clear" w:color="auto" w:fill="1F4E79"/>
          </w:tcPr>
          <w:p>
            <w:r/>
            <w:r>
              <w:rPr>
                <w:b/>
                <w:color w:val="FFFFFF"/>
                <w:sz w:val="18"/>
              </w:rPr>
              <w:t>Alcance</w:t>
            </w:r>
          </w:p>
        </w:tc>
        <w:tc>
          <w:tcPr>
            <w:tcW w:type="dxa" w:w="2835"/>
            <w:shd w:val="clear" w:color="auto" w:fill="1F4E79"/>
          </w:tcPr>
          <w:p>
            <w:r/>
            <w:r>
              <w:rPr>
                <w:b/>
                <w:color w:val="FFFFFF"/>
                <w:sz w:val="18"/>
              </w:rPr>
              <w:t>Par</w:t>
            </w:r>
          </w:p>
        </w:tc>
        <w:tc>
          <w:tcPr>
            <w:tcW w:type="dxa" w:w="1701"/>
            <w:shd w:val="clear" w:color="auto" w:fill="1F4E79"/>
          </w:tcPr>
          <w:p>
            <w:r/>
            <w:r>
              <w:rPr>
                <w:b/>
                <w:color w:val="FFFFFF"/>
                <w:sz w:val="18"/>
              </w:rPr>
              <w:t>p Wilcoxon</w:t>
            </w:r>
          </w:p>
        </w:tc>
      </w:tr>
      <w:tr>
        <w:tc>
          <w:tcPr>
            <w:tcW w:type="dxa" w:w="1701"/>
          </w:tcPr>
          <w:p>
            <w:r/>
            <w:r>
              <w:rPr>
                <w:sz w:val="18"/>
              </w:rPr>
              <w:t>OE1</w:t>
            </w:r>
          </w:p>
        </w:tc>
        <w:tc>
          <w:tcPr>
            <w:tcW w:type="dxa" w:w="2835"/>
          </w:tcPr>
          <w:p>
            <w:r/>
            <w:r>
              <w:rPr>
                <w:sz w:val="18"/>
              </w:rPr>
              <w:t>MASAC vs MATD3</w:t>
            </w:r>
          </w:p>
        </w:tc>
        <w:tc>
          <w:tcPr>
            <w:tcW w:type="dxa" w:w="1701"/>
          </w:tcPr>
          <w:p>
            <w:r/>
            <w:r>
              <w:rPr>
                <w:sz w:val="18"/>
              </w:rPr>
              <w:t>0.0410</w:t>
            </w:r>
          </w:p>
        </w:tc>
      </w:tr>
      <w:tr>
        <w:tc>
          <w:tcPr>
            <w:tcW w:type="dxa" w:w="1701"/>
          </w:tcPr>
          <w:p>
            <w:r/>
            <w:r>
              <w:rPr>
                <w:sz w:val="18"/>
              </w:rPr>
              <w:t>OE1</w:t>
            </w:r>
          </w:p>
        </w:tc>
        <w:tc>
          <w:tcPr>
            <w:tcW w:type="dxa" w:w="2835"/>
          </w:tcPr>
          <w:p>
            <w:r/>
            <w:r>
              <w:rPr>
                <w:sz w:val="18"/>
              </w:rPr>
              <w:t>MASAC vs MAAC</w:t>
            </w:r>
          </w:p>
        </w:tc>
        <w:tc>
          <w:tcPr>
            <w:tcW w:type="dxa" w:w="1701"/>
          </w:tcPr>
          <w:p>
            <w:r/>
            <w:r>
              <w:rPr>
                <w:sz w:val="18"/>
              </w:rPr>
              <w:t>0.0013</w:t>
            </w:r>
          </w:p>
        </w:tc>
      </w:tr>
    </w:tbl>
    <w:p/>
    <w:p>
      <w:pPr>
        <w:pStyle w:val="Heading3"/>
      </w:pPr>
      <w:r>
        <w:t>5.3.3 OE.2 — resultados inferenciales estadisticos</w:t>
      </w:r>
    </w:p>
    <w:p>
      <w:r>
        <w:rPr>
          <w:b/>
          <w:color w:val="595959"/>
          <w:sz w:val="19"/>
        </w:rPr>
        <w:t>Tabla 5.3.3a. Shapiro-Wilk OE.2 (KPI-gains 50 ep Drive).</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417"/>
            <w:shd w:val="clear" w:color="auto" w:fill="1F4E79"/>
          </w:tcPr>
          <w:p>
            <w:r/>
            <w:r>
              <w:rPr>
                <w:b/>
                <w:color w:val="FFFFFF"/>
                <w:sz w:val="18"/>
              </w:rPr>
              <w:t>Alcance</w:t>
            </w:r>
          </w:p>
        </w:tc>
        <w:tc>
          <w:tcPr>
            <w:tcW w:type="dxa" w:w="850"/>
            <w:shd w:val="clear" w:color="auto" w:fill="1F4E79"/>
          </w:tcPr>
          <w:p>
            <w:r/>
            <w:r>
              <w:rPr>
                <w:b/>
                <w:color w:val="FFFFFF"/>
                <w:sz w:val="18"/>
              </w:rPr>
              <w:t>Hipotesis</w:t>
            </w:r>
          </w:p>
        </w:tc>
        <w:tc>
          <w:tcPr>
            <w:tcW w:type="dxa" w:w="1134"/>
            <w:shd w:val="clear" w:color="auto" w:fill="1F4E79"/>
          </w:tcPr>
          <w:p>
            <w:r/>
            <w:r>
              <w:rPr>
                <w:b/>
                <w:color w:val="FFFFFF"/>
                <w:sz w:val="18"/>
              </w:rPr>
              <w:t>Algoritmo</w:t>
            </w:r>
          </w:p>
        </w:tc>
        <w:tc>
          <w:tcPr>
            <w:tcW w:type="dxa" w:w="1417"/>
            <w:shd w:val="clear" w:color="auto" w:fill="1F4E79"/>
          </w:tcPr>
          <w:p>
            <w:r/>
            <w:r>
              <w:rPr>
                <w:b/>
                <w:color w:val="FFFFFF"/>
                <w:sz w:val="18"/>
              </w:rPr>
              <w:t>p (SW)</w:t>
            </w:r>
          </w:p>
        </w:tc>
        <w:tc>
          <w:tcPr>
            <w:tcW w:type="dxa" w:w="1417"/>
            <w:shd w:val="clear" w:color="auto" w:fill="1F4E79"/>
          </w:tcPr>
          <w:p>
            <w:r/>
            <w:r>
              <w:rPr>
                <w:b/>
                <w:color w:val="FFFFFF"/>
                <w:sz w:val="18"/>
              </w:rPr>
              <w:t>Normalidad rechazada</w:t>
            </w:r>
          </w:p>
        </w:tc>
      </w:tr>
      <w:tr>
        <w:tc>
          <w:tcPr>
            <w:tcW w:type="dxa" w:w="1417"/>
          </w:tcPr>
          <w:p>
            <w:r/>
            <w:r>
              <w:rPr>
                <w:sz w:val="18"/>
              </w:rPr>
              <w:t>OE.2 / E2</w:t>
            </w:r>
          </w:p>
        </w:tc>
        <w:tc>
          <w:tcPr>
            <w:tcW w:type="dxa" w:w="850"/>
          </w:tcPr>
          <w:p>
            <w:r/>
            <w:r>
              <w:rPr>
                <w:sz w:val="18"/>
              </w:rPr>
              <w:t>HE.2</w:t>
            </w:r>
          </w:p>
        </w:tc>
        <w:tc>
          <w:tcPr>
            <w:tcW w:type="dxa" w:w="1134"/>
          </w:tcPr>
          <w:p>
            <w:r/>
            <w:r>
              <w:rPr>
                <w:sz w:val="18"/>
              </w:rPr>
              <w:t>MASAC</w:t>
            </w:r>
          </w:p>
        </w:tc>
        <w:tc>
          <w:tcPr>
            <w:tcW w:type="dxa" w:w="1417"/>
          </w:tcPr>
          <w:p>
            <w:r/>
            <w:r>
              <w:rPr>
                <w:sz w:val="18"/>
              </w:rPr>
              <w:t>7.112e-05</w:t>
            </w:r>
          </w:p>
        </w:tc>
        <w:tc>
          <w:tcPr>
            <w:tcW w:type="dxa" w:w="1417"/>
          </w:tcPr>
          <w:p>
            <w:r/>
            <w:r>
              <w:rPr>
                <w:sz w:val="18"/>
              </w:rPr>
              <w:t>Si</w:t>
            </w:r>
          </w:p>
        </w:tc>
      </w:tr>
      <w:tr>
        <w:tc>
          <w:tcPr>
            <w:tcW w:type="dxa" w:w="1417"/>
          </w:tcPr>
          <w:p>
            <w:r/>
            <w:r>
              <w:rPr>
                <w:sz w:val="18"/>
              </w:rPr>
              <w:t>OE.2 / E2</w:t>
            </w:r>
          </w:p>
        </w:tc>
        <w:tc>
          <w:tcPr>
            <w:tcW w:type="dxa" w:w="850"/>
          </w:tcPr>
          <w:p>
            <w:r/>
            <w:r>
              <w:rPr>
                <w:sz w:val="18"/>
              </w:rPr>
              <w:t>HE.2</w:t>
            </w:r>
          </w:p>
        </w:tc>
        <w:tc>
          <w:tcPr>
            <w:tcW w:type="dxa" w:w="1134"/>
          </w:tcPr>
          <w:p>
            <w:r/>
            <w:r>
              <w:rPr>
                <w:sz w:val="18"/>
              </w:rPr>
              <w:t>MATD3</w:t>
            </w:r>
          </w:p>
        </w:tc>
        <w:tc>
          <w:tcPr>
            <w:tcW w:type="dxa" w:w="1417"/>
          </w:tcPr>
          <w:p>
            <w:r/>
            <w:r>
              <w:rPr>
                <w:sz w:val="18"/>
              </w:rPr>
              <w:t>7.862e-05</w:t>
            </w:r>
          </w:p>
        </w:tc>
        <w:tc>
          <w:tcPr>
            <w:tcW w:type="dxa" w:w="1417"/>
          </w:tcPr>
          <w:p>
            <w:r/>
            <w:r>
              <w:rPr>
                <w:sz w:val="18"/>
              </w:rPr>
              <w:t>Si</w:t>
            </w:r>
          </w:p>
        </w:tc>
      </w:tr>
      <w:tr>
        <w:tc>
          <w:tcPr>
            <w:tcW w:type="dxa" w:w="1417"/>
          </w:tcPr>
          <w:p>
            <w:r/>
            <w:r>
              <w:rPr>
                <w:sz w:val="18"/>
              </w:rPr>
              <w:t>OE.2 / E2</w:t>
            </w:r>
          </w:p>
        </w:tc>
        <w:tc>
          <w:tcPr>
            <w:tcW w:type="dxa" w:w="850"/>
          </w:tcPr>
          <w:p>
            <w:r/>
            <w:r>
              <w:rPr>
                <w:sz w:val="18"/>
              </w:rPr>
              <w:t>HE.2</w:t>
            </w:r>
          </w:p>
        </w:tc>
        <w:tc>
          <w:tcPr>
            <w:tcW w:type="dxa" w:w="1134"/>
          </w:tcPr>
          <w:p>
            <w:r/>
            <w:r>
              <w:rPr>
                <w:sz w:val="18"/>
              </w:rPr>
              <w:t>MAAC</w:t>
            </w:r>
          </w:p>
        </w:tc>
        <w:tc>
          <w:tcPr>
            <w:tcW w:type="dxa" w:w="1417"/>
          </w:tcPr>
          <w:p>
            <w:r/>
            <w:r>
              <w:rPr>
                <w:sz w:val="18"/>
              </w:rPr>
              <w:t>6.759e-05</w:t>
            </w:r>
          </w:p>
        </w:tc>
        <w:tc>
          <w:tcPr>
            <w:tcW w:type="dxa" w:w="1417"/>
          </w:tcPr>
          <w:p>
            <w:r/>
            <w:r>
              <w:rPr>
                <w:sz w:val="18"/>
              </w:rPr>
              <w:t>Si</w:t>
            </w:r>
          </w:p>
        </w:tc>
      </w:tr>
    </w:tbl>
    <w:p/>
    <w:p>
      <w:pPr>
        <w:jc w:val="both"/>
      </w:pPr>
      <w:r>
        <w:rPr>
          <w:b w:val="0"/>
          <w:i w:val="0"/>
        </w:rPr>
        <w:t>Contraste inferencial de HE20/HE21 (decision formal independiente en §5.5).</w:t>
      </w:r>
    </w:p>
    <w:p>
      <w:pPr>
        <w:jc w:val="both"/>
      </w:pPr>
      <w:r>
        <w:rPr>
          <w:b w:val="0"/>
          <w:i w:val="0"/>
        </w:rPr>
        <w:t>Puerta Shapiro: normalidad rechazada en OE.2. Ruta parametrica descartada. Kruskal-Wallis p = 0.5457 (KPI-gains, problemas_objetivos_hipotesis/).</w:t>
      </w:r>
    </w:p>
    <w:p>
      <w:r>
        <w:rPr>
          <w:b/>
          <w:color w:val="595959"/>
          <w:sz w:val="19"/>
        </w:rPr>
        <w:t>Tabla 5.3.3b. Kruskal-Wallis OE.2.</w:t>
      </w:r>
    </w:p>
    <w:tbl>
      <w:tblPr>
        <w:tblStyle w:val="LightGrid-Accent1"/>
        <w:tblW w:type="auto" w:w="0"/>
        <w:jc w:val="center"/>
        <w:tblLook w:firstColumn="1" w:firstRow="1" w:lastColumn="0" w:lastRow="0" w:noHBand="0" w:noVBand="1" w:val="04A0"/>
      </w:tblPr>
      <w:tblGrid>
        <w:gridCol w:w="1520"/>
        <w:gridCol w:w="1520"/>
        <w:gridCol w:w="1520"/>
        <w:gridCol w:w="1520"/>
        <w:gridCol w:w="1520"/>
        <w:gridCol w:w="1520"/>
      </w:tblGrid>
      <w:tr>
        <w:tc>
          <w:tcPr>
            <w:tcW w:type="dxa" w:w="1134"/>
            <w:shd w:val="clear" w:color="auto" w:fill="1F4E79"/>
          </w:tcPr>
          <w:p>
            <w:r/>
            <w:r>
              <w:rPr>
                <w:b/>
                <w:color w:val="FFFFFF"/>
                <w:sz w:val="18"/>
              </w:rPr>
              <w:t>Alcance</w:t>
            </w:r>
          </w:p>
        </w:tc>
        <w:tc>
          <w:tcPr>
            <w:tcW w:type="dxa" w:w="850"/>
            <w:shd w:val="clear" w:color="auto" w:fill="1F4E79"/>
          </w:tcPr>
          <w:p>
            <w:r/>
            <w:r>
              <w:rPr>
                <w:b/>
                <w:color w:val="FFFFFF"/>
                <w:sz w:val="18"/>
              </w:rPr>
              <w:t>Hipotesis</w:t>
            </w:r>
          </w:p>
        </w:tc>
        <w:tc>
          <w:tcPr>
            <w:tcW w:type="dxa" w:w="850"/>
            <w:shd w:val="clear" w:color="auto" w:fill="1F4E79"/>
          </w:tcPr>
          <w:p>
            <w:r/>
            <w:r>
              <w:rPr>
                <w:b/>
                <w:color w:val="FFFFFF"/>
                <w:sz w:val="18"/>
              </w:rPr>
              <w:t>H</w:t>
            </w:r>
          </w:p>
        </w:tc>
        <w:tc>
          <w:tcPr>
            <w:tcW w:type="dxa" w:w="850"/>
            <w:shd w:val="clear" w:color="auto" w:fill="1F4E79"/>
          </w:tcPr>
          <w:p>
            <w:r/>
            <w:r>
              <w:rPr>
                <w:b/>
                <w:color w:val="FFFFFF"/>
                <w:sz w:val="18"/>
              </w:rPr>
              <w:t>p</w:t>
            </w:r>
          </w:p>
        </w:tc>
        <w:tc>
          <w:tcPr>
            <w:tcW w:type="dxa" w:w="1020"/>
            <w:shd w:val="clear" w:color="auto" w:fill="1F4E79"/>
          </w:tcPr>
          <w:p>
            <w:r/>
            <w:r>
              <w:rPr>
                <w:b/>
                <w:color w:val="FFFFFF"/>
                <w:sz w:val="18"/>
              </w:rPr>
              <w:t>Signif.</w:t>
            </w:r>
          </w:p>
        </w:tc>
        <w:tc>
          <w:tcPr>
            <w:tcW w:type="dxa" w:w="1531"/>
            <w:shd w:val="clear" w:color="auto" w:fill="1F4E79"/>
          </w:tcPr>
          <w:p>
            <w:r/>
            <w:r>
              <w:rPr>
                <w:b/>
                <w:color w:val="FFFFFF"/>
                <w:sz w:val="18"/>
              </w:rPr>
              <w:t>Mejor mediana</w:t>
            </w:r>
          </w:p>
        </w:tc>
      </w:tr>
      <w:tr>
        <w:tc>
          <w:tcPr>
            <w:tcW w:type="dxa" w:w="1134"/>
          </w:tcPr>
          <w:p>
            <w:r/>
            <w:r>
              <w:rPr>
                <w:sz w:val="18"/>
              </w:rPr>
              <w:t>OE.2 / E2</w:t>
            </w:r>
          </w:p>
        </w:tc>
        <w:tc>
          <w:tcPr>
            <w:tcW w:type="dxa" w:w="850"/>
          </w:tcPr>
          <w:p>
            <w:r/>
            <w:r>
              <w:rPr>
                <w:sz w:val="18"/>
              </w:rPr>
              <w:t>HE.2</w:t>
            </w:r>
          </w:p>
        </w:tc>
        <w:tc>
          <w:tcPr>
            <w:tcW w:type="dxa" w:w="850"/>
          </w:tcPr>
          <w:p>
            <w:r/>
            <w:r>
              <w:rPr>
                <w:sz w:val="18"/>
              </w:rPr>
              <w:t>1.211</w:t>
            </w:r>
          </w:p>
        </w:tc>
        <w:tc>
          <w:tcPr>
            <w:tcW w:type="dxa" w:w="850"/>
          </w:tcPr>
          <w:p>
            <w:r/>
            <w:r>
              <w:rPr>
                <w:sz w:val="18"/>
              </w:rPr>
              <w:t>0.5457</w:t>
            </w:r>
          </w:p>
        </w:tc>
        <w:tc>
          <w:tcPr>
            <w:tcW w:type="dxa" w:w="1020"/>
          </w:tcPr>
          <w:p>
            <w:r/>
            <w:r>
              <w:rPr>
                <w:sz w:val="18"/>
              </w:rPr>
              <w:t>No</w:t>
            </w:r>
          </w:p>
        </w:tc>
        <w:tc>
          <w:tcPr>
            <w:tcW w:type="dxa" w:w="1531"/>
          </w:tcPr>
          <w:p>
            <w:r/>
            <w:r>
              <w:rPr>
                <w:sz w:val="18"/>
              </w:rPr>
              <w:t>MATD3</w:t>
            </w:r>
          </w:p>
        </w:tc>
      </w:tr>
    </w:tbl>
    <w:p/>
    <w:p>
      <w:r>
        <w:rPr>
          <w:b/>
          <w:color w:val="595959"/>
          <w:sz w:val="19"/>
        </w:rPr>
        <w:t>Tabla 5.3.3c. Mann-Whitney U OE.2.</w:t>
      </w:r>
    </w:p>
    <w:tbl>
      <w:tblPr>
        <w:tblStyle w:val="LightGrid-Accent1"/>
        <w:tblW w:type="auto" w:w="0"/>
        <w:jc w:val="center"/>
        <w:tblLook w:firstColumn="1" w:firstRow="1" w:lastColumn="0" w:lastRow="0" w:noHBand="0" w:noVBand="1" w:val="04A0"/>
      </w:tblPr>
      <w:tblGrid>
        <w:gridCol w:w="1520"/>
        <w:gridCol w:w="1520"/>
        <w:gridCol w:w="1520"/>
        <w:gridCol w:w="1520"/>
        <w:gridCol w:w="1520"/>
        <w:gridCol w:w="1520"/>
      </w:tblGrid>
      <w:tr>
        <w:tc>
          <w:tcPr>
            <w:tcW w:type="dxa" w:w="1134"/>
            <w:shd w:val="clear" w:color="auto" w:fill="1F4E79"/>
          </w:tcPr>
          <w:p>
            <w:r/>
            <w:r>
              <w:rPr>
                <w:b/>
                <w:color w:val="FFFFFF"/>
                <w:sz w:val="18"/>
              </w:rPr>
              <w:t>Alcance</w:t>
            </w:r>
          </w:p>
        </w:tc>
        <w:tc>
          <w:tcPr>
            <w:tcW w:type="dxa" w:w="850"/>
            <w:shd w:val="clear" w:color="auto" w:fill="1F4E79"/>
          </w:tcPr>
          <w:p>
            <w:r/>
            <w:r>
              <w:rPr>
                <w:b/>
                <w:color w:val="FFFFFF"/>
                <w:sz w:val="18"/>
              </w:rPr>
              <w:t>Hipotesis</w:t>
            </w:r>
          </w:p>
        </w:tc>
        <w:tc>
          <w:tcPr>
            <w:tcW w:type="dxa" w:w="1701"/>
            <w:shd w:val="clear" w:color="auto" w:fill="1F4E79"/>
          </w:tcPr>
          <w:p>
            <w:r/>
            <w:r>
              <w:rPr>
                <w:b/>
                <w:color w:val="FFFFFF"/>
                <w:sz w:val="18"/>
              </w:rPr>
              <w:t>Par</w:t>
            </w:r>
          </w:p>
        </w:tc>
        <w:tc>
          <w:tcPr>
            <w:tcW w:type="dxa" w:w="850"/>
            <w:shd w:val="clear" w:color="auto" w:fill="1F4E79"/>
          </w:tcPr>
          <w:p>
            <w:r/>
            <w:r>
              <w:rPr>
                <w:b/>
                <w:color w:val="FFFFFF"/>
                <w:sz w:val="18"/>
              </w:rPr>
              <w:t>U</w:t>
            </w:r>
          </w:p>
        </w:tc>
        <w:tc>
          <w:tcPr>
            <w:tcW w:type="dxa" w:w="850"/>
            <w:shd w:val="clear" w:color="auto" w:fill="1F4E79"/>
          </w:tcPr>
          <w:p>
            <w:r/>
            <w:r>
              <w:rPr>
                <w:b/>
                <w:color w:val="FFFFFF"/>
                <w:sz w:val="18"/>
              </w:rPr>
              <w:t>p</w:t>
            </w:r>
          </w:p>
        </w:tc>
        <w:tc>
          <w:tcPr>
            <w:tcW w:type="dxa" w:w="850"/>
            <w:shd w:val="clear" w:color="auto" w:fill="1F4E79"/>
          </w:tcPr>
          <w:p>
            <w:r/>
            <w:r>
              <w:rPr>
                <w:b/>
                <w:color w:val="FFFFFF"/>
                <w:sz w:val="18"/>
              </w:rPr>
              <w:t>Signif.</w:t>
            </w:r>
          </w:p>
        </w:tc>
      </w:tr>
      <w:tr>
        <w:tc>
          <w:tcPr>
            <w:tcW w:type="dxa" w:w="1134"/>
          </w:tcPr>
          <w:p>
            <w:r/>
            <w:r>
              <w:rPr>
                <w:sz w:val="18"/>
              </w:rPr>
              <w:t>OE.2 / E2</w:t>
            </w:r>
          </w:p>
        </w:tc>
        <w:tc>
          <w:tcPr>
            <w:tcW w:type="dxa" w:w="850"/>
          </w:tcPr>
          <w:p>
            <w:r/>
            <w:r>
              <w:rPr>
                <w:sz w:val="18"/>
              </w:rPr>
              <w:t>HE.2</w:t>
            </w:r>
          </w:p>
        </w:tc>
        <w:tc>
          <w:tcPr>
            <w:tcW w:type="dxa" w:w="1701"/>
          </w:tcPr>
          <w:p>
            <w:r/>
            <w:r>
              <w:rPr>
                <w:sz w:val="18"/>
              </w:rPr>
              <w:t>MASAC vs MATD3</w:t>
            </w:r>
          </w:p>
        </w:tc>
        <w:tc>
          <w:tcPr>
            <w:tcW w:type="dxa" w:w="850"/>
          </w:tcPr>
          <w:p>
            <w:r/>
            <w:r>
              <w:rPr>
                <w:sz w:val="18"/>
              </w:rPr>
              <w:t>93.000</w:t>
            </w:r>
          </w:p>
        </w:tc>
        <w:tc>
          <w:tcPr>
            <w:tcW w:type="dxa" w:w="850"/>
          </w:tcPr>
          <w:p>
            <w:r/>
            <w:r>
              <w:rPr>
                <w:sz w:val="18"/>
              </w:rPr>
              <w:t>0.4154</w:t>
            </w:r>
          </w:p>
        </w:tc>
        <w:tc>
          <w:tcPr>
            <w:tcW w:type="dxa" w:w="850"/>
          </w:tcPr>
          <w:p>
            <w:r/>
            <w:r>
              <w:rPr>
                <w:sz w:val="18"/>
              </w:rPr>
              <w:t>No</w:t>
            </w:r>
          </w:p>
        </w:tc>
      </w:tr>
      <w:tr>
        <w:tc>
          <w:tcPr>
            <w:tcW w:type="dxa" w:w="1134"/>
          </w:tcPr>
          <w:p>
            <w:r/>
            <w:r>
              <w:rPr>
                <w:sz w:val="18"/>
              </w:rPr>
              <w:t>OE.2 / E2</w:t>
            </w:r>
          </w:p>
        </w:tc>
        <w:tc>
          <w:tcPr>
            <w:tcW w:type="dxa" w:w="850"/>
          </w:tcPr>
          <w:p>
            <w:r/>
            <w:r>
              <w:rPr>
                <w:sz w:val="18"/>
              </w:rPr>
              <w:t>HE.2</w:t>
            </w:r>
          </w:p>
        </w:tc>
        <w:tc>
          <w:tcPr>
            <w:tcW w:type="dxa" w:w="1701"/>
          </w:tcPr>
          <w:p>
            <w:r/>
            <w:r>
              <w:rPr>
                <w:sz w:val="18"/>
              </w:rPr>
              <w:t>MASAC vs MAAC</w:t>
            </w:r>
          </w:p>
        </w:tc>
        <w:tc>
          <w:tcPr>
            <w:tcW w:type="dxa" w:w="850"/>
          </w:tcPr>
          <w:p>
            <w:r/>
            <w:r>
              <w:rPr>
                <w:sz w:val="18"/>
              </w:rPr>
              <w:t>90.000</w:t>
            </w:r>
          </w:p>
        </w:tc>
        <w:tc>
          <w:tcPr>
            <w:tcW w:type="dxa" w:w="850"/>
          </w:tcPr>
          <w:p>
            <w:r/>
            <w:r>
              <w:rPr>
                <w:sz w:val="18"/>
              </w:rPr>
              <w:t>0.3457</w:t>
            </w:r>
          </w:p>
        </w:tc>
        <w:tc>
          <w:tcPr>
            <w:tcW w:type="dxa" w:w="850"/>
          </w:tcPr>
          <w:p>
            <w:r/>
            <w:r>
              <w:rPr>
                <w:sz w:val="18"/>
              </w:rPr>
              <w:t>No</w:t>
            </w:r>
          </w:p>
        </w:tc>
      </w:tr>
      <w:tr>
        <w:tc>
          <w:tcPr>
            <w:tcW w:type="dxa" w:w="1134"/>
          </w:tcPr>
          <w:p>
            <w:r/>
            <w:r>
              <w:rPr>
                <w:sz w:val="18"/>
              </w:rPr>
              <w:t>OE.2 / E2</w:t>
            </w:r>
          </w:p>
        </w:tc>
        <w:tc>
          <w:tcPr>
            <w:tcW w:type="dxa" w:w="850"/>
          </w:tcPr>
          <w:p>
            <w:r/>
            <w:r>
              <w:rPr>
                <w:sz w:val="18"/>
              </w:rPr>
              <w:t>HE.2</w:t>
            </w:r>
          </w:p>
        </w:tc>
        <w:tc>
          <w:tcPr>
            <w:tcW w:type="dxa" w:w="1701"/>
          </w:tcPr>
          <w:p>
            <w:r/>
            <w:r>
              <w:rPr>
                <w:sz w:val="18"/>
              </w:rPr>
              <w:t>MATD3 vs MAAC</w:t>
            </w:r>
          </w:p>
        </w:tc>
        <w:tc>
          <w:tcPr>
            <w:tcW w:type="dxa" w:w="850"/>
          </w:tcPr>
          <w:p>
            <w:r/>
            <w:r>
              <w:rPr>
                <w:sz w:val="18"/>
              </w:rPr>
              <w:t>126.000</w:t>
            </w:r>
          </w:p>
        </w:tc>
        <w:tc>
          <w:tcPr>
            <w:tcW w:type="dxa" w:w="850"/>
          </w:tcPr>
          <w:p>
            <w:r/>
            <w:r>
              <w:rPr>
                <w:sz w:val="18"/>
              </w:rPr>
              <w:t>0.5774</w:t>
            </w:r>
          </w:p>
        </w:tc>
        <w:tc>
          <w:tcPr>
            <w:tcW w:type="dxa" w:w="850"/>
          </w:tcPr>
          <w:p>
            <w:r/>
            <w:r>
              <w:rPr>
                <w:sz w:val="18"/>
              </w:rPr>
              <w:t>No</w:t>
            </w:r>
          </w:p>
        </w:tc>
      </w:tr>
    </w:tbl>
    <w:p/>
    <w:p>
      <w:r>
        <w:rPr>
          <w:b/>
          <w:color w:val="595959"/>
          <w:sz w:val="19"/>
        </w:rPr>
        <w:t>Tabla 5.3.3d. Wilcoxon OE.2.</w:t>
      </w:r>
    </w:p>
    <w:tbl>
      <w:tblPr>
        <w:tblStyle w:val="LightGrid-Accent1"/>
        <w:tblW w:type="auto" w:w="0"/>
        <w:jc w:val="center"/>
        <w:tblLook w:firstColumn="1" w:firstRow="1" w:lastColumn="0" w:lastRow="0" w:noHBand="0" w:noVBand="1" w:val="04A0"/>
      </w:tblPr>
      <w:tblGrid>
        <w:gridCol w:w="3041"/>
        <w:gridCol w:w="3041"/>
        <w:gridCol w:w="3041"/>
      </w:tblGrid>
      <w:tr>
        <w:tc>
          <w:tcPr>
            <w:tcW w:type="dxa" w:w="1701"/>
            <w:shd w:val="clear" w:color="auto" w:fill="1F4E79"/>
          </w:tcPr>
          <w:p>
            <w:r/>
            <w:r>
              <w:rPr>
                <w:b/>
                <w:color w:val="FFFFFF"/>
                <w:sz w:val="18"/>
              </w:rPr>
              <w:t>Alcance</w:t>
            </w:r>
          </w:p>
        </w:tc>
        <w:tc>
          <w:tcPr>
            <w:tcW w:type="dxa" w:w="2835"/>
            <w:shd w:val="clear" w:color="auto" w:fill="1F4E79"/>
          </w:tcPr>
          <w:p>
            <w:r/>
            <w:r>
              <w:rPr>
                <w:b/>
                <w:color w:val="FFFFFF"/>
                <w:sz w:val="18"/>
              </w:rPr>
              <w:t>Par</w:t>
            </w:r>
          </w:p>
        </w:tc>
        <w:tc>
          <w:tcPr>
            <w:tcW w:type="dxa" w:w="1701"/>
            <w:shd w:val="clear" w:color="auto" w:fill="1F4E79"/>
          </w:tcPr>
          <w:p>
            <w:r/>
            <w:r>
              <w:rPr>
                <w:b/>
                <w:color w:val="FFFFFF"/>
                <w:sz w:val="18"/>
              </w:rPr>
              <w:t>p Wilcoxon</w:t>
            </w:r>
          </w:p>
        </w:tc>
      </w:tr>
      <w:tr>
        <w:tc>
          <w:tcPr>
            <w:tcW w:type="dxa" w:w="1701"/>
          </w:tcPr>
          <w:p>
            <w:r/>
            <w:r>
              <w:rPr>
                <w:sz w:val="18"/>
              </w:rPr>
              <w:t>OE2</w:t>
            </w:r>
          </w:p>
        </w:tc>
        <w:tc>
          <w:tcPr>
            <w:tcW w:type="dxa" w:w="2835"/>
          </w:tcPr>
          <w:p>
            <w:r/>
            <w:r>
              <w:rPr>
                <w:sz w:val="18"/>
              </w:rPr>
              <w:t>MASAC vs MAAC</w:t>
            </w:r>
          </w:p>
        </w:tc>
        <w:tc>
          <w:tcPr>
            <w:tcW w:type="dxa" w:w="1701"/>
          </w:tcPr>
          <w:p>
            <w:r/>
            <w:r>
              <w:rPr>
                <w:sz w:val="18"/>
              </w:rPr>
              <w:t>0.0077</w:t>
            </w:r>
          </w:p>
        </w:tc>
      </w:tr>
    </w:tbl>
    <w:p/>
    <w:p>
      <w:pPr>
        <w:pStyle w:val="Heading3"/>
      </w:pPr>
      <w:r>
        <w:t>5.3.4 OE.3 — resultados inferenciales estadisticos</w:t>
      </w:r>
    </w:p>
    <w:p>
      <w:r>
        <w:rPr>
          <w:b/>
          <w:color w:val="595959"/>
          <w:sz w:val="19"/>
        </w:rPr>
        <w:t>Tabla 5.3.4a. Shapiro-Wilk OE.3 (KPI-gains 50 ep Drive).</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417"/>
            <w:shd w:val="clear" w:color="auto" w:fill="1F4E79"/>
          </w:tcPr>
          <w:p>
            <w:r/>
            <w:r>
              <w:rPr>
                <w:b/>
                <w:color w:val="FFFFFF"/>
                <w:sz w:val="18"/>
              </w:rPr>
              <w:t>Alcance</w:t>
            </w:r>
          </w:p>
        </w:tc>
        <w:tc>
          <w:tcPr>
            <w:tcW w:type="dxa" w:w="850"/>
            <w:shd w:val="clear" w:color="auto" w:fill="1F4E79"/>
          </w:tcPr>
          <w:p>
            <w:r/>
            <w:r>
              <w:rPr>
                <w:b/>
                <w:color w:val="FFFFFF"/>
                <w:sz w:val="18"/>
              </w:rPr>
              <w:t>Hipotesis</w:t>
            </w:r>
          </w:p>
        </w:tc>
        <w:tc>
          <w:tcPr>
            <w:tcW w:type="dxa" w:w="1134"/>
            <w:shd w:val="clear" w:color="auto" w:fill="1F4E79"/>
          </w:tcPr>
          <w:p>
            <w:r/>
            <w:r>
              <w:rPr>
                <w:b/>
                <w:color w:val="FFFFFF"/>
                <w:sz w:val="18"/>
              </w:rPr>
              <w:t>Algoritmo</w:t>
            </w:r>
          </w:p>
        </w:tc>
        <w:tc>
          <w:tcPr>
            <w:tcW w:type="dxa" w:w="1417"/>
            <w:shd w:val="clear" w:color="auto" w:fill="1F4E79"/>
          </w:tcPr>
          <w:p>
            <w:r/>
            <w:r>
              <w:rPr>
                <w:b/>
                <w:color w:val="FFFFFF"/>
                <w:sz w:val="18"/>
              </w:rPr>
              <w:t>p (SW)</w:t>
            </w:r>
          </w:p>
        </w:tc>
        <w:tc>
          <w:tcPr>
            <w:tcW w:type="dxa" w:w="1417"/>
            <w:shd w:val="clear" w:color="auto" w:fill="1F4E79"/>
          </w:tcPr>
          <w:p>
            <w:r/>
            <w:r>
              <w:rPr>
                <w:b/>
                <w:color w:val="FFFFFF"/>
                <w:sz w:val="18"/>
              </w:rPr>
              <w:t>Normalidad rechazada</w:t>
            </w:r>
          </w:p>
        </w:tc>
      </w:tr>
      <w:tr>
        <w:tc>
          <w:tcPr>
            <w:tcW w:type="dxa" w:w="1417"/>
          </w:tcPr>
          <w:p>
            <w:r/>
            <w:r>
              <w:rPr>
                <w:sz w:val="18"/>
              </w:rPr>
              <w:t>OE.3 / E3</w:t>
            </w:r>
          </w:p>
        </w:tc>
        <w:tc>
          <w:tcPr>
            <w:tcW w:type="dxa" w:w="850"/>
          </w:tcPr>
          <w:p>
            <w:r/>
            <w:r>
              <w:rPr>
                <w:sz w:val="18"/>
              </w:rPr>
              <w:t>HE.3</w:t>
            </w:r>
          </w:p>
        </w:tc>
        <w:tc>
          <w:tcPr>
            <w:tcW w:type="dxa" w:w="1134"/>
          </w:tcPr>
          <w:p>
            <w:r/>
            <w:r>
              <w:rPr>
                <w:sz w:val="18"/>
              </w:rPr>
              <w:t>MASAC</w:t>
            </w:r>
          </w:p>
        </w:tc>
        <w:tc>
          <w:tcPr>
            <w:tcW w:type="dxa" w:w="1417"/>
          </w:tcPr>
          <w:p>
            <w:r/>
            <w:r>
              <w:rPr>
                <w:sz w:val="18"/>
              </w:rPr>
              <w:t>1.539e-07</w:t>
            </w:r>
          </w:p>
        </w:tc>
        <w:tc>
          <w:tcPr>
            <w:tcW w:type="dxa" w:w="1417"/>
          </w:tcPr>
          <w:p>
            <w:r/>
            <w:r>
              <w:rPr>
                <w:sz w:val="18"/>
              </w:rPr>
              <w:t>Si</w:t>
            </w:r>
          </w:p>
        </w:tc>
      </w:tr>
      <w:tr>
        <w:tc>
          <w:tcPr>
            <w:tcW w:type="dxa" w:w="1417"/>
          </w:tcPr>
          <w:p>
            <w:r/>
            <w:r>
              <w:rPr>
                <w:sz w:val="18"/>
              </w:rPr>
              <w:t>OE.3 / E3</w:t>
            </w:r>
          </w:p>
        </w:tc>
        <w:tc>
          <w:tcPr>
            <w:tcW w:type="dxa" w:w="850"/>
          </w:tcPr>
          <w:p>
            <w:r/>
            <w:r>
              <w:rPr>
                <w:sz w:val="18"/>
              </w:rPr>
              <w:t>HE.3</w:t>
            </w:r>
          </w:p>
        </w:tc>
        <w:tc>
          <w:tcPr>
            <w:tcW w:type="dxa" w:w="1134"/>
          </w:tcPr>
          <w:p>
            <w:r/>
            <w:r>
              <w:rPr>
                <w:sz w:val="18"/>
              </w:rPr>
              <w:t>MATD3</w:t>
            </w:r>
          </w:p>
        </w:tc>
        <w:tc>
          <w:tcPr>
            <w:tcW w:type="dxa" w:w="1417"/>
          </w:tcPr>
          <w:p>
            <w:r/>
            <w:r>
              <w:rPr>
                <w:sz w:val="18"/>
              </w:rPr>
              <w:t>5.512e-08</w:t>
            </w:r>
          </w:p>
        </w:tc>
        <w:tc>
          <w:tcPr>
            <w:tcW w:type="dxa" w:w="1417"/>
          </w:tcPr>
          <w:p>
            <w:r/>
            <w:r>
              <w:rPr>
                <w:sz w:val="18"/>
              </w:rPr>
              <w:t>Si</w:t>
            </w:r>
          </w:p>
        </w:tc>
      </w:tr>
      <w:tr>
        <w:tc>
          <w:tcPr>
            <w:tcW w:type="dxa" w:w="1417"/>
          </w:tcPr>
          <w:p>
            <w:r/>
            <w:r>
              <w:rPr>
                <w:sz w:val="18"/>
              </w:rPr>
              <w:t>OE.3 / E3</w:t>
            </w:r>
          </w:p>
        </w:tc>
        <w:tc>
          <w:tcPr>
            <w:tcW w:type="dxa" w:w="850"/>
          </w:tcPr>
          <w:p>
            <w:r/>
            <w:r>
              <w:rPr>
                <w:sz w:val="18"/>
              </w:rPr>
              <w:t>HE.3</w:t>
            </w:r>
          </w:p>
        </w:tc>
        <w:tc>
          <w:tcPr>
            <w:tcW w:type="dxa" w:w="1134"/>
          </w:tcPr>
          <w:p>
            <w:r/>
            <w:r>
              <w:rPr>
                <w:sz w:val="18"/>
              </w:rPr>
              <w:t>MAAC</w:t>
            </w:r>
          </w:p>
        </w:tc>
        <w:tc>
          <w:tcPr>
            <w:tcW w:type="dxa" w:w="1417"/>
          </w:tcPr>
          <w:p>
            <w:r/>
            <w:r>
              <w:rPr>
                <w:sz w:val="18"/>
              </w:rPr>
              <w:t>7.369e-08</w:t>
            </w:r>
          </w:p>
        </w:tc>
        <w:tc>
          <w:tcPr>
            <w:tcW w:type="dxa" w:w="1417"/>
          </w:tcPr>
          <w:p>
            <w:r/>
            <w:r>
              <w:rPr>
                <w:sz w:val="18"/>
              </w:rPr>
              <w:t>Si</w:t>
            </w:r>
          </w:p>
        </w:tc>
      </w:tr>
    </w:tbl>
    <w:p/>
    <w:p>
      <w:pPr>
        <w:jc w:val="both"/>
      </w:pPr>
      <w:r>
        <w:rPr>
          <w:b w:val="0"/>
          <w:i w:val="0"/>
        </w:rPr>
        <w:t>Contraste inferencial de HE30/HE31 (decision formal independiente en §5.5).</w:t>
      </w:r>
    </w:p>
    <w:p>
      <w:pPr>
        <w:jc w:val="both"/>
      </w:pPr>
      <w:r>
        <w:rPr>
          <w:b w:val="0"/>
          <w:i w:val="0"/>
        </w:rPr>
        <w:t>Puerta Shapiro: normalidad rechazada en OE.3. Ruta parametrica descartada. Kruskal-Wallis p = 0.3881 (KPI-gains, problemas_objetivos_hipotesis/).</w:t>
      </w:r>
    </w:p>
    <w:p>
      <w:r>
        <w:rPr>
          <w:b/>
          <w:color w:val="595959"/>
          <w:sz w:val="19"/>
        </w:rPr>
        <w:t>Tabla 5.3.4b. Kruskal-Wallis OE.3.</w:t>
      </w:r>
    </w:p>
    <w:tbl>
      <w:tblPr>
        <w:tblStyle w:val="LightGrid-Accent1"/>
        <w:tblW w:type="auto" w:w="0"/>
        <w:jc w:val="center"/>
        <w:tblLook w:firstColumn="1" w:firstRow="1" w:lastColumn="0" w:lastRow="0" w:noHBand="0" w:noVBand="1" w:val="04A0"/>
      </w:tblPr>
      <w:tblGrid>
        <w:gridCol w:w="1520"/>
        <w:gridCol w:w="1520"/>
        <w:gridCol w:w="1520"/>
        <w:gridCol w:w="1520"/>
        <w:gridCol w:w="1520"/>
        <w:gridCol w:w="1520"/>
      </w:tblGrid>
      <w:tr>
        <w:tc>
          <w:tcPr>
            <w:tcW w:type="dxa" w:w="1134"/>
            <w:shd w:val="clear" w:color="auto" w:fill="1F4E79"/>
          </w:tcPr>
          <w:p>
            <w:r/>
            <w:r>
              <w:rPr>
                <w:b/>
                <w:color w:val="FFFFFF"/>
                <w:sz w:val="18"/>
              </w:rPr>
              <w:t>Alcance</w:t>
            </w:r>
          </w:p>
        </w:tc>
        <w:tc>
          <w:tcPr>
            <w:tcW w:type="dxa" w:w="850"/>
            <w:shd w:val="clear" w:color="auto" w:fill="1F4E79"/>
          </w:tcPr>
          <w:p>
            <w:r/>
            <w:r>
              <w:rPr>
                <w:b/>
                <w:color w:val="FFFFFF"/>
                <w:sz w:val="18"/>
              </w:rPr>
              <w:t>Hipotesis</w:t>
            </w:r>
          </w:p>
        </w:tc>
        <w:tc>
          <w:tcPr>
            <w:tcW w:type="dxa" w:w="850"/>
            <w:shd w:val="clear" w:color="auto" w:fill="1F4E79"/>
          </w:tcPr>
          <w:p>
            <w:r/>
            <w:r>
              <w:rPr>
                <w:b/>
                <w:color w:val="FFFFFF"/>
                <w:sz w:val="18"/>
              </w:rPr>
              <w:t>H</w:t>
            </w:r>
          </w:p>
        </w:tc>
        <w:tc>
          <w:tcPr>
            <w:tcW w:type="dxa" w:w="850"/>
            <w:shd w:val="clear" w:color="auto" w:fill="1F4E79"/>
          </w:tcPr>
          <w:p>
            <w:r/>
            <w:r>
              <w:rPr>
                <w:b/>
                <w:color w:val="FFFFFF"/>
                <w:sz w:val="18"/>
              </w:rPr>
              <w:t>p</w:t>
            </w:r>
          </w:p>
        </w:tc>
        <w:tc>
          <w:tcPr>
            <w:tcW w:type="dxa" w:w="1020"/>
            <w:shd w:val="clear" w:color="auto" w:fill="1F4E79"/>
          </w:tcPr>
          <w:p>
            <w:r/>
            <w:r>
              <w:rPr>
                <w:b/>
                <w:color w:val="FFFFFF"/>
                <w:sz w:val="18"/>
              </w:rPr>
              <w:t>Signif.</w:t>
            </w:r>
          </w:p>
        </w:tc>
        <w:tc>
          <w:tcPr>
            <w:tcW w:type="dxa" w:w="1531"/>
            <w:shd w:val="clear" w:color="auto" w:fill="1F4E79"/>
          </w:tcPr>
          <w:p>
            <w:r/>
            <w:r>
              <w:rPr>
                <w:b/>
                <w:color w:val="FFFFFF"/>
                <w:sz w:val="18"/>
              </w:rPr>
              <w:t>Mejor mediana</w:t>
            </w:r>
          </w:p>
        </w:tc>
      </w:tr>
      <w:tr>
        <w:tc>
          <w:tcPr>
            <w:tcW w:type="dxa" w:w="1134"/>
          </w:tcPr>
          <w:p>
            <w:r/>
            <w:r>
              <w:rPr>
                <w:sz w:val="18"/>
              </w:rPr>
              <w:t>OE.3 / E3</w:t>
            </w:r>
          </w:p>
        </w:tc>
        <w:tc>
          <w:tcPr>
            <w:tcW w:type="dxa" w:w="850"/>
          </w:tcPr>
          <w:p>
            <w:r/>
            <w:r>
              <w:rPr>
                <w:sz w:val="18"/>
              </w:rPr>
              <w:t>HE.3</w:t>
            </w:r>
          </w:p>
        </w:tc>
        <w:tc>
          <w:tcPr>
            <w:tcW w:type="dxa" w:w="850"/>
          </w:tcPr>
          <w:p>
            <w:r/>
            <w:r>
              <w:rPr>
                <w:sz w:val="18"/>
              </w:rPr>
              <w:t>1.893</w:t>
            </w:r>
          </w:p>
        </w:tc>
        <w:tc>
          <w:tcPr>
            <w:tcW w:type="dxa" w:w="850"/>
          </w:tcPr>
          <w:p>
            <w:r/>
            <w:r>
              <w:rPr>
                <w:sz w:val="18"/>
              </w:rPr>
              <w:t>0.3881</w:t>
            </w:r>
          </w:p>
        </w:tc>
        <w:tc>
          <w:tcPr>
            <w:tcW w:type="dxa" w:w="1020"/>
          </w:tcPr>
          <w:p>
            <w:r/>
            <w:r>
              <w:rPr>
                <w:sz w:val="18"/>
              </w:rPr>
              <w:t>No</w:t>
            </w:r>
          </w:p>
        </w:tc>
        <w:tc>
          <w:tcPr>
            <w:tcW w:type="dxa" w:w="1531"/>
          </w:tcPr>
          <w:p>
            <w:r/>
            <w:r>
              <w:rPr>
                <w:sz w:val="18"/>
              </w:rPr>
              <w:t>MAAC</w:t>
            </w:r>
          </w:p>
        </w:tc>
      </w:tr>
    </w:tbl>
    <w:p/>
    <w:p>
      <w:r>
        <w:rPr>
          <w:b/>
          <w:color w:val="595959"/>
          <w:sz w:val="19"/>
        </w:rPr>
        <w:t>Tabla 5.3.4c. Mann-Whitney U OE.3.</w:t>
      </w:r>
    </w:p>
    <w:tbl>
      <w:tblPr>
        <w:tblStyle w:val="LightGrid-Accent1"/>
        <w:tblW w:type="auto" w:w="0"/>
        <w:jc w:val="center"/>
        <w:tblLook w:firstColumn="1" w:firstRow="1" w:lastColumn="0" w:lastRow="0" w:noHBand="0" w:noVBand="1" w:val="04A0"/>
      </w:tblPr>
      <w:tblGrid>
        <w:gridCol w:w="1520"/>
        <w:gridCol w:w="1520"/>
        <w:gridCol w:w="1520"/>
        <w:gridCol w:w="1520"/>
        <w:gridCol w:w="1520"/>
        <w:gridCol w:w="1520"/>
      </w:tblGrid>
      <w:tr>
        <w:tc>
          <w:tcPr>
            <w:tcW w:type="dxa" w:w="1134"/>
            <w:shd w:val="clear" w:color="auto" w:fill="1F4E79"/>
          </w:tcPr>
          <w:p>
            <w:r/>
            <w:r>
              <w:rPr>
                <w:b/>
                <w:color w:val="FFFFFF"/>
                <w:sz w:val="18"/>
              </w:rPr>
              <w:t>Alcance</w:t>
            </w:r>
          </w:p>
        </w:tc>
        <w:tc>
          <w:tcPr>
            <w:tcW w:type="dxa" w:w="850"/>
            <w:shd w:val="clear" w:color="auto" w:fill="1F4E79"/>
          </w:tcPr>
          <w:p>
            <w:r/>
            <w:r>
              <w:rPr>
                <w:b/>
                <w:color w:val="FFFFFF"/>
                <w:sz w:val="18"/>
              </w:rPr>
              <w:t>Hipotesis</w:t>
            </w:r>
          </w:p>
        </w:tc>
        <w:tc>
          <w:tcPr>
            <w:tcW w:type="dxa" w:w="1701"/>
            <w:shd w:val="clear" w:color="auto" w:fill="1F4E79"/>
          </w:tcPr>
          <w:p>
            <w:r/>
            <w:r>
              <w:rPr>
                <w:b/>
                <w:color w:val="FFFFFF"/>
                <w:sz w:val="18"/>
              </w:rPr>
              <w:t>Par</w:t>
            </w:r>
          </w:p>
        </w:tc>
        <w:tc>
          <w:tcPr>
            <w:tcW w:type="dxa" w:w="850"/>
            <w:shd w:val="clear" w:color="auto" w:fill="1F4E79"/>
          </w:tcPr>
          <w:p>
            <w:r/>
            <w:r>
              <w:rPr>
                <w:b/>
                <w:color w:val="FFFFFF"/>
                <w:sz w:val="18"/>
              </w:rPr>
              <w:t>U</w:t>
            </w:r>
          </w:p>
        </w:tc>
        <w:tc>
          <w:tcPr>
            <w:tcW w:type="dxa" w:w="850"/>
            <w:shd w:val="clear" w:color="auto" w:fill="1F4E79"/>
          </w:tcPr>
          <w:p>
            <w:r/>
            <w:r>
              <w:rPr>
                <w:b/>
                <w:color w:val="FFFFFF"/>
                <w:sz w:val="18"/>
              </w:rPr>
              <w:t>p</w:t>
            </w:r>
          </w:p>
        </w:tc>
        <w:tc>
          <w:tcPr>
            <w:tcW w:type="dxa" w:w="850"/>
            <w:shd w:val="clear" w:color="auto" w:fill="1F4E79"/>
          </w:tcPr>
          <w:p>
            <w:r/>
            <w:r>
              <w:rPr>
                <w:b/>
                <w:color w:val="FFFFFF"/>
                <w:sz w:val="18"/>
              </w:rPr>
              <w:t>Signif.</w:t>
            </w:r>
          </w:p>
        </w:tc>
      </w:tr>
      <w:tr>
        <w:tc>
          <w:tcPr>
            <w:tcW w:type="dxa" w:w="1134"/>
          </w:tcPr>
          <w:p>
            <w:r/>
            <w:r>
              <w:rPr>
                <w:sz w:val="18"/>
              </w:rPr>
              <w:t>OE.3 / E3</w:t>
            </w:r>
          </w:p>
        </w:tc>
        <w:tc>
          <w:tcPr>
            <w:tcW w:type="dxa" w:w="850"/>
          </w:tcPr>
          <w:p>
            <w:r/>
            <w:r>
              <w:rPr>
                <w:sz w:val="18"/>
              </w:rPr>
              <w:t>HE.3</w:t>
            </w:r>
          </w:p>
        </w:tc>
        <w:tc>
          <w:tcPr>
            <w:tcW w:type="dxa" w:w="1701"/>
          </w:tcPr>
          <w:p>
            <w:r/>
            <w:r>
              <w:rPr>
                <w:sz w:val="18"/>
              </w:rPr>
              <w:t>MASAC vs MATD3</w:t>
            </w:r>
          </w:p>
        </w:tc>
        <w:tc>
          <w:tcPr>
            <w:tcW w:type="dxa" w:w="850"/>
          </w:tcPr>
          <w:p>
            <w:r/>
            <w:r>
              <w:rPr>
                <w:sz w:val="18"/>
              </w:rPr>
              <w:t>276.000</w:t>
            </w:r>
          </w:p>
        </w:tc>
        <w:tc>
          <w:tcPr>
            <w:tcW w:type="dxa" w:w="850"/>
          </w:tcPr>
          <w:p>
            <w:r/>
            <w:r>
              <w:rPr>
                <w:sz w:val="18"/>
              </w:rPr>
              <w:t>0.2574</w:t>
            </w:r>
          </w:p>
        </w:tc>
        <w:tc>
          <w:tcPr>
            <w:tcW w:type="dxa" w:w="850"/>
          </w:tcPr>
          <w:p>
            <w:r/>
            <w:r>
              <w:rPr>
                <w:sz w:val="18"/>
              </w:rPr>
              <w:t>No</w:t>
            </w:r>
          </w:p>
        </w:tc>
      </w:tr>
      <w:tr>
        <w:tc>
          <w:tcPr>
            <w:tcW w:type="dxa" w:w="1134"/>
          </w:tcPr>
          <w:p>
            <w:r/>
            <w:r>
              <w:rPr>
                <w:sz w:val="18"/>
              </w:rPr>
              <w:t>OE.3 / E3</w:t>
            </w:r>
          </w:p>
        </w:tc>
        <w:tc>
          <w:tcPr>
            <w:tcW w:type="dxa" w:w="850"/>
          </w:tcPr>
          <w:p>
            <w:r/>
            <w:r>
              <w:rPr>
                <w:sz w:val="18"/>
              </w:rPr>
              <w:t>HE.3</w:t>
            </w:r>
          </w:p>
        </w:tc>
        <w:tc>
          <w:tcPr>
            <w:tcW w:type="dxa" w:w="1701"/>
          </w:tcPr>
          <w:p>
            <w:r/>
            <w:r>
              <w:rPr>
                <w:sz w:val="18"/>
              </w:rPr>
              <w:t>MASAC vs MAAC</w:t>
            </w:r>
          </w:p>
        </w:tc>
        <w:tc>
          <w:tcPr>
            <w:tcW w:type="dxa" w:w="850"/>
          </w:tcPr>
          <w:p>
            <w:r/>
            <w:r>
              <w:rPr>
                <w:sz w:val="18"/>
              </w:rPr>
              <w:t>271.000</w:t>
            </w:r>
          </w:p>
        </w:tc>
        <w:tc>
          <w:tcPr>
            <w:tcW w:type="dxa" w:w="850"/>
          </w:tcPr>
          <w:p>
            <w:r/>
            <w:r>
              <w:rPr>
                <w:sz w:val="18"/>
              </w:rPr>
              <w:t>0.2207</w:t>
            </w:r>
          </w:p>
        </w:tc>
        <w:tc>
          <w:tcPr>
            <w:tcW w:type="dxa" w:w="850"/>
          </w:tcPr>
          <w:p>
            <w:r/>
            <w:r>
              <w:rPr>
                <w:sz w:val="18"/>
              </w:rPr>
              <w:t>No</w:t>
            </w:r>
          </w:p>
        </w:tc>
      </w:tr>
      <w:tr>
        <w:tc>
          <w:tcPr>
            <w:tcW w:type="dxa" w:w="1134"/>
          </w:tcPr>
          <w:p>
            <w:r/>
            <w:r>
              <w:rPr>
                <w:sz w:val="18"/>
              </w:rPr>
              <w:t>OE.3 / E3</w:t>
            </w:r>
          </w:p>
        </w:tc>
        <w:tc>
          <w:tcPr>
            <w:tcW w:type="dxa" w:w="850"/>
          </w:tcPr>
          <w:p>
            <w:r/>
            <w:r>
              <w:rPr>
                <w:sz w:val="18"/>
              </w:rPr>
              <w:t>HE.3</w:t>
            </w:r>
          </w:p>
        </w:tc>
        <w:tc>
          <w:tcPr>
            <w:tcW w:type="dxa" w:w="1701"/>
          </w:tcPr>
          <w:p>
            <w:r/>
            <w:r>
              <w:rPr>
                <w:sz w:val="18"/>
              </w:rPr>
              <w:t>MATD3 vs MAAC</w:t>
            </w:r>
          </w:p>
        </w:tc>
        <w:tc>
          <w:tcPr>
            <w:tcW w:type="dxa" w:w="850"/>
          </w:tcPr>
          <w:p>
            <w:r/>
            <w:r>
              <w:rPr>
                <w:sz w:val="18"/>
              </w:rPr>
              <w:t>339.000</w:t>
            </w:r>
          </w:p>
        </w:tc>
        <w:tc>
          <w:tcPr>
            <w:tcW w:type="dxa" w:w="850"/>
          </w:tcPr>
          <w:p>
            <w:r/>
            <w:r>
              <w:rPr>
                <w:sz w:val="18"/>
              </w:rPr>
              <w:t>0.9927</w:t>
            </w:r>
          </w:p>
        </w:tc>
        <w:tc>
          <w:tcPr>
            <w:tcW w:type="dxa" w:w="850"/>
          </w:tcPr>
          <w:p>
            <w:r/>
            <w:r>
              <w:rPr>
                <w:sz w:val="18"/>
              </w:rPr>
              <w:t>No</w:t>
            </w:r>
          </w:p>
        </w:tc>
      </w:tr>
    </w:tbl>
    <w:p/>
    <w:p>
      <w:r>
        <w:rPr>
          <w:b/>
          <w:color w:val="595959"/>
          <w:sz w:val="19"/>
        </w:rPr>
        <w:t>Tabla 5.3.4d. Wilcoxon OE.3.</w:t>
      </w:r>
    </w:p>
    <w:tbl>
      <w:tblPr>
        <w:tblStyle w:val="LightGrid-Accent1"/>
        <w:tblW w:type="auto" w:w="0"/>
        <w:jc w:val="center"/>
        <w:tblLook w:firstColumn="1" w:firstRow="1" w:lastColumn="0" w:lastRow="0" w:noHBand="0" w:noVBand="1" w:val="04A0"/>
      </w:tblPr>
      <w:tblGrid>
        <w:gridCol w:w="3041"/>
        <w:gridCol w:w="3041"/>
        <w:gridCol w:w="3041"/>
      </w:tblGrid>
      <w:tr>
        <w:tc>
          <w:tcPr>
            <w:tcW w:type="dxa" w:w="1701"/>
            <w:shd w:val="clear" w:color="auto" w:fill="1F4E79"/>
          </w:tcPr>
          <w:p>
            <w:r/>
            <w:r>
              <w:rPr>
                <w:b/>
                <w:color w:val="FFFFFF"/>
                <w:sz w:val="18"/>
              </w:rPr>
              <w:t>Alcance</w:t>
            </w:r>
          </w:p>
        </w:tc>
        <w:tc>
          <w:tcPr>
            <w:tcW w:type="dxa" w:w="2835"/>
            <w:shd w:val="clear" w:color="auto" w:fill="1F4E79"/>
          </w:tcPr>
          <w:p>
            <w:r/>
            <w:r>
              <w:rPr>
                <w:b/>
                <w:color w:val="FFFFFF"/>
                <w:sz w:val="18"/>
              </w:rPr>
              <w:t>Par</w:t>
            </w:r>
          </w:p>
        </w:tc>
        <w:tc>
          <w:tcPr>
            <w:tcW w:type="dxa" w:w="1701"/>
            <w:shd w:val="clear" w:color="auto" w:fill="1F4E79"/>
          </w:tcPr>
          <w:p>
            <w:r/>
            <w:r>
              <w:rPr>
                <w:b/>
                <w:color w:val="FFFFFF"/>
                <w:sz w:val="18"/>
              </w:rPr>
              <w:t>p Wilcoxon</w:t>
            </w:r>
          </w:p>
        </w:tc>
      </w:tr>
      <w:tr>
        <w:tc>
          <w:tcPr>
            <w:tcW w:type="dxa" w:w="1701"/>
          </w:tcPr>
          <w:p>
            <w:r/>
            <w:r>
              <w:rPr>
                <w:sz w:val="18"/>
              </w:rPr>
              <w:t>OE3</w:t>
            </w:r>
          </w:p>
        </w:tc>
        <w:tc>
          <w:tcPr>
            <w:tcW w:type="dxa" w:w="2835"/>
          </w:tcPr>
          <w:p>
            <w:r/>
            <w:r>
              <w:rPr>
                <w:sz w:val="18"/>
              </w:rPr>
              <w:t>MASAC vs MAAC</w:t>
            </w:r>
          </w:p>
        </w:tc>
        <w:tc>
          <w:tcPr>
            <w:tcW w:type="dxa" w:w="1701"/>
          </w:tcPr>
          <w:p>
            <w:r/>
            <w:r>
              <w:rPr>
                <w:sz w:val="18"/>
              </w:rPr>
              <w:t>0.0333</w:t>
            </w:r>
          </w:p>
        </w:tc>
      </w:tr>
    </w:tbl>
    <w:p/>
    <w:p>
      <w:pPr>
        <w:pStyle w:val="Heading2"/>
      </w:pPr>
      <w:r>
        <w:t>5.4 Otros resultados</w:t>
      </w:r>
    </w:p>
    <w:p>
      <w:pPr>
        <w:jc w:val="both"/>
      </w:pPr>
      <w:r>
        <w:rPr>
          <w:rFonts w:ascii="Times New Roman" w:hAnsi="Times New Roman" w:cs="Times New Roman"/>
          <w:b w:val="0"/>
          <w:sz w:val="24"/>
        </w:rPr>
        <w:t>Tercer acapite. Resultados complementarios por objetivo (OG, OE.1, OE.2, OE.3) de forma independiente: convergencia, multiobjetivo distrito/edificio, baseline v2, TOPSIS como medida multicriterio formal adicional y control de recursos (C5). No sustituyen §5.2–§5.3 ni §5.5.</w:t>
      </w:r>
    </w:p>
    <w:p>
      <w:pPr>
        <w:pStyle w:val="Heading3"/>
      </w:pPr>
      <w:r>
        <w:t>5.4.1 OG — otros resultados (coordinacion multiobjetivo)</w:t>
      </w:r>
    </w:p>
    <w:p>
      <w:pPr>
        <w:jc w:val="both"/>
      </w:pPr>
      <w:r>
        <w:rPr>
          <w:rFonts w:ascii="Times New Roman" w:hAnsi="Times New Roman" w:cs="Times New Roman"/>
          <w:b w:val="0"/>
          <w:sz w:val="24"/>
        </w:rPr>
        <w:t>Complementos del OG (medidas de soporte multiobjetivo para H0G/H1G/OE): ranking global Drive, best/worst por escenario, KPIs multiobjetivo de distrito y TOPSIS/AHP como medida multicriterio formal adicional (C* MAAC ≈ 0,9827; 50 ep Drive, real_drive_50ep_c1c6). El criterio C5 (control de recursos) se detalla en §5.4.5.</w:t>
      </w:r>
    </w:p>
    <w:p>
      <w:r>
        <w:drawing>
          <wp:inline xmlns:a="http://schemas.openxmlformats.org/drawingml/2006/main" xmlns:pic="http://schemas.openxmlformats.org/drawingml/2006/picture">
            <wp:extent cx="6300000" cy="2423077"/>
            <wp:docPr id="5" name="Picture 5"/>
            <wp:cNvGraphicFramePr>
              <a:graphicFrameLocks noChangeAspect="1"/>
            </wp:cNvGraphicFramePr>
            <a:graphic>
              <a:graphicData uri="http://schemas.openxmlformats.org/drawingml/2006/picture">
                <pic:pic>
                  <pic:nvPicPr>
                    <pic:cNvPr id="0" name="comparativo_global_ranking_oe.png"/>
                    <pic:cNvPicPr/>
                  </pic:nvPicPr>
                  <pic:blipFill>
                    <a:blip r:embed="rId13"/>
                    <a:stretch>
                      <a:fillRect/>
                    </a:stretch>
                  </pic:blipFill>
                  <pic:spPr>
                    <a:xfrm>
                      <a:off x="0" y="0"/>
                      <a:ext cx="6300000" cy="2423077"/>
                    </a:xfrm>
                    <a:prstGeom prst="rect"/>
                  </pic:spPr>
                </pic:pic>
              </a:graphicData>
            </a:graphic>
          </wp:inline>
        </w:drawing>
      </w:r>
    </w:p>
    <w:p>
      <w:pPr>
        <w:jc w:val="center"/>
      </w:pPr>
      <w:r>
        <w:rPr>
          <w:i/>
          <w:color w:val="595959"/>
          <w:sz w:val="18"/>
        </w:rPr>
        <w:t>Figura 5.5. Ranking global OE.1/OE.2/OE.3 (OG).</w:t>
      </w:r>
    </w:p>
    <w:p/>
    <w:p>
      <w:r>
        <w:drawing>
          <wp:inline xmlns:a="http://schemas.openxmlformats.org/drawingml/2006/main" xmlns:pic="http://schemas.openxmlformats.org/drawingml/2006/picture">
            <wp:extent cx="6300000" cy="2520000"/>
            <wp:docPr id="6" name="Picture 6"/>
            <wp:cNvGraphicFramePr>
              <a:graphicFrameLocks noChangeAspect="1"/>
            </wp:cNvGraphicFramePr>
            <a:graphic>
              <a:graphicData uri="http://schemas.openxmlformats.org/drawingml/2006/picture">
                <pic:pic>
                  <pic:nvPicPr>
                    <pic:cNvPr id="0" name="comparativo_best_worst_por_escenario.png"/>
                    <pic:cNvPicPr/>
                  </pic:nvPicPr>
                  <pic:blipFill>
                    <a:blip r:embed="rId14"/>
                    <a:stretch>
                      <a:fillRect/>
                    </a:stretch>
                  </pic:blipFill>
                  <pic:spPr>
                    <a:xfrm>
                      <a:off x="0" y="0"/>
                      <a:ext cx="6300000" cy="2520000"/>
                    </a:xfrm>
                    <a:prstGeom prst="rect"/>
                  </pic:spPr>
                </pic:pic>
              </a:graphicData>
            </a:graphic>
          </wp:inline>
        </w:drawing>
      </w:r>
    </w:p>
    <w:p>
      <w:pPr>
        <w:jc w:val="center"/>
      </w:pPr>
      <w:r>
        <w:rPr>
          <w:i/>
          <w:color w:val="595959"/>
          <w:sz w:val="18"/>
        </w:rPr>
        <w:t>Figura 5.6. Mejor y peor MADRL por escenario.</w:t>
      </w:r>
    </w:p>
    <w:p/>
    <w:p>
      <w:r>
        <w:drawing>
          <wp:inline xmlns:a="http://schemas.openxmlformats.org/drawingml/2006/main" xmlns:pic="http://schemas.openxmlformats.org/drawingml/2006/picture">
            <wp:extent cx="6300000" cy="2180769"/>
            <wp:docPr id="7" name="Picture 7"/>
            <wp:cNvGraphicFramePr>
              <a:graphicFrameLocks noChangeAspect="1"/>
            </wp:cNvGraphicFramePr>
            <a:graphic>
              <a:graphicData uri="http://schemas.openxmlformats.org/drawingml/2006/picture">
                <pic:pic>
                  <pic:nvPicPr>
                    <pic:cNvPr id="0" name="drive_district_objectives.png"/>
                    <pic:cNvPicPr/>
                  </pic:nvPicPr>
                  <pic:blipFill>
                    <a:blip r:embed="rId9"/>
                    <a:stretch>
                      <a:fillRect/>
                    </a:stretch>
                  </pic:blipFill>
                  <pic:spPr>
                    <a:xfrm>
                      <a:off x="0" y="0"/>
                      <a:ext cx="6300000" cy="2180769"/>
                    </a:xfrm>
                    <a:prstGeom prst="rect"/>
                  </pic:spPr>
                </pic:pic>
              </a:graphicData>
            </a:graphic>
          </wp:inline>
        </w:drawing>
      </w:r>
    </w:p>
    <w:p>
      <w:pPr>
        <w:jc w:val="center"/>
      </w:pPr>
      <w:r>
        <w:rPr>
          <w:i/>
          <w:color w:val="595959"/>
          <w:sz w:val="18"/>
        </w:rPr>
        <w:t>Figura 5.7. KPIs multiobjetivo a nivel distrito (C3).</w:t>
      </w:r>
    </w:p>
    <w:p/>
    <w:p>
      <w:r>
        <w:rPr>
          <w:rFonts w:ascii="Times New Roman" w:hAnsi="Times New Roman" w:cs="Times New Roman"/>
          <w:b w:val="0"/>
          <w:sz w:val="24"/>
        </w:rPr>
        <w:t>Tabla 5.4.1. TOPSIS — medida multicriterio formal adicional (madrl_multicriteria_selection; C* canónicos; complementa OG/OE/HE junto a evaluate_v2).</w:t>
      </w:r>
    </w:p>
    <w:tbl>
      <w:tblPr>
        <w:tblStyle w:val="LightGrid-Accent1"/>
        <w:tblW w:type="auto" w:w="0"/>
        <w:jc w:val="center"/>
        <w:tblLook w:firstColumn="1" w:firstRow="1" w:lastColumn="0" w:lastRow="0" w:noHBand="0" w:noVBand="1" w:val="04A0"/>
      </w:tblPr>
      <w:tblGrid>
        <w:gridCol w:w="3041"/>
        <w:gridCol w:w="3041"/>
        <w:gridCol w:w="3041"/>
      </w:tblGrid>
      <w:tr>
        <w:tc>
          <w:tcPr>
            <w:tcW w:type="dxa" w:w="1134"/>
            <w:shd w:val="clear" w:color="auto" w:fill="1F4E79"/>
          </w:tcPr>
          <w:p>
            <w:r/>
            <w:r>
              <w:rPr>
                <w:b/>
                <w:color w:val="FFFFFF"/>
                <w:sz w:val="18"/>
              </w:rPr>
              <w:t>Rank</w:t>
            </w:r>
          </w:p>
        </w:tc>
        <w:tc>
          <w:tcPr>
            <w:tcW w:type="dxa" w:w="2268"/>
            <w:shd w:val="clear" w:color="auto" w:fill="1F4E79"/>
          </w:tcPr>
          <w:p>
            <w:r/>
            <w:r>
              <w:rPr>
                <w:b/>
                <w:color w:val="FFFFFF"/>
                <w:sz w:val="18"/>
              </w:rPr>
              <w:t>Algoritmo</w:t>
            </w:r>
          </w:p>
        </w:tc>
        <w:tc>
          <w:tcPr>
            <w:tcW w:type="dxa" w:w="2268"/>
            <w:shd w:val="clear" w:color="auto" w:fill="1F4E79"/>
          </w:tcPr>
          <w:p>
            <w:r/>
            <w:r>
              <w:rPr>
                <w:b/>
                <w:color w:val="FFFFFF"/>
                <w:sz w:val="18"/>
              </w:rPr>
              <w:t>C* TOPSIS</w:t>
            </w:r>
          </w:p>
        </w:tc>
      </w:tr>
      <w:tr>
        <w:tc>
          <w:tcPr>
            <w:tcW w:type="dxa" w:w="1134"/>
          </w:tcPr>
          <w:p>
            <w:r/>
            <w:r>
              <w:rPr>
                <w:sz w:val="18"/>
              </w:rPr>
              <w:t>1</w:t>
            </w:r>
          </w:p>
        </w:tc>
        <w:tc>
          <w:tcPr>
            <w:tcW w:type="dxa" w:w="2268"/>
          </w:tcPr>
          <w:p>
            <w:r/>
            <w:r>
              <w:rPr>
                <w:sz w:val="18"/>
              </w:rPr>
              <w:t>MAAC</w:t>
            </w:r>
          </w:p>
        </w:tc>
        <w:tc>
          <w:tcPr>
            <w:tcW w:type="dxa" w:w="2268"/>
          </w:tcPr>
          <w:p>
            <w:r>
              <w:t>0.9827</w:t>
            </w:r>
          </w:p>
        </w:tc>
      </w:tr>
      <w:tr>
        <w:tc>
          <w:tcPr>
            <w:tcW w:type="dxa" w:w="1134"/>
          </w:tcPr>
          <w:p>
            <w:r/>
            <w:r>
              <w:rPr>
                <w:sz w:val="18"/>
              </w:rPr>
              <w:t>2</w:t>
            </w:r>
          </w:p>
        </w:tc>
        <w:tc>
          <w:tcPr>
            <w:tcW w:type="dxa" w:w="2268"/>
          </w:tcPr>
          <w:p>
            <w:r/>
            <w:r>
              <w:rPr>
                <w:sz w:val="18"/>
              </w:rPr>
              <w:t>MASAC</w:t>
            </w:r>
          </w:p>
        </w:tc>
        <w:tc>
          <w:tcPr>
            <w:tcW w:type="dxa" w:w="2268"/>
          </w:tcPr>
          <w:p>
            <w:r>
              <w:t>0.5656</w:t>
            </w:r>
          </w:p>
        </w:tc>
      </w:tr>
      <w:tr>
        <w:tc>
          <w:tcPr>
            <w:tcW w:type="dxa" w:w="1134"/>
          </w:tcPr>
          <w:p>
            <w:r/>
            <w:r>
              <w:rPr>
                <w:sz w:val="18"/>
              </w:rPr>
              <w:t>3</w:t>
            </w:r>
          </w:p>
        </w:tc>
        <w:tc>
          <w:tcPr>
            <w:tcW w:type="dxa" w:w="2268"/>
          </w:tcPr>
          <w:p>
            <w:r/>
            <w:r>
              <w:rPr>
                <w:sz w:val="18"/>
              </w:rPr>
              <w:t>MATD3</w:t>
            </w:r>
          </w:p>
        </w:tc>
        <w:tc>
          <w:tcPr>
            <w:tcW w:type="dxa" w:w="2268"/>
          </w:tcPr>
          <w:p>
            <w:r>
              <w:t>0.3074</w:t>
            </w:r>
          </w:p>
        </w:tc>
      </w:tr>
    </w:tbl>
    <w:p/>
    <w:p>
      <w:r>
        <w:rPr>
          <w:rFonts w:ascii="Times New Roman" w:hAnsi="Times New Roman" w:cs="Times New Roman"/>
          <w:i w:val="0"/>
          <w:sz w:val="24"/>
        </w:rPr>
        <w:t>Performance comparison por MADRL (distrito y edificio). Cada figura resume, sobre los 50 episodios Drive, (i) el efecto primario distrital vs baseline de los cuatro algoritmos en E1/E2/E3, con el algoritmo focal resaltado, y (ii) la heterogeneidad de los 17 edificios Iquitos en el KPI del eje. Lectura: en distrito, % negativo indica empeoramiento vs baseline; en edificio, Δ negativo indica reducción local. Son resultados descriptivos; no deciden HE10–HE31.</w:t>
      </w:r>
    </w:p>
    <w:p>
      <w:pPr>
        <w:jc w:val="center"/>
      </w:pPr>
      <w:r>
        <w:drawing>
          <wp:inline xmlns:a="http://schemas.openxmlformats.org/drawingml/2006/main" xmlns:pic="http://schemas.openxmlformats.org/drawingml/2006/picture">
            <wp:extent cx="5580000" cy="2976000"/>
            <wp:docPr id="50" name="Picture 50"/>
            <wp:cNvGraphicFramePr>
              <a:graphicFrameLocks noChangeAspect="1"/>
            </wp:cNvGraphicFramePr>
            <a:graphic>
              <a:graphicData uri="http://schemas.openxmlformats.org/drawingml/2006/picture">
                <pic:pic>
                  <pic:nvPicPr>
                    <pic:cNvPr id="0" name="MATD3_performance_comparison.png"/>
                    <pic:cNvPicPr/>
                  </pic:nvPicPr>
                  <pic:blipFill>
                    <a:blip r:embed="rId76"/>
                    <a:stretch>
                      <a:fillRect/>
                    </a:stretch>
                  </pic:blipFill>
                  <pic:spPr>
                    <a:xfrm>
                      <a:off x="0" y="0"/>
                      <a:ext cx="5580000" cy="2976000"/>
                    </a:xfrm>
                    <a:prstGeom prst="rect"/>
                  </pic:spPr>
                </pic:pic>
              </a:graphicData>
            </a:graphic>
          </wp:inline>
        </w:drawing>
      </w:r>
    </w:p>
    <w:p>
      <w:pPr>
        <w:jc w:val="center"/>
      </w:pPr>
      <w:r>
        <w:rPr>
          <w:rFonts w:ascii="Times New Roman" w:hAnsi="Times New Roman" w:cs="Times New Roman"/>
          <w:i/>
          <w:color w:val="555555"/>
          <w:sz w:val="18"/>
        </w:rPr>
        <w:t>Figura 5.3e. Performance comparison — MATD3 (distrito + edificio, E1–E3).</w:t>
      </w:r>
    </w:p>
    <w:p>
      <w:pPr>
        <w:jc w:val="center"/>
      </w:pPr>
      <w:r>
        <w:drawing>
          <wp:inline xmlns:a="http://schemas.openxmlformats.org/drawingml/2006/main" xmlns:pic="http://schemas.openxmlformats.org/drawingml/2006/picture">
            <wp:extent cx="5580000" cy="2976000"/>
            <wp:docPr id="51" name="Picture 51"/>
            <wp:cNvGraphicFramePr>
              <a:graphicFrameLocks noChangeAspect="1"/>
            </wp:cNvGraphicFramePr>
            <a:graphic>
              <a:graphicData uri="http://schemas.openxmlformats.org/drawingml/2006/picture">
                <pic:pic>
                  <pic:nvPicPr>
                    <pic:cNvPr id="0" name="MAAC_performance_comparison.png"/>
                    <pic:cNvPicPr/>
                  </pic:nvPicPr>
                  <pic:blipFill>
                    <a:blip r:embed="rId77"/>
                    <a:stretch>
                      <a:fillRect/>
                    </a:stretch>
                  </pic:blipFill>
                  <pic:spPr>
                    <a:xfrm>
                      <a:off x="0" y="0"/>
                      <a:ext cx="5580000" cy="2976000"/>
                    </a:xfrm>
                    <a:prstGeom prst="rect"/>
                  </pic:spPr>
                </pic:pic>
              </a:graphicData>
            </a:graphic>
          </wp:inline>
        </w:drawing>
      </w:r>
    </w:p>
    <w:p>
      <w:pPr>
        <w:jc w:val="center"/>
      </w:pPr>
      <w:r>
        <w:rPr>
          <w:rFonts w:ascii="Times New Roman" w:hAnsi="Times New Roman" w:cs="Times New Roman"/>
          <w:i/>
          <w:color w:val="555555"/>
          <w:sz w:val="18"/>
        </w:rPr>
        <w:t>Figura 5.3f. Performance comparison — MAAC (distrito + edificio, E1–E3).</w:t>
      </w:r>
    </w:p>
    <w:p>
      <w:pPr>
        <w:jc w:val="center"/>
      </w:pPr>
      <w:r>
        <w:drawing>
          <wp:inline xmlns:a="http://schemas.openxmlformats.org/drawingml/2006/main" xmlns:pic="http://schemas.openxmlformats.org/drawingml/2006/picture">
            <wp:extent cx="5580000" cy="2976000"/>
            <wp:docPr id="52" name="Picture 52"/>
            <wp:cNvGraphicFramePr>
              <a:graphicFrameLocks noChangeAspect="1"/>
            </wp:cNvGraphicFramePr>
            <a:graphic>
              <a:graphicData uri="http://schemas.openxmlformats.org/drawingml/2006/picture">
                <pic:pic>
                  <pic:nvPicPr>
                    <pic:cNvPr id="0" name="MASAC_performance_comparison.png"/>
                    <pic:cNvPicPr/>
                  </pic:nvPicPr>
                  <pic:blipFill>
                    <a:blip r:embed="rId78"/>
                    <a:stretch>
                      <a:fillRect/>
                    </a:stretch>
                  </pic:blipFill>
                  <pic:spPr>
                    <a:xfrm>
                      <a:off x="0" y="0"/>
                      <a:ext cx="5580000" cy="2976000"/>
                    </a:xfrm>
                    <a:prstGeom prst="rect"/>
                  </pic:spPr>
                </pic:pic>
              </a:graphicData>
            </a:graphic>
          </wp:inline>
        </w:drawing>
      </w:r>
    </w:p>
    <w:p>
      <w:pPr>
        <w:jc w:val="center"/>
      </w:pPr>
      <w:r>
        <w:rPr>
          <w:rFonts w:ascii="Times New Roman" w:hAnsi="Times New Roman" w:cs="Times New Roman"/>
          <w:i/>
          <w:color w:val="555555"/>
          <w:sz w:val="18"/>
        </w:rPr>
        <w:t>Figura 5.3g. Performance comparison — MASAC (distrito + edificio, E1–E3).</w:t>
      </w:r>
    </w:p>
    <w:p>
      <w:pPr>
        <w:jc w:val="center"/>
      </w:pPr>
      <w:r>
        <w:drawing>
          <wp:inline xmlns:a="http://schemas.openxmlformats.org/drawingml/2006/main" xmlns:pic="http://schemas.openxmlformats.org/drawingml/2006/picture">
            <wp:extent cx="5580000" cy="2976000"/>
            <wp:docPr id="53" name="Picture 53"/>
            <wp:cNvGraphicFramePr>
              <a:graphicFrameLocks noChangeAspect="1"/>
            </wp:cNvGraphicFramePr>
            <a:graphic>
              <a:graphicData uri="http://schemas.openxmlformats.org/drawingml/2006/picture">
                <pic:pic>
                  <pic:nvPicPr>
                    <pic:cNvPr id="0" name="HAPPO_performance_comparison.png"/>
                    <pic:cNvPicPr/>
                  </pic:nvPicPr>
                  <pic:blipFill>
                    <a:blip r:embed="rId79"/>
                    <a:stretch>
                      <a:fillRect/>
                    </a:stretch>
                  </pic:blipFill>
                  <pic:spPr>
                    <a:xfrm>
                      <a:off x="0" y="0"/>
                      <a:ext cx="5580000" cy="2976000"/>
                    </a:xfrm>
                    <a:prstGeom prst="rect"/>
                  </pic:spPr>
                </pic:pic>
              </a:graphicData>
            </a:graphic>
          </wp:inline>
        </w:drawing>
      </w:r>
    </w:p>
    <w:p>
      <w:pPr>
        <w:jc w:val="center"/>
      </w:pPr>
      <w:r>
        <w:rPr>
          <w:rFonts w:ascii="Times New Roman" w:hAnsi="Times New Roman" w:cs="Times New Roman"/>
          <w:i/>
          <w:color w:val="555555"/>
          <w:sz w:val="18"/>
        </w:rPr>
        <w:t>Figura 5.3h. Performance comparison — HAPPO (distrito + edificio, E1–E3).</w:t>
      </w:r>
    </w:p>
    <w:p>
      <w:r>
        <w:rPr>
          <w:rFonts w:ascii="Times New Roman" w:hAnsi="Times New Roman" w:cs="Times New Roman"/>
          <w:i/>
          <w:sz w:val="18"/>
        </w:rPr>
        <w:t>Nota. Archivos en outputs/.../performance_comparison/{ALGO}_performance_comparison.png; también existe performance_comparison.png por job en {ALGO}/{E}/figures/. Mapping: performance_comparison_mapping.md.</w:t>
      </w:r>
    </w:p>
    <w:p>
      <w:r>
        <w:drawing>
          <wp:inline xmlns:a="http://schemas.openxmlformats.org/drawingml/2006/main" xmlns:pic="http://schemas.openxmlformats.org/drawingml/2006/picture">
            <wp:extent cx="6300000" cy="3657345"/>
            <wp:docPr id="8" name="Picture 8"/>
            <wp:cNvGraphicFramePr>
              <a:graphicFrameLocks noChangeAspect="1"/>
            </wp:cNvGraphicFramePr>
            <a:graphic>
              <a:graphicData uri="http://schemas.openxmlformats.org/drawingml/2006/picture">
                <pic:pic>
                  <pic:nvPicPr>
                    <pic:cNvPr id="0" name="pareto_cost_co2_flex.png"/>
                    <pic:cNvPicPr/>
                  </pic:nvPicPr>
                  <pic:blipFill>
                    <a:blip r:embed="rId15"/>
                    <a:stretch>
                      <a:fillRect/>
                    </a:stretch>
                  </pic:blipFill>
                  <pic:spPr>
                    <a:xfrm>
                      <a:off x="0" y="0"/>
                      <a:ext cx="6300000" cy="3657345"/>
                    </a:xfrm>
                    <a:prstGeom prst="rect"/>
                  </pic:spPr>
                </pic:pic>
              </a:graphicData>
            </a:graphic>
          </wp:inline>
        </w:drawing>
      </w:r>
    </w:p>
    <w:p>
      <w:pPr>
        <w:jc w:val="center"/>
      </w:pPr>
      <w:r>
        <w:t>Figura 5.8. Multicriterio — frente de Pareto costo-CO2-flexibilidad (Drive 50 ep).</w:t>
      </w:r>
    </w:p>
    <w:p/>
    <w:p>
      <w:r>
        <w:drawing>
          <wp:inline xmlns:a="http://schemas.openxmlformats.org/drawingml/2006/main" xmlns:pic="http://schemas.openxmlformats.org/drawingml/2006/picture">
            <wp:extent cx="6300000" cy="3881884"/>
            <wp:docPr id="9" name="Picture 9"/>
            <wp:cNvGraphicFramePr>
              <a:graphicFrameLocks noChangeAspect="1"/>
            </wp:cNvGraphicFramePr>
            <a:graphic>
              <a:graphicData uri="http://schemas.openxmlformats.org/drawingml/2006/picture">
                <pic:pic>
                  <pic:nvPicPr>
                    <pic:cNvPr id="0" name="learning_curves.png"/>
                    <pic:cNvPicPr/>
                  </pic:nvPicPr>
                  <pic:blipFill>
                    <a:blip r:embed="rId16"/>
                    <a:stretch>
                      <a:fillRect/>
                    </a:stretch>
                  </pic:blipFill>
                  <pic:spPr>
                    <a:xfrm>
                      <a:off x="0" y="0"/>
                      <a:ext cx="6300000" cy="3881884"/>
                    </a:xfrm>
                    <a:prstGeom prst="rect"/>
                  </pic:spPr>
                </pic:pic>
              </a:graphicData>
            </a:graphic>
          </wp:inline>
        </w:drawing>
      </w:r>
    </w:p>
    <w:p>
      <w:pPr>
        <w:jc w:val="center"/>
      </w:pPr>
      <w:r>
        <w:rPr>
          <w:i/>
          <w:color w:val="595959"/>
          <w:sz w:val="18"/>
        </w:rPr>
        <w:t>Figura 5.9. Multicriterio — curvas de aprendizaje (50 episodios).</w:t>
      </w:r>
    </w:p>
    <w:p/>
    <w:p>
      <w:r>
        <w:drawing>
          <wp:inline xmlns:a="http://schemas.openxmlformats.org/drawingml/2006/main" xmlns:pic="http://schemas.openxmlformats.org/drawingml/2006/picture">
            <wp:extent cx="6300000" cy="3768427"/>
            <wp:docPr id="10" name="Picture 10"/>
            <wp:cNvGraphicFramePr>
              <a:graphicFrameLocks noChangeAspect="1"/>
            </wp:cNvGraphicFramePr>
            <a:graphic>
              <a:graphicData uri="http://schemas.openxmlformats.org/drawingml/2006/picture">
                <pic:pic>
                  <pic:nvPicPr>
                    <pic:cNvPr id="0" name="degradation_bars.png"/>
                    <pic:cNvPicPr/>
                  </pic:nvPicPr>
                  <pic:blipFill>
                    <a:blip r:embed="rId17"/>
                    <a:stretch>
                      <a:fillRect/>
                    </a:stretch>
                  </pic:blipFill>
                  <pic:spPr>
                    <a:xfrm>
                      <a:off x="0" y="0"/>
                      <a:ext cx="6300000" cy="3768427"/>
                    </a:xfrm>
                    <a:prstGeom prst="rect"/>
                  </pic:spPr>
                </pic:pic>
              </a:graphicData>
            </a:graphic>
          </wp:inline>
        </w:drawing>
      </w:r>
    </w:p>
    <w:p>
      <w:pPr>
        <w:jc w:val="center"/>
      </w:pPr>
      <w:r>
        <w:rPr>
          <w:i/>
          <w:color w:val="595959"/>
          <w:sz w:val="18"/>
        </w:rPr>
        <w:t>Figura 5.10. Multicriterio — barras de degradación.</w:t>
      </w:r>
    </w:p>
    <w:p/>
    <w:p>
      <w:pPr>
        <w:pStyle w:val="Heading3"/>
      </w:pPr>
      <w:r>
        <w:rPr>
          <w:rFonts w:ascii="Times New Roman" w:hAnsi="Times New Roman" w:cs="Times New Roman"/>
          <w:b/>
          <w:i w:val="0"/>
          <w:sz w:val="28"/>
        </w:rPr>
        <w:t>5.4.1-bis Catálogo completo de figuras (multicriterio + performance distrito/edificio)</w:t>
      </w:r>
    </w:p>
    <w:p>
      <w:r>
        <w:rPr>
          <w:rFonts w:ascii="Times New Roman" w:hAnsi="Times New Roman" w:cs="Times New Roman"/>
          <w:b w:val="0"/>
          <w:sz w:val="24"/>
        </w:rPr>
        <w:t>Integración completa — sin parciales — de artefactos reales de la corrida madrl_v3_20260627_164047 (50 episodios). Incluye multicriterio TOPSIS/AHP, resúmenes performance_comparison por MADRL y el catálogo íntegro por job (150 PNG en {ALGO}/{E}/figures/ + 3 multicriterio + 4 resúmenes). Incluye TOPSIS como medida multicriterio formal adicional para OG/OE/HE; complementa §5.3 y §5.5 (KPI-gains) sin sustituir el omnibus.</w:t>
      </w:r>
    </w:p>
    <w:p>
      <w:r>
        <w:rPr>
          <w:rFonts w:ascii="Times New Roman" w:hAnsi="Times New Roman" w:cs="Times New Roman"/>
          <w:b w:val="0"/>
          <w:i/>
          <w:color w:val="555555"/>
          <w:sz w:val="16"/>
        </w:rPr>
        <w:t>CATALOGO_COMPLETO_FIGURAS_PERFORMANCE_50EP</w:t>
      </w:r>
    </w:p>
    <w:p>
      <w:r>
        <w:rPr>
          <w:rFonts w:ascii="Times New Roman" w:hAnsi="Times New Roman" w:cs="Times New Roman"/>
          <w:b/>
          <w:i w:val="0"/>
          <w:sz w:val="24"/>
        </w:rPr>
        <w:t>A. Selección multicriterio (TOPSIS/AHP) — figuras</w:t>
      </w:r>
    </w:p>
    <w:p>
      <w:r>
        <w:t>Complemento visual de la Tabla 5.4.1 TOPSIS. Pareto, curvas de aprendizaje y gap early–late (C6) regenerados 100% desde Drive 50 ep (madrl_v3_20260627_164047: district_objectives + episode_summary); exclusivamente con evidencia Drive 50 ep.</w:t>
      </w:r>
    </w:p>
    <w:p>
      <w:pPr>
        <w:jc w:val="center"/>
      </w:pPr>
      <w:r>
        <w:drawing>
          <wp:inline xmlns:a="http://schemas.openxmlformats.org/drawingml/2006/main" xmlns:pic="http://schemas.openxmlformats.org/drawingml/2006/picture">
            <wp:extent cx="5220000" cy="3030372"/>
            <wp:docPr id="54" name="Picture 54"/>
            <wp:cNvGraphicFramePr>
              <a:graphicFrameLocks noChangeAspect="1"/>
            </wp:cNvGraphicFramePr>
            <a:graphic>
              <a:graphicData uri="http://schemas.openxmlformats.org/drawingml/2006/picture">
                <pic:pic>
                  <pic:nvPicPr>
                    <pic:cNvPr id="0" name="image.png"/>
                    <pic:cNvPicPr/>
                  </pic:nvPicPr>
                  <pic:blipFill>
                    <a:blip r:embed="rId68"/>
                    <a:stretch>
                      <a:fillRect/>
                    </a:stretch>
                  </pic:blipFill>
                  <pic:spPr>
                    <a:xfrm>
                      <a:off x="0" y="0"/>
                      <a:ext cx="5220000" cy="3030372"/>
                    </a:xfrm>
                    <a:prstGeom prst="rect"/>
                  </pic:spPr>
                </pic:pic>
              </a:graphicData>
            </a:graphic>
          </wp:inline>
        </w:drawing>
      </w:r>
    </w:p>
    <w:p>
      <w:pPr>
        <w:jc w:val="center"/>
      </w:pPr>
      <w:r>
        <w:t>Figura MC.1. Multicriterio — frente de Pareto costo-CO2-flexibilidad (Drive 50 ep).</w:t>
      </w:r>
    </w:p>
    <w:p>
      <w:pPr>
        <w:jc w:val="center"/>
      </w:pPr>
      <w:r>
        <w:drawing>
          <wp:inline xmlns:a="http://schemas.openxmlformats.org/drawingml/2006/main" xmlns:pic="http://schemas.openxmlformats.org/drawingml/2006/picture">
            <wp:extent cx="5220000" cy="3216418"/>
            <wp:docPr id="55" name="Picture 55"/>
            <wp:cNvGraphicFramePr>
              <a:graphicFrameLocks noChangeAspect="1"/>
            </wp:cNvGraphicFramePr>
            <a:graphic>
              <a:graphicData uri="http://schemas.openxmlformats.org/drawingml/2006/picture">
                <pic:pic>
                  <pic:nvPicPr>
                    <pic:cNvPr id="0" name="image.png"/>
                    <pic:cNvPicPr/>
                  </pic:nvPicPr>
                  <pic:blipFill>
                    <a:blip r:embed="rId69"/>
                    <a:stretch>
                      <a:fillRect/>
                    </a:stretch>
                  </pic:blipFill>
                  <pic:spPr>
                    <a:xfrm>
                      <a:off x="0" y="0"/>
                      <a:ext cx="5220000" cy="3216418"/>
                    </a:xfrm>
                    <a:prstGeom prst="rect"/>
                  </pic:spPr>
                </pic:pic>
              </a:graphicData>
            </a:graphic>
          </wp:inline>
        </w:drawing>
      </w:r>
    </w:p>
    <w:p>
      <w:pPr>
        <w:jc w:val="center"/>
      </w:pPr>
      <w:r>
        <w:t>Figura MC.2. Multicriterio — curvas de aprendizaje reales (Drive 50 episodios).</w:t>
      </w:r>
    </w:p>
    <w:p>
      <w:pPr>
        <w:jc w:val="center"/>
      </w:pPr>
      <w:r>
        <w:drawing>
          <wp:inline xmlns:a="http://schemas.openxmlformats.org/drawingml/2006/main" xmlns:pic="http://schemas.openxmlformats.org/drawingml/2006/picture">
            <wp:extent cx="5220000" cy="3122411"/>
            <wp:docPr id="56" name="Picture 56"/>
            <wp:cNvGraphicFramePr>
              <a:graphicFrameLocks noChangeAspect="1"/>
            </wp:cNvGraphicFramePr>
            <a:graphic>
              <a:graphicData uri="http://schemas.openxmlformats.org/drawingml/2006/picture">
                <pic:pic>
                  <pic:nvPicPr>
                    <pic:cNvPr id="0" name="image.png"/>
                    <pic:cNvPicPr/>
                  </pic:nvPicPr>
                  <pic:blipFill>
                    <a:blip r:embed="rId70"/>
                    <a:stretch>
                      <a:fillRect/>
                    </a:stretch>
                  </pic:blipFill>
                  <pic:spPr>
                    <a:xfrm>
                      <a:off x="0" y="0"/>
                      <a:ext cx="5220000" cy="3122411"/>
                    </a:xfrm>
                    <a:prstGeom prst="rect"/>
                  </pic:spPr>
                </pic:pic>
              </a:graphicData>
            </a:graphic>
          </wp:inline>
        </w:drawing>
      </w:r>
    </w:p>
    <w:p>
      <w:pPr>
        <w:jc w:val="center"/>
      </w:pPr>
      <w:r>
        <w:t>Figura MC.3. Multicriterio — gap early-late de reward episodico (C6, Drive 50 ep).</w:t>
      </w:r>
    </w:p>
    <w:p>
      <w:r>
        <w:rPr>
          <w:rFonts w:ascii="Times New Roman" w:hAnsi="Times New Roman" w:cs="Times New Roman"/>
          <w:b/>
          <w:i w:val="0"/>
          <w:sz w:val="24"/>
        </w:rPr>
        <w:t>B. Performance comparison por MADRL (distrito + edificio, E1–E3)</w:t>
      </w:r>
    </w:p>
    <w:p>
      <w:r>
        <w:rPr>
          <w:rFonts w:ascii="Times New Roman" w:hAnsi="Times New Roman" w:cs="Times New Roman"/>
          <w:b w:val="0"/>
          <w:i w:val="0"/>
          <w:sz w:val="24"/>
        </w:rPr>
        <w:t>Una figura por algoritmo: fila superior = efecto distrital % vs baseline de los cuatro MADRL (focal resaltado); fila inferior = heterogeneidad de 17 edificios.</w:t>
      </w:r>
    </w:p>
    <w:p>
      <w:pPr>
        <w:jc w:val="center"/>
      </w:pPr>
      <w:r>
        <w:drawing>
          <wp:inline xmlns:a="http://schemas.openxmlformats.org/drawingml/2006/main" xmlns:pic="http://schemas.openxmlformats.org/drawingml/2006/picture">
            <wp:extent cx="5580000" cy="2976000"/>
            <wp:docPr id="57" name="Picture 57"/>
            <wp:cNvGraphicFramePr>
              <a:graphicFrameLocks noChangeAspect="1"/>
            </wp:cNvGraphicFramePr>
            <a:graphic>
              <a:graphicData uri="http://schemas.openxmlformats.org/drawingml/2006/picture">
                <pic:pic>
                  <pic:nvPicPr>
                    <pic:cNvPr id="0" name="image.png"/>
                    <pic:cNvPicPr/>
                  </pic:nvPicPr>
                  <pic:blipFill>
                    <a:blip r:embed="rId76"/>
                    <a:stretch>
                      <a:fillRect/>
                    </a:stretch>
                  </pic:blipFill>
                  <pic:spPr>
                    <a:xfrm>
                      <a:off x="0" y="0"/>
                      <a:ext cx="5580000" cy="2976000"/>
                    </a:xfrm>
                    <a:prstGeom prst="rect"/>
                  </pic:spPr>
                </pic:pic>
              </a:graphicData>
            </a:graphic>
          </wp:inline>
        </w:drawing>
      </w:r>
    </w:p>
    <w:p>
      <w:pPr>
        <w:jc w:val="center"/>
      </w:pPr>
      <w:r>
        <w:rPr>
          <w:rFonts w:ascii="Times New Roman" w:hAnsi="Times New Roman" w:cs="Times New Roman"/>
          <w:b w:val="0"/>
          <w:i/>
          <w:color w:val="555555"/>
          <w:sz w:val="18"/>
        </w:rPr>
        <w:t>Figura PC-MATD3. Performance comparison — MATD3 (distrito + edificio, E1–E3).</w:t>
      </w:r>
    </w:p>
    <w:p>
      <w:pPr>
        <w:jc w:val="center"/>
      </w:pPr>
      <w:r>
        <w:drawing>
          <wp:inline xmlns:a="http://schemas.openxmlformats.org/drawingml/2006/main" xmlns:pic="http://schemas.openxmlformats.org/drawingml/2006/picture">
            <wp:extent cx="5580000" cy="2976000"/>
            <wp:docPr id="58" name="Picture 58"/>
            <wp:cNvGraphicFramePr>
              <a:graphicFrameLocks noChangeAspect="1"/>
            </wp:cNvGraphicFramePr>
            <a:graphic>
              <a:graphicData uri="http://schemas.openxmlformats.org/drawingml/2006/picture">
                <pic:pic>
                  <pic:nvPicPr>
                    <pic:cNvPr id="0" name="image.png"/>
                    <pic:cNvPicPr/>
                  </pic:nvPicPr>
                  <pic:blipFill>
                    <a:blip r:embed="rId77"/>
                    <a:stretch>
                      <a:fillRect/>
                    </a:stretch>
                  </pic:blipFill>
                  <pic:spPr>
                    <a:xfrm>
                      <a:off x="0" y="0"/>
                      <a:ext cx="5580000" cy="2976000"/>
                    </a:xfrm>
                    <a:prstGeom prst="rect"/>
                  </pic:spPr>
                </pic:pic>
              </a:graphicData>
            </a:graphic>
          </wp:inline>
        </w:drawing>
      </w:r>
    </w:p>
    <w:p>
      <w:pPr>
        <w:jc w:val="center"/>
      </w:pPr>
      <w:r>
        <w:rPr>
          <w:rFonts w:ascii="Times New Roman" w:hAnsi="Times New Roman" w:cs="Times New Roman"/>
          <w:b w:val="0"/>
          <w:i/>
          <w:color w:val="555555"/>
          <w:sz w:val="18"/>
        </w:rPr>
        <w:t>Figura PC-MAAC. Performance comparison — MAAC (distrito + edificio, E1–E3).</w:t>
      </w:r>
    </w:p>
    <w:p>
      <w:pPr>
        <w:jc w:val="center"/>
      </w:pPr>
      <w:r>
        <w:drawing>
          <wp:inline xmlns:a="http://schemas.openxmlformats.org/drawingml/2006/main" xmlns:pic="http://schemas.openxmlformats.org/drawingml/2006/picture">
            <wp:extent cx="5580000" cy="2976000"/>
            <wp:docPr id="59" name="Picture 59"/>
            <wp:cNvGraphicFramePr>
              <a:graphicFrameLocks noChangeAspect="1"/>
            </wp:cNvGraphicFramePr>
            <a:graphic>
              <a:graphicData uri="http://schemas.openxmlformats.org/drawingml/2006/picture">
                <pic:pic>
                  <pic:nvPicPr>
                    <pic:cNvPr id="0" name="image.png"/>
                    <pic:cNvPicPr/>
                  </pic:nvPicPr>
                  <pic:blipFill>
                    <a:blip r:embed="rId78"/>
                    <a:stretch>
                      <a:fillRect/>
                    </a:stretch>
                  </pic:blipFill>
                  <pic:spPr>
                    <a:xfrm>
                      <a:off x="0" y="0"/>
                      <a:ext cx="5580000" cy="2976000"/>
                    </a:xfrm>
                    <a:prstGeom prst="rect"/>
                  </pic:spPr>
                </pic:pic>
              </a:graphicData>
            </a:graphic>
          </wp:inline>
        </w:drawing>
      </w:r>
    </w:p>
    <w:p>
      <w:pPr>
        <w:jc w:val="center"/>
      </w:pPr>
      <w:r>
        <w:rPr>
          <w:rFonts w:ascii="Times New Roman" w:hAnsi="Times New Roman" w:cs="Times New Roman"/>
          <w:b w:val="0"/>
          <w:i/>
          <w:color w:val="555555"/>
          <w:sz w:val="18"/>
        </w:rPr>
        <w:t>Figura PC-MASAC. Performance comparison — MASAC (distrito + edificio, E1–E3).</w:t>
      </w:r>
    </w:p>
    <w:p>
      <w:pPr>
        <w:jc w:val="center"/>
      </w:pPr>
      <w:r>
        <w:drawing>
          <wp:inline xmlns:a="http://schemas.openxmlformats.org/drawingml/2006/main" xmlns:pic="http://schemas.openxmlformats.org/drawingml/2006/picture">
            <wp:extent cx="5580000" cy="2976000"/>
            <wp:docPr id="60" name="Picture 60"/>
            <wp:cNvGraphicFramePr>
              <a:graphicFrameLocks noChangeAspect="1"/>
            </wp:cNvGraphicFramePr>
            <a:graphic>
              <a:graphicData uri="http://schemas.openxmlformats.org/drawingml/2006/picture">
                <pic:pic>
                  <pic:nvPicPr>
                    <pic:cNvPr id="0" name="image.png"/>
                    <pic:cNvPicPr/>
                  </pic:nvPicPr>
                  <pic:blipFill>
                    <a:blip r:embed="rId79"/>
                    <a:stretch>
                      <a:fillRect/>
                    </a:stretch>
                  </pic:blipFill>
                  <pic:spPr>
                    <a:xfrm>
                      <a:off x="0" y="0"/>
                      <a:ext cx="5580000" cy="2976000"/>
                    </a:xfrm>
                    <a:prstGeom prst="rect"/>
                  </pic:spPr>
                </pic:pic>
              </a:graphicData>
            </a:graphic>
          </wp:inline>
        </w:drawing>
      </w:r>
    </w:p>
    <w:p>
      <w:pPr>
        <w:jc w:val="center"/>
      </w:pPr>
      <w:r>
        <w:rPr>
          <w:rFonts w:ascii="Times New Roman" w:hAnsi="Times New Roman" w:cs="Times New Roman"/>
          <w:b w:val="0"/>
          <w:i/>
          <w:color w:val="555555"/>
          <w:sz w:val="18"/>
        </w:rPr>
        <w:t>Figura PC-HAPPO. Performance comparison — HAPPO (distrito + edificio, E1–E3).</w:t>
      </w:r>
    </w:p>
    <w:p>
      <w:r>
        <w:rPr>
          <w:rFonts w:ascii="Times New Roman" w:hAnsi="Times New Roman" w:cs="Times New Roman"/>
          <w:b/>
          <w:i w:val="0"/>
          <w:sz w:val="24"/>
        </w:rPr>
        <w:t>C. Catálogo completo por job (algoritmo × escenario)</w:t>
      </w:r>
    </w:p>
    <w:p>
      <w:r>
        <w:rPr>
          <w:rFonts w:ascii="Times New Roman" w:hAnsi="Times New Roman" w:cs="Times New Roman"/>
          <w:b w:val="0"/>
          <w:i w:val="0"/>
          <w:sz w:val="24"/>
        </w:rPr>
        <w:t>Se embebe el inventario completo de figuras de performance/KPI por tratamiento. MATD3/MAAC/MASAC: 14 figuras × 9 jobs; HAPPO: 8 figuras × 3 jobs. Cada caption indica archivo, métrica y alcance (distrito/edificio/entrenamiento).</w:t>
      </w:r>
    </w:p>
    <w:p>
      <w:r>
        <w:rPr>
          <w:rFonts w:ascii="Times New Roman" w:hAnsi="Times New Roman" w:cs="Times New Roman"/>
          <w:b/>
          <w:i w:val="0"/>
          <w:sz w:val="24"/>
        </w:rPr>
        <w:t>C.MATD3 — figuras de performance</w:t>
      </w:r>
    </w:p>
    <w:p>
      <w:r>
        <w:rPr>
          <w:rFonts w:ascii="Times New Roman" w:hAnsi="Times New Roman" w:cs="Times New Roman"/>
          <w:b/>
          <w:i w:val="0"/>
          <w:sz w:val="22"/>
        </w:rPr>
        <w:t>MATD3 / E1</w:t>
      </w:r>
    </w:p>
    <w:p>
      <w:pPr>
        <w:jc w:val="center"/>
      </w:pPr>
      <w:r>
        <w:drawing>
          <wp:inline xmlns:a="http://schemas.openxmlformats.org/drawingml/2006/main" xmlns:pic="http://schemas.openxmlformats.org/drawingml/2006/picture">
            <wp:extent cx="5472000" cy="2111228"/>
            <wp:docPr id="61" name="Picture 61"/>
            <wp:cNvGraphicFramePr>
              <a:graphicFrameLocks noChangeAspect="1"/>
            </wp:cNvGraphicFramePr>
            <a:graphic>
              <a:graphicData uri="http://schemas.openxmlformats.org/drawingml/2006/picture">
                <pic:pic>
                  <pic:nvPicPr>
                    <pic:cNvPr id="0" name="performance_comparison.png"/>
                    <pic:cNvPicPr/>
                  </pic:nvPicPr>
                  <pic:blipFill>
                    <a:blip r:embed="rId80"/>
                    <a:stretch>
                      <a:fillRect/>
                    </a:stretch>
                  </pic:blipFill>
                  <pic:spPr>
                    <a:xfrm>
                      <a:off x="0" y="0"/>
                      <a:ext cx="5472000" cy="2111228"/>
                    </a:xfrm>
                    <a:prstGeom prst="rect"/>
                  </pic:spPr>
                </pic:pic>
              </a:graphicData>
            </a:graphic>
          </wp:inline>
        </w:drawing>
      </w:r>
    </w:p>
    <w:p>
      <w:pPr>
        <w:jc w:val="center"/>
      </w:pPr>
      <w:r>
        <w:rPr>
          <w:rFonts w:ascii="Times New Roman" w:hAnsi="Times New Roman" w:cs="Times New Roman"/>
          <w:b w:val="0"/>
          <w:i/>
          <w:color w:val="555555"/>
          <w:sz w:val="18"/>
        </w:rPr>
        <w:t>Figura JOB.001. MATD3/E1 — performance_comparison.png — Distrito (efecto % vs baseline de 4 MADRL) + edificio (17 edificios).</w:t>
      </w:r>
    </w:p>
    <w:p>
      <w:pPr>
        <w:jc w:val="center"/>
      </w:pPr>
      <w:r>
        <w:drawing>
          <wp:inline xmlns:a="http://schemas.openxmlformats.org/drawingml/2006/main" xmlns:pic="http://schemas.openxmlformats.org/drawingml/2006/picture">
            <wp:extent cx="4968000" cy="2980800"/>
            <wp:docPr id="62" name="Picture 62"/>
            <wp:cNvGraphicFramePr>
              <a:graphicFrameLocks noChangeAspect="1"/>
            </wp:cNvGraphicFramePr>
            <a:graphic>
              <a:graphicData uri="http://schemas.openxmlformats.org/drawingml/2006/picture">
                <pic:pic>
                  <pic:nvPicPr>
                    <pic:cNvPr id="0" name="convergence_returns.png"/>
                    <pic:cNvPicPr/>
                  </pic:nvPicPr>
                  <pic:blipFill>
                    <a:blip r:embed="rId81"/>
                    <a:stretch>
                      <a:fillRect/>
                    </a:stretch>
                  </pic:blipFill>
                  <pic:spPr>
                    <a:xfrm>
                      <a:off x="0" y="0"/>
                      <a:ext cx="4968000" cy="2980800"/>
                    </a:xfrm>
                    <a:prstGeom prst="rect"/>
                  </pic:spPr>
                </pic:pic>
              </a:graphicData>
            </a:graphic>
          </wp:inline>
        </w:drawing>
      </w:r>
    </w:p>
    <w:p>
      <w:pPr>
        <w:jc w:val="center"/>
      </w:pPr>
      <w:r>
        <w:rPr>
          <w:rFonts w:ascii="Times New Roman" w:hAnsi="Times New Roman" w:cs="Times New Roman"/>
          <w:b w:val="0"/>
          <w:i/>
          <w:color w:val="555555"/>
          <w:sz w:val="18"/>
        </w:rPr>
        <w:t>Figura JOB.002. MATD3/E1 — convergence_returns.png — Convergencia de retornos episódicos.</w:t>
      </w:r>
    </w:p>
    <w:p>
      <w:pPr>
        <w:jc w:val="center"/>
      </w:pPr>
      <w:r>
        <w:drawing>
          <wp:inline xmlns:a="http://schemas.openxmlformats.org/drawingml/2006/main" xmlns:pic="http://schemas.openxmlformats.org/drawingml/2006/picture">
            <wp:extent cx="4968000" cy="1987200"/>
            <wp:docPr id="63" name="Picture 63"/>
            <wp:cNvGraphicFramePr>
              <a:graphicFrameLocks noChangeAspect="1"/>
            </wp:cNvGraphicFramePr>
            <a:graphic>
              <a:graphicData uri="http://schemas.openxmlformats.org/drawingml/2006/picture">
                <pic:pic>
                  <pic:nvPicPr>
                    <pic:cNvPr id="0" name="reward_timeseries.png"/>
                    <pic:cNvPicPr/>
                  </pic:nvPicPr>
                  <pic:blipFill>
                    <a:blip r:embed="rId82"/>
                    <a:stretch>
                      <a:fillRect/>
                    </a:stretch>
                  </pic:blipFill>
                  <pic:spPr>
                    <a:xfrm>
                      <a:off x="0" y="0"/>
                      <a:ext cx="4968000" cy="1987200"/>
                    </a:xfrm>
                    <a:prstGeom prst="rect"/>
                  </pic:spPr>
                </pic:pic>
              </a:graphicData>
            </a:graphic>
          </wp:inline>
        </w:drawing>
      </w:r>
    </w:p>
    <w:p>
      <w:pPr>
        <w:jc w:val="center"/>
      </w:pPr>
      <w:r>
        <w:rPr>
          <w:rFonts w:ascii="Times New Roman" w:hAnsi="Times New Roman" w:cs="Times New Roman"/>
          <w:b w:val="0"/>
          <w:i/>
          <w:color w:val="555555"/>
          <w:sz w:val="18"/>
        </w:rPr>
        <w:t>Figura JOB.003. MATD3/E1 — reward_timeseries.png — Serie temporal de recompensa.</w:t>
      </w:r>
    </w:p>
    <w:p>
      <w:pPr>
        <w:jc w:val="center"/>
      </w:pPr>
      <w:r>
        <w:drawing>
          <wp:inline xmlns:a="http://schemas.openxmlformats.org/drawingml/2006/main" xmlns:pic="http://schemas.openxmlformats.org/drawingml/2006/picture">
            <wp:extent cx="4968000" cy="2484000"/>
            <wp:docPr id="64" name="Picture 64"/>
            <wp:cNvGraphicFramePr>
              <a:graphicFrameLocks noChangeAspect="1"/>
            </wp:cNvGraphicFramePr>
            <a:graphic>
              <a:graphicData uri="http://schemas.openxmlformats.org/drawingml/2006/picture">
                <pic:pic>
                  <pic:nvPicPr>
                    <pic:cNvPr id="0" name="episode_reward_summary.png"/>
                    <pic:cNvPicPr/>
                  </pic:nvPicPr>
                  <pic:blipFill>
                    <a:blip r:embed="rId83"/>
                    <a:stretch>
                      <a:fillRect/>
                    </a:stretch>
                  </pic:blipFill>
                  <pic:spPr>
                    <a:xfrm>
                      <a:off x="0" y="0"/>
                      <a:ext cx="4968000" cy="2484000"/>
                    </a:xfrm>
                    <a:prstGeom prst="rect"/>
                  </pic:spPr>
                </pic:pic>
              </a:graphicData>
            </a:graphic>
          </wp:inline>
        </w:drawing>
      </w:r>
    </w:p>
    <w:p>
      <w:pPr>
        <w:jc w:val="center"/>
      </w:pPr>
      <w:r>
        <w:rPr>
          <w:rFonts w:ascii="Times New Roman" w:hAnsi="Times New Roman" w:cs="Times New Roman"/>
          <w:b w:val="0"/>
          <w:i/>
          <w:color w:val="555555"/>
          <w:sz w:val="18"/>
        </w:rPr>
        <w:t>Figura JOB.004. MATD3/E1 — episode_reward_summary.png — Resumen de recompensa por episodio.</w:t>
      </w:r>
    </w:p>
    <w:p>
      <w:pPr>
        <w:jc w:val="center"/>
      </w:pPr>
      <w:r>
        <w:drawing>
          <wp:inline xmlns:a="http://schemas.openxmlformats.org/drawingml/2006/main" xmlns:pic="http://schemas.openxmlformats.org/drawingml/2006/picture">
            <wp:extent cx="4968000" cy="2235600"/>
            <wp:docPr id="65" name="Picture 65"/>
            <wp:cNvGraphicFramePr>
              <a:graphicFrameLocks noChangeAspect="1"/>
            </wp:cNvGraphicFramePr>
            <a:graphic>
              <a:graphicData uri="http://schemas.openxmlformats.org/drawingml/2006/picture">
                <pic:pic>
                  <pic:nvPicPr>
                    <pic:cNvPr id="0" name="learning_efficiency.png"/>
                    <pic:cNvPicPr/>
                  </pic:nvPicPr>
                  <pic:blipFill>
                    <a:blip r:embed="rId84"/>
                    <a:stretch>
                      <a:fillRect/>
                    </a:stretch>
                  </pic:blipFill>
                  <pic:spPr>
                    <a:xfrm>
                      <a:off x="0" y="0"/>
                      <a:ext cx="4968000" cy="2235600"/>
                    </a:xfrm>
                    <a:prstGeom prst="rect"/>
                  </pic:spPr>
                </pic:pic>
              </a:graphicData>
            </a:graphic>
          </wp:inline>
        </w:drawing>
      </w:r>
    </w:p>
    <w:p>
      <w:pPr>
        <w:jc w:val="center"/>
      </w:pPr>
      <w:r>
        <w:rPr>
          <w:rFonts w:ascii="Times New Roman" w:hAnsi="Times New Roman" w:cs="Times New Roman"/>
          <w:b w:val="0"/>
          <w:i/>
          <w:color w:val="555555"/>
          <w:sz w:val="18"/>
        </w:rPr>
        <w:t>Figura JOB.005. MATD3/E1 — learning_efficiency.png — Eficiencia de aprendizaje.</w:t>
      </w:r>
    </w:p>
    <w:p>
      <w:pPr>
        <w:jc w:val="center"/>
      </w:pPr>
      <w:r>
        <w:drawing>
          <wp:inline xmlns:a="http://schemas.openxmlformats.org/drawingml/2006/main" xmlns:pic="http://schemas.openxmlformats.org/drawingml/2006/picture">
            <wp:extent cx="4968000" cy="2258182"/>
            <wp:docPr id="66" name="Picture 66"/>
            <wp:cNvGraphicFramePr>
              <a:graphicFrameLocks noChangeAspect="1"/>
            </wp:cNvGraphicFramePr>
            <a:graphic>
              <a:graphicData uri="http://schemas.openxmlformats.org/drawingml/2006/picture">
                <pic:pic>
                  <pic:nvPicPr>
                    <pic:cNvPr id="0" name="agent_reward_contribution.png"/>
                    <pic:cNvPicPr/>
                  </pic:nvPicPr>
                  <pic:blipFill>
                    <a:blip r:embed="rId85"/>
                    <a:stretch>
                      <a:fillRect/>
                    </a:stretch>
                  </pic:blipFill>
                  <pic:spPr>
                    <a:xfrm>
                      <a:off x="0" y="0"/>
                      <a:ext cx="4968000" cy="2258182"/>
                    </a:xfrm>
                    <a:prstGeom prst="rect"/>
                  </pic:spPr>
                </pic:pic>
              </a:graphicData>
            </a:graphic>
          </wp:inline>
        </w:drawing>
      </w:r>
    </w:p>
    <w:p>
      <w:pPr>
        <w:jc w:val="center"/>
      </w:pPr>
      <w:r>
        <w:rPr>
          <w:rFonts w:ascii="Times New Roman" w:hAnsi="Times New Roman" w:cs="Times New Roman"/>
          <w:b w:val="0"/>
          <w:i/>
          <w:color w:val="555555"/>
          <w:sz w:val="18"/>
        </w:rPr>
        <w:t>Figura JOB.006. MATD3/E1 — agent_reward_contribution.png — Contribución de recompensa por agente/edificio.</w:t>
      </w:r>
    </w:p>
    <w:p>
      <w:pPr>
        <w:jc w:val="center"/>
      </w:pPr>
      <w:r>
        <w:drawing>
          <wp:inline xmlns:a="http://schemas.openxmlformats.org/drawingml/2006/main" xmlns:pic="http://schemas.openxmlformats.org/drawingml/2006/picture">
            <wp:extent cx="4968000" cy="1987200"/>
            <wp:docPr id="67" name="Picture 67"/>
            <wp:cNvGraphicFramePr>
              <a:graphicFrameLocks noChangeAspect="1"/>
            </wp:cNvGraphicFramePr>
            <a:graphic>
              <a:graphicData uri="http://schemas.openxmlformats.org/drawingml/2006/picture">
                <pic:pic>
                  <pic:nvPicPr>
                    <pic:cNvPr id="0" name="exploration_action_l2.png"/>
                    <pic:cNvPicPr/>
                  </pic:nvPicPr>
                  <pic:blipFill>
                    <a:blip r:embed="rId86"/>
                    <a:stretch>
                      <a:fillRect/>
                    </a:stretch>
                  </pic:blipFill>
                  <pic:spPr>
                    <a:xfrm>
                      <a:off x="0" y="0"/>
                      <a:ext cx="4968000" cy="1987200"/>
                    </a:xfrm>
                    <a:prstGeom prst="rect"/>
                  </pic:spPr>
                </pic:pic>
              </a:graphicData>
            </a:graphic>
          </wp:inline>
        </w:drawing>
      </w:r>
    </w:p>
    <w:p>
      <w:pPr>
        <w:jc w:val="center"/>
      </w:pPr>
      <w:r>
        <w:rPr>
          <w:rFonts w:ascii="Times New Roman" w:hAnsi="Times New Roman" w:cs="Times New Roman"/>
          <w:b w:val="0"/>
          <w:i/>
          <w:color w:val="555555"/>
          <w:sz w:val="18"/>
        </w:rPr>
        <w:t>Figura JOB.007. MATD3/E1 — exploration_action_l2.png — Exploración (norma L2 de acciones).</w:t>
      </w:r>
    </w:p>
    <w:p>
      <w:pPr>
        <w:jc w:val="center"/>
      </w:pPr>
      <w:r>
        <w:drawing>
          <wp:inline xmlns:a="http://schemas.openxmlformats.org/drawingml/2006/main" xmlns:pic="http://schemas.openxmlformats.org/drawingml/2006/picture">
            <wp:extent cx="4968000" cy="5419636"/>
            <wp:docPr id="68" name="Picture 68"/>
            <wp:cNvGraphicFramePr>
              <a:graphicFrameLocks noChangeAspect="1"/>
            </wp:cNvGraphicFramePr>
            <a:graphic>
              <a:graphicData uri="http://schemas.openxmlformats.org/drawingml/2006/picture">
                <pic:pic>
                  <pic:nvPicPr>
                    <pic:cNvPr id="0" name="citylearn_v2_district_timeseries.png"/>
                    <pic:cNvPicPr/>
                  </pic:nvPicPr>
                  <pic:blipFill>
                    <a:blip r:embed="rId87"/>
                    <a:stretch>
                      <a:fillRect/>
                    </a:stretch>
                  </pic:blipFill>
                  <pic:spPr>
                    <a:xfrm>
                      <a:off x="0" y="0"/>
                      <a:ext cx="4968000" cy="5419636"/>
                    </a:xfrm>
                    <a:prstGeom prst="rect"/>
                  </pic:spPr>
                </pic:pic>
              </a:graphicData>
            </a:graphic>
          </wp:inline>
        </w:drawing>
      </w:r>
    </w:p>
    <w:p>
      <w:pPr>
        <w:jc w:val="center"/>
      </w:pPr>
      <w:r>
        <w:rPr>
          <w:rFonts w:ascii="Times New Roman" w:hAnsi="Times New Roman" w:cs="Times New Roman"/>
          <w:b w:val="0"/>
          <w:i/>
          <w:color w:val="555555"/>
          <w:sz w:val="18"/>
        </w:rPr>
        <w:t>Figura JOB.008. MATD3/E1 — citylearn_v2_district_timeseries.png — Series temporales distritales CityLearn.</w:t>
      </w:r>
    </w:p>
    <w:p>
      <w:pPr>
        <w:jc w:val="center"/>
      </w:pPr>
      <w:r>
        <w:drawing>
          <wp:inline xmlns:a="http://schemas.openxmlformats.org/drawingml/2006/main" xmlns:pic="http://schemas.openxmlformats.org/drawingml/2006/picture">
            <wp:extent cx="4968000" cy="2918700"/>
            <wp:docPr id="69" name="Picture 69"/>
            <wp:cNvGraphicFramePr>
              <a:graphicFrameLocks noChangeAspect="1"/>
            </wp:cNvGraphicFramePr>
            <a:graphic>
              <a:graphicData uri="http://schemas.openxmlformats.org/drawingml/2006/picture">
                <pic:pic>
                  <pic:nvPicPr>
                    <pic:cNvPr id="0" name="core_kpis.png"/>
                    <pic:cNvPicPr/>
                  </pic:nvPicPr>
                  <pic:blipFill>
                    <a:blip r:embed="rId88"/>
                    <a:stretch>
                      <a:fillRect/>
                    </a:stretch>
                  </pic:blipFill>
                  <pic:spPr>
                    <a:xfrm>
                      <a:off x="0" y="0"/>
                      <a:ext cx="4968000" cy="2918700"/>
                    </a:xfrm>
                    <a:prstGeom prst="rect"/>
                  </pic:spPr>
                </pic:pic>
              </a:graphicData>
            </a:graphic>
          </wp:inline>
        </w:drawing>
      </w:r>
    </w:p>
    <w:p>
      <w:pPr>
        <w:jc w:val="center"/>
      </w:pPr>
      <w:r>
        <w:rPr>
          <w:rFonts w:ascii="Times New Roman" w:hAnsi="Times New Roman" w:cs="Times New Roman"/>
          <w:b w:val="0"/>
          <w:i/>
          <w:color w:val="555555"/>
          <w:sz w:val="18"/>
        </w:rPr>
        <w:t>Figura JOB.009. MATD3/E1 — core_kpis.png — KPIs núcleo del job.</w:t>
      </w:r>
    </w:p>
    <w:p>
      <w:pPr>
        <w:jc w:val="center"/>
      </w:pPr>
      <w:r>
        <w:drawing>
          <wp:inline xmlns:a="http://schemas.openxmlformats.org/drawingml/2006/main" xmlns:pic="http://schemas.openxmlformats.org/drawingml/2006/picture">
            <wp:extent cx="4968000" cy="5722515"/>
            <wp:docPr id="70" name="Picture 70"/>
            <wp:cNvGraphicFramePr>
              <a:graphicFrameLocks noChangeAspect="1"/>
            </wp:cNvGraphicFramePr>
            <a:graphic>
              <a:graphicData uri="http://schemas.openxmlformats.org/drawingml/2006/picture">
                <pic:pic>
                  <pic:nvPicPr>
                    <pic:cNvPr id="0" name="OE1_flexibility_kpis.png"/>
                    <pic:cNvPicPr/>
                  </pic:nvPicPr>
                  <pic:blipFill>
                    <a:blip r:embed="rId89"/>
                    <a:stretch>
                      <a:fillRect/>
                    </a:stretch>
                  </pic:blipFill>
                  <pic:spPr>
                    <a:xfrm>
                      <a:off x="0" y="0"/>
                      <a:ext cx="4968000" cy="5722515"/>
                    </a:xfrm>
                    <a:prstGeom prst="rect"/>
                  </pic:spPr>
                </pic:pic>
              </a:graphicData>
            </a:graphic>
          </wp:inline>
        </w:drawing>
      </w:r>
    </w:p>
    <w:p>
      <w:pPr>
        <w:jc w:val="center"/>
      </w:pPr>
      <w:r>
        <w:rPr>
          <w:rFonts w:ascii="Times New Roman" w:hAnsi="Times New Roman" w:cs="Times New Roman"/>
          <w:b w:val="0"/>
          <w:i/>
          <w:color w:val="555555"/>
          <w:sz w:val="18"/>
        </w:rPr>
        <w:t>Figura JOB.010. MATD3/E1 — OE1_flexibility_kpis.png — KPIs de flexibilidad (OE.1).</w:t>
      </w:r>
    </w:p>
    <w:p>
      <w:pPr>
        <w:jc w:val="center"/>
      </w:pPr>
      <w:r>
        <w:drawing>
          <wp:inline xmlns:a="http://schemas.openxmlformats.org/drawingml/2006/main" xmlns:pic="http://schemas.openxmlformats.org/drawingml/2006/picture">
            <wp:extent cx="4968000" cy="2235600"/>
            <wp:docPr id="71" name="Picture 71"/>
            <wp:cNvGraphicFramePr>
              <a:graphicFrameLocks noChangeAspect="1"/>
            </wp:cNvGraphicFramePr>
            <a:graphic>
              <a:graphicData uri="http://schemas.openxmlformats.org/drawingml/2006/picture">
                <pic:pic>
                  <pic:nvPicPr>
                    <pic:cNvPr id="0" name="OE2_co2_kpis.png"/>
                    <pic:cNvPicPr/>
                  </pic:nvPicPr>
                  <pic:blipFill>
                    <a:blip r:embed="rId90"/>
                    <a:stretch>
                      <a:fillRect/>
                    </a:stretch>
                  </pic:blipFill>
                  <pic:spPr>
                    <a:xfrm>
                      <a:off x="0" y="0"/>
                      <a:ext cx="4968000" cy="2235600"/>
                    </a:xfrm>
                    <a:prstGeom prst="rect"/>
                  </pic:spPr>
                </pic:pic>
              </a:graphicData>
            </a:graphic>
          </wp:inline>
        </w:drawing>
      </w:r>
    </w:p>
    <w:p>
      <w:pPr>
        <w:jc w:val="center"/>
      </w:pPr>
      <w:r>
        <w:rPr>
          <w:rFonts w:ascii="Times New Roman" w:hAnsi="Times New Roman" w:cs="Times New Roman"/>
          <w:b w:val="0"/>
          <w:i/>
          <w:color w:val="555555"/>
          <w:sz w:val="18"/>
        </w:rPr>
        <w:t>Figura JOB.011. MATD3/E1 — OE2_co2_kpis.png — KPIs de emisiones (OE.2).</w:t>
      </w:r>
    </w:p>
    <w:p>
      <w:pPr>
        <w:jc w:val="center"/>
      </w:pPr>
      <w:r>
        <w:drawing>
          <wp:inline xmlns:a="http://schemas.openxmlformats.org/drawingml/2006/main" xmlns:pic="http://schemas.openxmlformats.org/drawingml/2006/picture">
            <wp:extent cx="4968000" cy="2235600"/>
            <wp:docPr id="72" name="Picture 72"/>
            <wp:cNvGraphicFramePr>
              <a:graphicFrameLocks noChangeAspect="1"/>
            </wp:cNvGraphicFramePr>
            <a:graphic>
              <a:graphicData uri="http://schemas.openxmlformats.org/drawingml/2006/picture">
                <pic:pic>
                  <pic:nvPicPr>
                    <pic:cNvPr id="0" name="OE3_cost_kpis.png"/>
                    <pic:cNvPicPr/>
                  </pic:nvPicPr>
                  <pic:blipFill>
                    <a:blip r:embed="rId91"/>
                    <a:stretch>
                      <a:fillRect/>
                    </a:stretch>
                  </pic:blipFill>
                  <pic:spPr>
                    <a:xfrm>
                      <a:off x="0" y="0"/>
                      <a:ext cx="4968000" cy="2235600"/>
                    </a:xfrm>
                    <a:prstGeom prst="rect"/>
                  </pic:spPr>
                </pic:pic>
              </a:graphicData>
            </a:graphic>
          </wp:inline>
        </w:drawing>
      </w:r>
    </w:p>
    <w:p>
      <w:pPr>
        <w:jc w:val="center"/>
      </w:pPr>
      <w:r>
        <w:rPr>
          <w:rFonts w:ascii="Times New Roman" w:hAnsi="Times New Roman" w:cs="Times New Roman"/>
          <w:b w:val="0"/>
          <w:i/>
          <w:color w:val="555555"/>
          <w:sz w:val="18"/>
        </w:rPr>
        <w:t>Figura JOB.012. MATD3/E1 — OE3_cost_kpis.png — KPIs de costo (OE.3).</w:t>
      </w:r>
    </w:p>
    <w:p>
      <w:pPr>
        <w:jc w:val="center"/>
      </w:pPr>
      <w:r>
        <w:drawing>
          <wp:inline xmlns:a="http://schemas.openxmlformats.org/drawingml/2006/main" xmlns:pic="http://schemas.openxmlformats.org/drawingml/2006/picture">
            <wp:extent cx="4968000" cy="2484000"/>
            <wp:docPr id="73" name="Picture 73"/>
            <wp:cNvGraphicFramePr>
              <a:graphicFrameLocks noChangeAspect="1"/>
            </wp:cNvGraphicFramePr>
            <a:graphic>
              <a:graphicData uri="http://schemas.openxmlformats.org/drawingml/2006/picture">
                <pic:pic>
                  <pic:nvPicPr>
                    <pic:cNvPr id="0" name="axis_baseline_comparison.png"/>
                    <pic:cNvPicPr/>
                  </pic:nvPicPr>
                  <pic:blipFill>
                    <a:blip r:embed="rId92"/>
                    <a:stretch>
                      <a:fillRect/>
                    </a:stretch>
                  </pic:blipFill>
                  <pic:spPr>
                    <a:xfrm>
                      <a:off x="0" y="0"/>
                      <a:ext cx="4968000" cy="2484000"/>
                    </a:xfrm>
                    <a:prstGeom prst="rect"/>
                  </pic:spPr>
                </pic:pic>
              </a:graphicData>
            </a:graphic>
          </wp:inline>
        </w:drawing>
      </w:r>
    </w:p>
    <w:p>
      <w:pPr>
        <w:jc w:val="center"/>
      </w:pPr>
      <w:r>
        <w:rPr>
          <w:rFonts w:ascii="Times New Roman" w:hAnsi="Times New Roman" w:cs="Times New Roman"/>
          <w:b w:val="0"/>
          <w:i/>
          <w:color w:val="555555"/>
          <w:sz w:val="18"/>
        </w:rPr>
        <w:t>Figura JOB.013. MATD3/E1 — axis_baseline_comparison.png — Comparación por eje vs baseline.</w:t>
      </w:r>
    </w:p>
    <w:p>
      <w:pPr>
        <w:jc w:val="center"/>
      </w:pPr>
      <w:r>
        <w:drawing>
          <wp:inline xmlns:a="http://schemas.openxmlformats.org/drawingml/2006/main" xmlns:pic="http://schemas.openxmlformats.org/drawingml/2006/picture">
            <wp:extent cx="4968000" cy="3522764"/>
            <wp:docPr id="74" name="Picture 74"/>
            <wp:cNvGraphicFramePr>
              <a:graphicFrameLocks noChangeAspect="1"/>
            </wp:cNvGraphicFramePr>
            <a:graphic>
              <a:graphicData uri="http://schemas.openxmlformats.org/drawingml/2006/picture">
                <pic:pic>
                  <pic:nvPicPr>
                    <pic:cNvPr id="0" name="baseline_gain_by_kpi.png"/>
                    <pic:cNvPicPr/>
                  </pic:nvPicPr>
                  <pic:blipFill>
                    <a:blip r:embed="rId93"/>
                    <a:stretch>
                      <a:fillRect/>
                    </a:stretch>
                  </pic:blipFill>
                  <pic:spPr>
                    <a:xfrm>
                      <a:off x="0" y="0"/>
                      <a:ext cx="4968000" cy="3522764"/>
                    </a:xfrm>
                    <a:prstGeom prst="rect"/>
                  </pic:spPr>
                </pic:pic>
              </a:graphicData>
            </a:graphic>
          </wp:inline>
        </w:drawing>
      </w:r>
    </w:p>
    <w:p>
      <w:pPr>
        <w:jc w:val="center"/>
      </w:pPr>
      <w:r>
        <w:rPr>
          <w:rFonts w:ascii="Times New Roman" w:hAnsi="Times New Roman" w:cs="Times New Roman"/>
          <w:b w:val="0"/>
          <w:i/>
          <w:color w:val="555555"/>
          <w:sz w:val="18"/>
        </w:rPr>
        <w:t>Figura JOB.014. MATD3/E1 — baseline_gain_by_kpi.png — Ganancia/pérdida por KPI vs baseline.</w:t>
      </w:r>
    </w:p>
    <w:p>
      <w:r>
        <w:rPr>
          <w:rFonts w:ascii="Times New Roman" w:hAnsi="Times New Roman" w:cs="Times New Roman"/>
          <w:b/>
          <w:i w:val="0"/>
          <w:sz w:val="22"/>
        </w:rPr>
        <w:t>MATD3 / E2</w:t>
      </w:r>
    </w:p>
    <w:p>
      <w:pPr>
        <w:jc w:val="center"/>
      </w:pPr>
      <w:r>
        <w:drawing>
          <wp:inline xmlns:a="http://schemas.openxmlformats.org/drawingml/2006/main" xmlns:pic="http://schemas.openxmlformats.org/drawingml/2006/picture">
            <wp:extent cx="5472000" cy="2111228"/>
            <wp:docPr id="75" name="Picture 75"/>
            <wp:cNvGraphicFramePr>
              <a:graphicFrameLocks noChangeAspect="1"/>
            </wp:cNvGraphicFramePr>
            <a:graphic>
              <a:graphicData uri="http://schemas.openxmlformats.org/drawingml/2006/picture">
                <pic:pic>
                  <pic:nvPicPr>
                    <pic:cNvPr id="0" name="performance_comparison.png"/>
                    <pic:cNvPicPr/>
                  </pic:nvPicPr>
                  <pic:blipFill>
                    <a:blip r:embed="rId94"/>
                    <a:stretch>
                      <a:fillRect/>
                    </a:stretch>
                  </pic:blipFill>
                  <pic:spPr>
                    <a:xfrm>
                      <a:off x="0" y="0"/>
                      <a:ext cx="5472000" cy="2111228"/>
                    </a:xfrm>
                    <a:prstGeom prst="rect"/>
                  </pic:spPr>
                </pic:pic>
              </a:graphicData>
            </a:graphic>
          </wp:inline>
        </w:drawing>
      </w:r>
    </w:p>
    <w:p>
      <w:pPr>
        <w:jc w:val="center"/>
      </w:pPr>
      <w:r>
        <w:rPr>
          <w:rFonts w:ascii="Times New Roman" w:hAnsi="Times New Roman" w:cs="Times New Roman"/>
          <w:b w:val="0"/>
          <w:i/>
          <w:color w:val="555555"/>
          <w:sz w:val="18"/>
        </w:rPr>
        <w:t>Figura JOB.015. MATD3/E2 — performance_comparison.png — Distrito (efecto % vs baseline de 4 MADRL) + edificio (17 edificios).</w:t>
      </w:r>
    </w:p>
    <w:p>
      <w:pPr>
        <w:jc w:val="center"/>
      </w:pPr>
      <w:r>
        <w:drawing>
          <wp:inline xmlns:a="http://schemas.openxmlformats.org/drawingml/2006/main" xmlns:pic="http://schemas.openxmlformats.org/drawingml/2006/picture">
            <wp:extent cx="4968000" cy="2980800"/>
            <wp:docPr id="76" name="Picture 76"/>
            <wp:cNvGraphicFramePr>
              <a:graphicFrameLocks noChangeAspect="1"/>
            </wp:cNvGraphicFramePr>
            <a:graphic>
              <a:graphicData uri="http://schemas.openxmlformats.org/drawingml/2006/picture">
                <pic:pic>
                  <pic:nvPicPr>
                    <pic:cNvPr id="0" name="convergence_returns.png"/>
                    <pic:cNvPicPr/>
                  </pic:nvPicPr>
                  <pic:blipFill>
                    <a:blip r:embed="rId95"/>
                    <a:stretch>
                      <a:fillRect/>
                    </a:stretch>
                  </pic:blipFill>
                  <pic:spPr>
                    <a:xfrm>
                      <a:off x="0" y="0"/>
                      <a:ext cx="4968000" cy="2980800"/>
                    </a:xfrm>
                    <a:prstGeom prst="rect"/>
                  </pic:spPr>
                </pic:pic>
              </a:graphicData>
            </a:graphic>
          </wp:inline>
        </w:drawing>
      </w:r>
    </w:p>
    <w:p>
      <w:pPr>
        <w:jc w:val="center"/>
      </w:pPr>
      <w:r>
        <w:rPr>
          <w:rFonts w:ascii="Times New Roman" w:hAnsi="Times New Roman" w:cs="Times New Roman"/>
          <w:b w:val="0"/>
          <w:i/>
          <w:color w:val="555555"/>
          <w:sz w:val="18"/>
        </w:rPr>
        <w:t>Figura JOB.016. MATD3/E2 — convergence_returns.png — Convergencia de retornos episódicos.</w:t>
      </w:r>
    </w:p>
    <w:p>
      <w:pPr>
        <w:jc w:val="center"/>
      </w:pPr>
      <w:r>
        <w:drawing>
          <wp:inline xmlns:a="http://schemas.openxmlformats.org/drawingml/2006/main" xmlns:pic="http://schemas.openxmlformats.org/drawingml/2006/picture">
            <wp:extent cx="4968000" cy="1987200"/>
            <wp:docPr id="77" name="Picture 77"/>
            <wp:cNvGraphicFramePr>
              <a:graphicFrameLocks noChangeAspect="1"/>
            </wp:cNvGraphicFramePr>
            <a:graphic>
              <a:graphicData uri="http://schemas.openxmlformats.org/drawingml/2006/picture">
                <pic:pic>
                  <pic:nvPicPr>
                    <pic:cNvPr id="0" name="reward_timeseries.png"/>
                    <pic:cNvPicPr/>
                  </pic:nvPicPr>
                  <pic:blipFill>
                    <a:blip r:embed="rId96"/>
                    <a:stretch>
                      <a:fillRect/>
                    </a:stretch>
                  </pic:blipFill>
                  <pic:spPr>
                    <a:xfrm>
                      <a:off x="0" y="0"/>
                      <a:ext cx="4968000" cy="1987200"/>
                    </a:xfrm>
                    <a:prstGeom prst="rect"/>
                  </pic:spPr>
                </pic:pic>
              </a:graphicData>
            </a:graphic>
          </wp:inline>
        </w:drawing>
      </w:r>
    </w:p>
    <w:p>
      <w:pPr>
        <w:jc w:val="center"/>
      </w:pPr>
      <w:r>
        <w:rPr>
          <w:rFonts w:ascii="Times New Roman" w:hAnsi="Times New Roman" w:cs="Times New Roman"/>
          <w:b w:val="0"/>
          <w:i/>
          <w:color w:val="555555"/>
          <w:sz w:val="18"/>
        </w:rPr>
        <w:t>Figura JOB.017. MATD3/E2 — reward_timeseries.png — Serie temporal de recompensa.</w:t>
      </w:r>
    </w:p>
    <w:p>
      <w:pPr>
        <w:jc w:val="center"/>
      </w:pPr>
      <w:r>
        <w:drawing>
          <wp:inline xmlns:a="http://schemas.openxmlformats.org/drawingml/2006/main" xmlns:pic="http://schemas.openxmlformats.org/drawingml/2006/picture">
            <wp:extent cx="4968000" cy="2484000"/>
            <wp:docPr id="78" name="Picture 78"/>
            <wp:cNvGraphicFramePr>
              <a:graphicFrameLocks noChangeAspect="1"/>
            </wp:cNvGraphicFramePr>
            <a:graphic>
              <a:graphicData uri="http://schemas.openxmlformats.org/drawingml/2006/picture">
                <pic:pic>
                  <pic:nvPicPr>
                    <pic:cNvPr id="0" name="episode_reward_summary.png"/>
                    <pic:cNvPicPr/>
                  </pic:nvPicPr>
                  <pic:blipFill>
                    <a:blip r:embed="rId97"/>
                    <a:stretch>
                      <a:fillRect/>
                    </a:stretch>
                  </pic:blipFill>
                  <pic:spPr>
                    <a:xfrm>
                      <a:off x="0" y="0"/>
                      <a:ext cx="4968000" cy="2484000"/>
                    </a:xfrm>
                    <a:prstGeom prst="rect"/>
                  </pic:spPr>
                </pic:pic>
              </a:graphicData>
            </a:graphic>
          </wp:inline>
        </w:drawing>
      </w:r>
    </w:p>
    <w:p>
      <w:pPr>
        <w:jc w:val="center"/>
      </w:pPr>
      <w:r>
        <w:rPr>
          <w:rFonts w:ascii="Times New Roman" w:hAnsi="Times New Roman" w:cs="Times New Roman"/>
          <w:b w:val="0"/>
          <w:i/>
          <w:color w:val="555555"/>
          <w:sz w:val="18"/>
        </w:rPr>
        <w:t>Figura JOB.018. MATD3/E2 — episode_reward_summary.png — Resumen de recompensa por episodio.</w:t>
      </w:r>
    </w:p>
    <w:p>
      <w:pPr>
        <w:jc w:val="center"/>
      </w:pPr>
      <w:r>
        <w:drawing>
          <wp:inline xmlns:a="http://schemas.openxmlformats.org/drawingml/2006/main" xmlns:pic="http://schemas.openxmlformats.org/drawingml/2006/picture">
            <wp:extent cx="4968000" cy="2235600"/>
            <wp:docPr id="79" name="Picture 79"/>
            <wp:cNvGraphicFramePr>
              <a:graphicFrameLocks noChangeAspect="1"/>
            </wp:cNvGraphicFramePr>
            <a:graphic>
              <a:graphicData uri="http://schemas.openxmlformats.org/drawingml/2006/picture">
                <pic:pic>
                  <pic:nvPicPr>
                    <pic:cNvPr id="0" name="learning_efficiency.png"/>
                    <pic:cNvPicPr/>
                  </pic:nvPicPr>
                  <pic:blipFill>
                    <a:blip r:embed="rId98"/>
                    <a:stretch>
                      <a:fillRect/>
                    </a:stretch>
                  </pic:blipFill>
                  <pic:spPr>
                    <a:xfrm>
                      <a:off x="0" y="0"/>
                      <a:ext cx="4968000" cy="2235600"/>
                    </a:xfrm>
                    <a:prstGeom prst="rect"/>
                  </pic:spPr>
                </pic:pic>
              </a:graphicData>
            </a:graphic>
          </wp:inline>
        </w:drawing>
      </w:r>
    </w:p>
    <w:p>
      <w:pPr>
        <w:jc w:val="center"/>
      </w:pPr>
      <w:r>
        <w:rPr>
          <w:rFonts w:ascii="Times New Roman" w:hAnsi="Times New Roman" w:cs="Times New Roman"/>
          <w:b w:val="0"/>
          <w:i/>
          <w:color w:val="555555"/>
          <w:sz w:val="18"/>
        </w:rPr>
        <w:t>Figura JOB.019. MATD3/E2 — learning_efficiency.png — Eficiencia de aprendizaje.</w:t>
      </w:r>
    </w:p>
    <w:p>
      <w:pPr>
        <w:jc w:val="center"/>
      </w:pPr>
      <w:r>
        <w:drawing>
          <wp:inline xmlns:a="http://schemas.openxmlformats.org/drawingml/2006/main" xmlns:pic="http://schemas.openxmlformats.org/drawingml/2006/picture">
            <wp:extent cx="4968000" cy="2258182"/>
            <wp:docPr id="80" name="Picture 80"/>
            <wp:cNvGraphicFramePr>
              <a:graphicFrameLocks noChangeAspect="1"/>
            </wp:cNvGraphicFramePr>
            <a:graphic>
              <a:graphicData uri="http://schemas.openxmlformats.org/drawingml/2006/picture">
                <pic:pic>
                  <pic:nvPicPr>
                    <pic:cNvPr id="0" name="agent_reward_contribution.png"/>
                    <pic:cNvPicPr/>
                  </pic:nvPicPr>
                  <pic:blipFill>
                    <a:blip r:embed="rId99"/>
                    <a:stretch>
                      <a:fillRect/>
                    </a:stretch>
                  </pic:blipFill>
                  <pic:spPr>
                    <a:xfrm>
                      <a:off x="0" y="0"/>
                      <a:ext cx="4968000" cy="2258182"/>
                    </a:xfrm>
                    <a:prstGeom prst="rect"/>
                  </pic:spPr>
                </pic:pic>
              </a:graphicData>
            </a:graphic>
          </wp:inline>
        </w:drawing>
      </w:r>
    </w:p>
    <w:p>
      <w:pPr>
        <w:jc w:val="center"/>
      </w:pPr>
      <w:r>
        <w:rPr>
          <w:rFonts w:ascii="Times New Roman" w:hAnsi="Times New Roman" w:cs="Times New Roman"/>
          <w:b w:val="0"/>
          <w:i/>
          <w:color w:val="555555"/>
          <w:sz w:val="18"/>
        </w:rPr>
        <w:t>Figura JOB.020. MATD3/E2 — agent_reward_contribution.png — Contribución de recompensa por agente/edificio.</w:t>
      </w:r>
    </w:p>
    <w:p>
      <w:pPr>
        <w:jc w:val="center"/>
      </w:pPr>
      <w:r>
        <w:drawing>
          <wp:inline xmlns:a="http://schemas.openxmlformats.org/drawingml/2006/main" xmlns:pic="http://schemas.openxmlformats.org/drawingml/2006/picture">
            <wp:extent cx="4968000" cy="1987200"/>
            <wp:docPr id="81" name="Picture 81"/>
            <wp:cNvGraphicFramePr>
              <a:graphicFrameLocks noChangeAspect="1"/>
            </wp:cNvGraphicFramePr>
            <a:graphic>
              <a:graphicData uri="http://schemas.openxmlformats.org/drawingml/2006/picture">
                <pic:pic>
                  <pic:nvPicPr>
                    <pic:cNvPr id="0" name="exploration_action_l2.png"/>
                    <pic:cNvPicPr/>
                  </pic:nvPicPr>
                  <pic:blipFill>
                    <a:blip r:embed="rId100"/>
                    <a:stretch>
                      <a:fillRect/>
                    </a:stretch>
                  </pic:blipFill>
                  <pic:spPr>
                    <a:xfrm>
                      <a:off x="0" y="0"/>
                      <a:ext cx="4968000" cy="1987200"/>
                    </a:xfrm>
                    <a:prstGeom prst="rect"/>
                  </pic:spPr>
                </pic:pic>
              </a:graphicData>
            </a:graphic>
          </wp:inline>
        </w:drawing>
      </w:r>
    </w:p>
    <w:p>
      <w:pPr>
        <w:jc w:val="center"/>
      </w:pPr>
      <w:r>
        <w:rPr>
          <w:rFonts w:ascii="Times New Roman" w:hAnsi="Times New Roman" w:cs="Times New Roman"/>
          <w:b w:val="0"/>
          <w:i/>
          <w:color w:val="555555"/>
          <w:sz w:val="18"/>
        </w:rPr>
        <w:t>Figura JOB.021. MATD3/E2 — exploration_action_l2.png — Exploración (norma L2 de acciones).</w:t>
      </w:r>
    </w:p>
    <w:p>
      <w:pPr>
        <w:jc w:val="center"/>
      </w:pPr>
      <w:r>
        <w:drawing>
          <wp:inline xmlns:a="http://schemas.openxmlformats.org/drawingml/2006/main" xmlns:pic="http://schemas.openxmlformats.org/drawingml/2006/picture">
            <wp:extent cx="4968000" cy="5419636"/>
            <wp:docPr id="82" name="Picture 82"/>
            <wp:cNvGraphicFramePr>
              <a:graphicFrameLocks noChangeAspect="1"/>
            </wp:cNvGraphicFramePr>
            <a:graphic>
              <a:graphicData uri="http://schemas.openxmlformats.org/drawingml/2006/picture">
                <pic:pic>
                  <pic:nvPicPr>
                    <pic:cNvPr id="0" name="citylearn_v2_district_timeseries.png"/>
                    <pic:cNvPicPr/>
                  </pic:nvPicPr>
                  <pic:blipFill>
                    <a:blip r:embed="rId101"/>
                    <a:stretch>
                      <a:fillRect/>
                    </a:stretch>
                  </pic:blipFill>
                  <pic:spPr>
                    <a:xfrm>
                      <a:off x="0" y="0"/>
                      <a:ext cx="4968000" cy="5419636"/>
                    </a:xfrm>
                    <a:prstGeom prst="rect"/>
                  </pic:spPr>
                </pic:pic>
              </a:graphicData>
            </a:graphic>
          </wp:inline>
        </w:drawing>
      </w:r>
    </w:p>
    <w:p>
      <w:pPr>
        <w:jc w:val="center"/>
      </w:pPr>
      <w:r>
        <w:rPr>
          <w:rFonts w:ascii="Times New Roman" w:hAnsi="Times New Roman" w:cs="Times New Roman"/>
          <w:b w:val="0"/>
          <w:i/>
          <w:color w:val="555555"/>
          <w:sz w:val="18"/>
        </w:rPr>
        <w:t>Figura JOB.022. MATD3/E2 — citylearn_v2_district_timeseries.png — Series temporales distritales CityLearn.</w:t>
      </w:r>
    </w:p>
    <w:p>
      <w:pPr>
        <w:jc w:val="center"/>
      </w:pPr>
      <w:r>
        <w:drawing>
          <wp:inline xmlns:a="http://schemas.openxmlformats.org/drawingml/2006/main" xmlns:pic="http://schemas.openxmlformats.org/drawingml/2006/picture">
            <wp:extent cx="4968000" cy="2710665"/>
            <wp:docPr id="83" name="Picture 83"/>
            <wp:cNvGraphicFramePr>
              <a:graphicFrameLocks noChangeAspect="1"/>
            </wp:cNvGraphicFramePr>
            <a:graphic>
              <a:graphicData uri="http://schemas.openxmlformats.org/drawingml/2006/picture">
                <pic:pic>
                  <pic:nvPicPr>
                    <pic:cNvPr id="0" name="core_kpis.png"/>
                    <pic:cNvPicPr/>
                  </pic:nvPicPr>
                  <pic:blipFill>
                    <a:blip r:embed="rId102"/>
                    <a:stretch>
                      <a:fillRect/>
                    </a:stretch>
                  </pic:blipFill>
                  <pic:spPr>
                    <a:xfrm>
                      <a:off x="0" y="0"/>
                      <a:ext cx="4968000" cy="2710665"/>
                    </a:xfrm>
                    <a:prstGeom prst="rect"/>
                  </pic:spPr>
                </pic:pic>
              </a:graphicData>
            </a:graphic>
          </wp:inline>
        </w:drawing>
      </w:r>
    </w:p>
    <w:p>
      <w:pPr>
        <w:jc w:val="center"/>
      </w:pPr>
      <w:r>
        <w:rPr>
          <w:rFonts w:ascii="Times New Roman" w:hAnsi="Times New Roman" w:cs="Times New Roman"/>
          <w:b w:val="0"/>
          <w:i/>
          <w:color w:val="555555"/>
          <w:sz w:val="18"/>
        </w:rPr>
        <w:t>Figura JOB.023. MATD3/E2 — core_kpis.png — KPIs núcleo del job.</w:t>
      </w:r>
    </w:p>
    <w:p>
      <w:pPr>
        <w:jc w:val="center"/>
      </w:pPr>
      <w:r>
        <w:drawing>
          <wp:inline xmlns:a="http://schemas.openxmlformats.org/drawingml/2006/main" xmlns:pic="http://schemas.openxmlformats.org/drawingml/2006/picture">
            <wp:extent cx="4968000" cy="5722515"/>
            <wp:docPr id="84" name="Picture 84"/>
            <wp:cNvGraphicFramePr>
              <a:graphicFrameLocks noChangeAspect="1"/>
            </wp:cNvGraphicFramePr>
            <a:graphic>
              <a:graphicData uri="http://schemas.openxmlformats.org/drawingml/2006/picture">
                <pic:pic>
                  <pic:nvPicPr>
                    <pic:cNvPr id="0" name="OE1_flexibility_kpis.png"/>
                    <pic:cNvPicPr/>
                  </pic:nvPicPr>
                  <pic:blipFill>
                    <a:blip r:embed="rId103"/>
                    <a:stretch>
                      <a:fillRect/>
                    </a:stretch>
                  </pic:blipFill>
                  <pic:spPr>
                    <a:xfrm>
                      <a:off x="0" y="0"/>
                      <a:ext cx="4968000" cy="5722515"/>
                    </a:xfrm>
                    <a:prstGeom prst="rect"/>
                  </pic:spPr>
                </pic:pic>
              </a:graphicData>
            </a:graphic>
          </wp:inline>
        </w:drawing>
      </w:r>
    </w:p>
    <w:p>
      <w:pPr>
        <w:jc w:val="center"/>
      </w:pPr>
      <w:r>
        <w:rPr>
          <w:rFonts w:ascii="Times New Roman" w:hAnsi="Times New Roman" w:cs="Times New Roman"/>
          <w:b w:val="0"/>
          <w:i/>
          <w:color w:val="555555"/>
          <w:sz w:val="18"/>
        </w:rPr>
        <w:t>Figura JOB.024. MATD3/E2 — OE1_flexibility_kpis.png — KPIs de flexibilidad (OE.1).</w:t>
      </w:r>
    </w:p>
    <w:p>
      <w:pPr>
        <w:jc w:val="center"/>
      </w:pPr>
      <w:r>
        <w:drawing>
          <wp:inline xmlns:a="http://schemas.openxmlformats.org/drawingml/2006/main" xmlns:pic="http://schemas.openxmlformats.org/drawingml/2006/picture">
            <wp:extent cx="4968000" cy="2235600"/>
            <wp:docPr id="85" name="Picture 85"/>
            <wp:cNvGraphicFramePr>
              <a:graphicFrameLocks noChangeAspect="1"/>
            </wp:cNvGraphicFramePr>
            <a:graphic>
              <a:graphicData uri="http://schemas.openxmlformats.org/drawingml/2006/picture">
                <pic:pic>
                  <pic:nvPicPr>
                    <pic:cNvPr id="0" name="OE2_co2_kpis.png"/>
                    <pic:cNvPicPr/>
                  </pic:nvPicPr>
                  <pic:blipFill>
                    <a:blip r:embed="rId104"/>
                    <a:stretch>
                      <a:fillRect/>
                    </a:stretch>
                  </pic:blipFill>
                  <pic:spPr>
                    <a:xfrm>
                      <a:off x="0" y="0"/>
                      <a:ext cx="4968000" cy="2235600"/>
                    </a:xfrm>
                    <a:prstGeom prst="rect"/>
                  </pic:spPr>
                </pic:pic>
              </a:graphicData>
            </a:graphic>
          </wp:inline>
        </w:drawing>
      </w:r>
    </w:p>
    <w:p>
      <w:pPr>
        <w:jc w:val="center"/>
      </w:pPr>
      <w:r>
        <w:rPr>
          <w:rFonts w:ascii="Times New Roman" w:hAnsi="Times New Roman" w:cs="Times New Roman"/>
          <w:b w:val="0"/>
          <w:i/>
          <w:color w:val="555555"/>
          <w:sz w:val="18"/>
        </w:rPr>
        <w:t>Figura JOB.025. MATD3/E2 — OE2_co2_kpis.png — KPIs de emisiones (OE.2).</w:t>
      </w:r>
    </w:p>
    <w:p>
      <w:pPr>
        <w:jc w:val="center"/>
      </w:pPr>
      <w:r>
        <w:drawing>
          <wp:inline xmlns:a="http://schemas.openxmlformats.org/drawingml/2006/main" xmlns:pic="http://schemas.openxmlformats.org/drawingml/2006/picture">
            <wp:extent cx="4968000" cy="2235600"/>
            <wp:docPr id="86" name="Picture 86"/>
            <wp:cNvGraphicFramePr>
              <a:graphicFrameLocks noChangeAspect="1"/>
            </wp:cNvGraphicFramePr>
            <a:graphic>
              <a:graphicData uri="http://schemas.openxmlformats.org/drawingml/2006/picture">
                <pic:pic>
                  <pic:nvPicPr>
                    <pic:cNvPr id="0" name="OE3_cost_kpis.png"/>
                    <pic:cNvPicPr/>
                  </pic:nvPicPr>
                  <pic:blipFill>
                    <a:blip r:embed="rId105"/>
                    <a:stretch>
                      <a:fillRect/>
                    </a:stretch>
                  </pic:blipFill>
                  <pic:spPr>
                    <a:xfrm>
                      <a:off x="0" y="0"/>
                      <a:ext cx="4968000" cy="2235600"/>
                    </a:xfrm>
                    <a:prstGeom prst="rect"/>
                  </pic:spPr>
                </pic:pic>
              </a:graphicData>
            </a:graphic>
          </wp:inline>
        </w:drawing>
      </w:r>
    </w:p>
    <w:p>
      <w:pPr>
        <w:jc w:val="center"/>
      </w:pPr>
      <w:r>
        <w:rPr>
          <w:rFonts w:ascii="Times New Roman" w:hAnsi="Times New Roman" w:cs="Times New Roman"/>
          <w:b w:val="0"/>
          <w:i/>
          <w:color w:val="555555"/>
          <w:sz w:val="18"/>
        </w:rPr>
        <w:t>Figura JOB.026. MATD3/E2 — OE3_cost_kpis.png — KPIs de costo (OE.3).</w:t>
      </w:r>
    </w:p>
    <w:p>
      <w:pPr>
        <w:jc w:val="center"/>
      </w:pPr>
      <w:r>
        <w:drawing>
          <wp:inline xmlns:a="http://schemas.openxmlformats.org/drawingml/2006/main" xmlns:pic="http://schemas.openxmlformats.org/drawingml/2006/picture">
            <wp:extent cx="4968000" cy="2484000"/>
            <wp:docPr id="87" name="Picture 87"/>
            <wp:cNvGraphicFramePr>
              <a:graphicFrameLocks noChangeAspect="1"/>
            </wp:cNvGraphicFramePr>
            <a:graphic>
              <a:graphicData uri="http://schemas.openxmlformats.org/drawingml/2006/picture">
                <pic:pic>
                  <pic:nvPicPr>
                    <pic:cNvPr id="0" name="axis_baseline_comparison.png"/>
                    <pic:cNvPicPr/>
                  </pic:nvPicPr>
                  <pic:blipFill>
                    <a:blip r:embed="rId106"/>
                    <a:stretch>
                      <a:fillRect/>
                    </a:stretch>
                  </pic:blipFill>
                  <pic:spPr>
                    <a:xfrm>
                      <a:off x="0" y="0"/>
                      <a:ext cx="4968000" cy="2484000"/>
                    </a:xfrm>
                    <a:prstGeom prst="rect"/>
                  </pic:spPr>
                </pic:pic>
              </a:graphicData>
            </a:graphic>
          </wp:inline>
        </w:drawing>
      </w:r>
    </w:p>
    <w:p>
      <w:pPr>
        <w:jc w:val="center"/>
      </w:pPr>
      <w:r>
        <w:rPr>
          <w:rFonts w:ascii="Times New Roman" w:hAnsi="Times New Roman" w:cs="Times New Roman"/>
          <w:b w:val="0"/>
          <w:i/>
          <w:color w:val="555555"/>
          <w:sz w:val="18"/>
        </w:rPr>
        <w:t>Figura JOB.027. MATD3/E2 — axis_baseline_comparison.png — Comparación por eje vs baseline.</w:t>
      </w:r>
    </w:p>
    <w:p>
      <w:pPr>
        <w:jc w:val="center"/>
      </w:pPr>
      <w:r>
        <w:drawing>
          <wp:inline xmlns:a="http://schemas.openxmlformats.org/drawingml/2006/main" xmlns:pic="http://schemas.openxmlformats.org/drawingml/2006/picture">
            <wp:extent cx="4968000" cy="3387273"/>
            <wp:docPr id="88" name="Picture 88"/>
            <wp:cNvGraphicFramePr>
              <a:graphicFrameLocks noChangeAspect="1"/>
            </wp:cNvGraphicFramePr>
            <a:graphic>
              <a:graphicData uri="http://schemas.openxmlformats.org/drawingml/2006/picture">
                <pic:pic>
                  <pic:nvPicPr>
                    <pic:cNvPr id="0" name="baseline_gain_by_kpi.png"/>
                    <pic:cNvPicPr/>
                  </pic:nvPicPr>
                  <pic:blipFill>
                    <a:blip r:embed="rId107"/>
                    <a:stretch>
                      <a:fillRect/>
                    </a:stretch>
                  </pic:blipFill>
                  <pic:spPr>
                    <a:xfrm>
                      <a:off x="0" y="0"/>
                      <a:ext cx="4968000" cy="3387273"/>
                    </a:xfrm>
                    <a:prstGeom prst="rect"/>
                  </pic:spPr>
                </pic:pic>
              </a:graphicData>
            </a:graphic>
          </wp:inline>
        </w:drawing>
      </w:r>
    </w:p>
    <w:p>
      <w:pPr>
        <w:jc w:val="center"/>
      </w:pPr>
      <w:r>
        <w:rPr>
          <w:rFonts w:ascii="Times New Roman" w:hAnsi="Times New Roman" w:cs="Times New Roman"/>
          <w:b w:val="0"/>
          <w:i/>
          <w:color w:val="555555"/>
          <w:sz w:val="18"/>
        </w:rPr>
        <w:t>Figura JOB.028. MATD3/E2 — baseline_gain_by_kpi.png — Ganancia/pérdida por KPI vs baseline.</w:t>
      </w:r>
    </w:p>
    <w:p>
      <w:r>
        <w:rPr>
          <w:rFonts w:ascii="Times New Roman" w:hAnsi="Times New Roman" w:cs="Times New Roman"/>
          <w:b/>
          <w:i w:val="0"/>
          <w:sz w:val="22"/>
        </w:rPr>
        <w:t>MATD3 / E3</w:t>
      </w:r>
    </w:p>
    <w:p>
      <w:pPr>
        <w:jc w:val="center"/>
      </w:pPr>
      <w:r>
        <w:drawing>
          <wp:inline xmlns:a="http://schemas.openxmlformats.org/drawingml/2006/main" xmlns:pic="http://schemas.openxmlformats.org/drawingml/2006/picture">
            <wp:extent cx="5472000" cy="2111228"/>
            <wp:docPr id="89" name="Picture 89"/>
            <wp:cNvGraphicFramePr>
              <a:graphicFrameLocks noChangeAspect="1"/>
            </wp:cNvGraphicFramePr>
            <a:graphic>
              <a:graphicData uri="http://schemas.openxmlformats.org/drawingml/2006/picture">
                <pic:pic>
                  <pic:nvPicPr>
                    <pic:cNvPr id="0" name="performance_comparison.png"/>
                    <pic:cNvPicPr/>
                  </pic:nvPicPr>
                  <pic:blipFill>
                    <a:blip r:embed="rId108"/>
                    <a:stretch>
                      <a:fillRect/>
                    </a:stretch>
                  </pic:blipFill>
                  <pic:spPr>
                    <a:xfrm>
                      <a:off x="0" y="0"/>
                      <a:ext cx="5472000" cy="2111228"/>
                    </a:xfrm>
                    <a:prstGeom prst="rect"/>
                  </pic:spPr>
                </pic:pic>
              </a:graphicData>
            </a:graphic>
          </wp:inline>
        </w:drawing>
      </w:r>
    </w:p>
    <w:p>
      <w:pPr>
        <w:jc w:val="center"/>
      </w:pPr>
      <w:r>
        <w:rPr>
          <w:rFonts w:ascii="Times New Roman" w:hAnsi="Times New Roman" w:cs="Times New Roman"/>
          <w:b w:val="0"/>
          <w:i/>
          <w:color w:val="555555"/>
          <w:sz w:val="18"/>
        </w:rPr>
        <w:t>Figura JOB.029. MATD3/E3 — performance_comparison.png — Distrito (efecto % vs baseline de 4 MADRL) + edificio (17 edificios).</w:t>
      </w:r>
    </w:p>
    <w:p>
      <w:pPr>
        <w:jc w:val="center"/>
      </w:pPr>
      <w:r>
        <w:drawing>
          <wp:inline xmlns:a="http://schemas.openxmlformats.org/drawingml/2006/main" xmlns:pic="http://schemas.openxmlformats.org/drawingml/2006/picture">
            <wp:extent cx="4968000" cy="2980800"/>
            <wp:docPr id="90" name="Picture 90"/>
            <wp:cNvGraphicFramePr>
              <a:graphicFrameLocks noChangeAspect="1"/>
            </wp:cNvGraphicFramePr>
            <a:graphic>
              <a:graphicData uri="http://schemas.openxmlformats.org/drawingml/2006/picture">
                <pic:pic>
                  <pic:nvPicPr>
                    <pic:cNvPr id="0" name="convergence_returns.png"/>
                    <pic:cNvPicPr/>
                  </pic:nvPicPr>
                  <pic:blipFill>
                    <a:blip r:embed="rId109"/>
                    <a:stretch>
                      <a:fillRect/>
                    </a:stretch>
                  </pic:blipFill>
                  <pic:spPr>
                    <a:xfrm>
                      <a:off x="0" y="0"/>
                      <a:ext cx="4968000" cy="2980800"/>
                    </a:xfrm>
                    <a:prstGeom prst="rect"/>
                  </pic:spPr>
                </pic:pic>
              </a:graphicData>
            </a:graphic>
          </wp:inline>
        </w:drawing>
      </w:r>
    </w:p>
    <w:p>
      <w:pPr>
        <w:jc w:val="center"/>
      </w:pPr>
      <w:r>
        <w:rPr>
          <w:rFonts w:ascii="Times New Roman" w:hAnsi="Times New Roman" w:cs="Times New Roman"/>
          <w:b w:val="0"/>
          <w:i/>
          <w:color w:val="555555"/>
          <w:sz w:val="18"/>
        </w:rPr>
        <w:t>Figura JOB.030. MATD3/E3 — convergence_returns.png — Convergencia de retornos episódicos.</w:t>
      </w:r>
    </w:p>
    <w:p>
      <w:pPr>
        <w:jc w:val="center"/>
      </w:pPr>
      <w:r>
        <w:drawing>
          <wp:inline xmlns:a="http://schemas.openxmlformats.org/drawingml/2006/main" xmlns:pic="http://schemas.openxmlformats.org/drawingml/2006/picture">
            <wp:extent cx="4968000" cy="1987200"/>
            <wp:docPr id="91" name="Picture 91"/>
            <wp:cNvGraphicFramePr>
              <a:graphicFrameLocks noChangeAspect="1"/>
            </wp:cNvGraphicFramePr>
            <a:graphic>
              <a:graphicData uri="http://schemas.openxmlformats.org/drawingml/2006/picture">
                <pic:pic>
                  <pic:nvPicPr>
                    <pic:cNvPr id="0" name="reward_timeseries.png"/>
                    <pic:cNvPicPr/>
                  </pic:nvPicPr>
                  <pic:blipFill>
                    <a:blip r:embed="rId110"/>
                    <a:stretch>
                      <a:fillRect/>
                    </a:stretch>
                  </pic:blipFill>
                  <pic:spPr>
                    <a:xfrm>
                      <a:off x="0" y="0"/>
                      <a:ext cx="4968000" cy="1987200"/>
                    </a:xfrm>
                    <a:prstGeom prst="rect"/>
                  </pic:spPr>
                </pic:pic>
              </a:graphicData>
            </a:graphic>
          </wp:inline>
        </w:drawing>
      </w:r>
    </w:p>
    <w:p>
      <w:pPr>
        <w:jc w:val="center"/>
      </w:pPr>
      <w:r>
        <w:rPr>
          <w:rFonts w:ascii="Times New Roman" w:hAnsi="Times New Roman" w:cs="Times New Roman"/>
          <w:b w:val="0"/>
          <w:i/>
          <w:color w:val="555555"/>
          <w:sz w:val="18"/>
        </w:rPr>
        <w:t>Figura JOB.031. MATD3/E3 — reward_timeseries.png — Serie temporal de recompensa.</w:t>
      </w:r>
    </w:p>
    <w:p>
      <w:pPr>
        <w:jc w:val="center"/>
      </w:pPr>
      <w:r>
        <w:drawing>
          <wp:inline xmlns:a="http://schemas.openxmlformats.org/drawingml/2006/main" xmlns:pic="http://schemas.openxmlformats.org/drawingml/2006/picture">
            <wp:extent cx="4968000" cy="2484000"/>
            <wp:docPr id="92" name="Picture 92"/>
            <wp:cNvGraphicFramePr>
              <a:graphicFrameLocks noChangeAspect="1"/>
            </wp:cNvGraphicFramePr>
            <a:graphic>
              <a:graphicData uri="http://schemas.openxmlformats.org/drawingml/2006/picture">
                <pic:pic>
                  <pic:nvPicPr>
                    <pic:cNvPr id="0" name="episode_reward_summary.png"/>
                    <pic:cNvPicPr/>
                  </pic:nvPicPr>
                  <pic:blipFill>
                    <a:blip r:embed="rId111"/>
                    <a:stretch>
                      <a:fillRect/>
                    </a:stretch>
                  </pic:blipFill>
                  <pic:spPr>
                    <a:xfrm>
                      <a:off x="0" y="0"/>
                      <a:ext cx="4968000" cy="2484000"/>
                    </a:xfrm>
                    <a:prstGeom prst="rect"/>
                  </pic:spPr>
                </pic:pic>
              </a:graphicData>
            </a:graphic>
          </wp:inline>
        </w:drawing>
      </w:r>
    </w:p>
    <w:p>
      <w:pPr>
        <w:jc w:val="center"/>
      </w:pPr>
      <w:r>
        <w:rPr>
          <w:rFonts w:ascii="Times New Roman" w:hAnsi="Times New Roman" w:cs="Times New Roman"/>
          <w:b w:val="0"/>
          <w:i/>
          <w:color w:val="555555"/>
          <w:sz w:val="18"/>
        </w:rPr>
        <w:t>Figura JOB.032. MATD3/E3 — episode_reward_summary.png — Resumen de recompensa por episodio.</w:t>
      </w:r>
    </w:p>
    <w:p>
      <w:pPr>
        <w:jc w:val="center"/>
      </w:pPr>
      <w:r>
        <w:drawing>
          <wp:inline xmlns:a="http://schemas.openxmlformats.org/drawingml/2006/main" xmlns:pic="http://schemas.openxmlformats.org/drawingml/2006/picture">
            <wp:extent cx="4968000" cy="2235600"/>
            <wp:docPr id="93" name="Picture 93"/>
            <wp:cNvGraphicFramePr>
              <a:graphicFrameLocks noChangeAspect="1"/>
            </wp:cNvGraphicFramePr>
            <a:graphic>
              <a:graphicData uri="http://schemas.openxmlformats.org/drawingml/2006/picture">
                <pic:pic>
                  <pic:nvPicPr>
                    <pic:cNvPr id="0" name="learning_efficiency.png"/>
                    <pic:cNvPicPr/>
                  </pic:nvPicPr>
                  <pic:blipFill>
                    <a:blip r:embed="rId112"/>
                    <a:stretch>
                      <a:fillRect/>
                    </a:stretch>
                  </pic:blipFill>
                  <pic:spPr>
                    <a:xfrm>
                      <a:off x="0" y="0"/>
                      <a:ext cx="4968000" cy="2235600"/>
                    </a:xfrm>
                    <a:prstGeom prst="rect"/>
                  </pic:spPr>
                </pic:pic>
              </a:graphicData>
            </a:graphic>
          </wp:inline>
        </w:drawing>
      </w:r>
    </w:p>
    <w:p>
      <w:pPr>
        <w:jc w:val="center"/>
      </w:pPr>
      <w:r>
        <w:rPr>
          <w:rFonts w:ascii="Times New Roman" w:hAnsi="Times New Roman" w:cs="Times New Roman"/>
          <w:b w:val="0"/>
          <w:i/>
          <w:color w:val="555555"/>
          <w:sz w:val="18"/>
        </w:rPr>
        <w:t>Figura JOB.033. MATD3/E3 — learning_efficiency.png — Eficiencia de aprendizaje.</w:t>
      </w:r>
    </w:p>
    <w:p>
      <w:pPr>
        <w:jc w:val="center"/>
      </w:pPr>
      <w:r>
        <w:drawing>
          <wp:inline xmlns:a="http://schemas.openxmlformats.org/drawingml/2006/main" xmlns:pic="http://schemas.openxmlformats.org/drawingml/2006/picture">
            <wp:extent cx="4968000" cy="2258182"/>
            <wp:docPr id="94" name="Picture 94"/>
            <wp:cNvGraphicFramePr>
              <a:graphicFrameLocks noChangeAspect="1"/>
            </wp:cNvGraphicFramePr>
            <a:graphic>
              <a:graphicData uri="http://schemas.openxmlformats.org/drawingml/2006/picture">
                <pic:pic>
                  <pic:nvPicPr>
                    <pic:cNvPr id="0" name="agent_reward_contribution.png"/>
                    <pic:cNvPicPr/>
                  </pic:nvPicPr>
                  <pic:blipFill>
                    <a:blip r:embed="rId113"/>
                    <a:stretch>
                      <a:fillRect/>
                    </a:stretch>
                  </pic:blipFill>
                  <pic:spPr>
                    <a:xfrm>
                      <a:off x="0" y="0"/>
                      <a:ext cx="4968000" cy="2258182"/>
                    </a:xfrm>
                    <a:prstGeom prst="rect"/>
                  </pic:spPr>
                </pic:pic>
              </a:graphicData>
            </a:graphic>
          </wp:inline>
        </w:drawing>
      </w:r>
    </w:p>
    <w:p>
      <w:pPr>
        <w:jc w:val="center"/>
      </w:pPr>
      <w:r>
        <w:rPr>
          <w:rFonts w:ascii="Times New Roman" w:hAnsi="Times New Roman" w:cs="Times New Roman"/>
          <w:b w:val="0"/>
          <w:i/>
          <w:color w:val="555555"/>
          <w:sz w:val="18"/>
        </w:rPr>
        <w:t>Figura JOB.034. MATD3/E3 — agent_reward_contribution.png — Contribución de recompensa por agente/edificio.</w:t>
      </w:r>
    </w:p>
    <w:p>
      <w:pPr>
        <w:jc w:val="center"/>
      </w:pPr>
      <w:r>
        <w:drawing>
          <wp:inline xmlns:a="http://schemas.openxmlformats.org/drawingml/2006/main" xmlns:pic="http://schemas.openxmlformats.org/drawingml/2006/picture">
            <wp:extent cx="4968000" cy="1987200"/>
            <wp:docPr id="95" name="Picture 95"/>
            <wp:cNvGraphicFramePr>
              <a:graphicFrameLocks noChangeAspect="1"/>
            </wp:cNvGraphicFramePr>
            <a:graphic>
              <a:graphicData uri="http://schemas.openxmlformats.org/drawingml/2006/picture">
                <pic:pic>
                  <pic:nvPicPr>
                    <pic:cNvPr id="0" name="exploration_action_l2.png"/>
                    <pic:cNvPicPr/>
                  </pic:nvPicPr>
                  <pic:blipFill>
                    <a:blip r:embed="rId114"/>
                    <a:stretch>
                      <a:fillRect/>
                    </a:stretch>
                  </pic:blipFill>
                  <pic:spPr>
                    <a:xfrm>
                      <a:off x="0" y="0"/>
                      <a:ext cx="4968000" cy="1987200"/>
                    </a:xfrm>
                    <a:prstGeom prst="rect"/>
                  </pic:spPr>
                </pic:pic>
              </a:graphicData>
            </a:graphic>
          </wp:inline>
        </w:drawing>
      </w:r>
    </w:p>
    <w:p>
      <w:pPr>
        <w:jc w:val="center"/>
      </w:pPr>
      <w:r>
        <w:rPr>
          <w:rFonts w:ascii="Times New Roman" w:hAnsi="Times New Roman" w:cs="Times New Roman"/>
          <w:b w:val="0"/>
          <w:i/>
          <w:color w:val="555555"/>
          <w:sz w:val="18"/>
        </w:rPr>
        <w:t>Figura JOB.035. MATD3/E3 — exploration_action_l2.png — Exploración (norma L2 de acciones).</w:t>
      </w:r>
    </w:p>
    <w:p>
      <w:pPr>
        <w:jc w:val="center"/>
      </w:pPr>
      <w:r>
        <w:drawing>
          <wp:inline xmlns:a="http://schemas.openxmlformats.org/drawingml/2006/main" xmlns:pic="http://schemas.openxmlformats.org/drawingml/2006/picture">
            <wp:extent cx="4968000" cy="5419636"/>
            <wp:docPr id="96" name="Picture 96"/>
            <wp:cNvGraphicFramePr>
              <a:graphicFrameLocks noChangeAspect="1"/>
            </wp:cNvGraphicFramePr>
            <a:graphic>
              <a:graphicData uri="http://schemas.openxmlformats.org/drawingml/2006/picture">
                <pic:pic>
                  <pic:nvPicPr>
                    <pic:cNvPr id="0" name="citylearn_v2_district_timeseries.png"/>
                    <pic:cNvPicPr/>
                  </pic:nvPicPr>
                  <pic:blipFill>
                    <a:blip r:embed="rId115"/>
                    <a:stretch>
                      <a:fillRect/>
                    </a:stretch>
                  </pic:blipFill>
                  <pic:spPr>
                    <a:xfrm>
                      <a:off x="0" y="0"/>
                      <a:ext cx="4968000" cy="5419636"/>
                    </a:xfrm>
                    <a:prstGeom prst="rect"/>
                  </pic:spPr>
                </pic:pic>
              </a:graphicData>
            </a:graphic>
          </wp:inline>
        </w:drawing>
      </w:r>
    </w:p>
    <w:p>
      <w:pPr>
        <w:jc w:val="center"/>
      </w:pPr>
      <w:r>
        <w:rPr>
          <w:rFonts w:ascii="Times New Roman" w:hAnsi="Times New Roman" w:cs="Times New Roman"/>
          <w:b w:val="0"/>
          <w:i/>
          <w:color w:val="555555"/>
          <w:sz w:val="18"/>
        </w:rPr>
        <w:t>Figura JOB.036. MATD3/E3 — citylearn_v2_district_timeseries.png — Series temporales distritales CityLearn.</w:t>
      </w:r>
    </w:p>
    <w:p>
      <w:pPr>
        <w:jc w:val="center"/>
      </w:pPr>
      <w:r>
        <w:drawing>
          <wp:inline xmlns:a="http://schemas.openxmlformats.org/drawingml/2006/main" xmlns:pic="http://schemas.openxmlformats.org/drawingml/2006/picture">
            <wp:extent cx="4968000" cy="2918700"/>
            <wp:docPr id="97" name="Picture 97"/>
            <wp:cNvGraphicFramePr>
              <a:graphicFrameLocks noChangeAspect="1"/>
            </wp:cNvGraphicFramePr>
            <a:graphic>
              <a:graphicData uri="http://schemas.openxmlformats.org/drawingml/2006/picture">
                <pic:pic>
                  <pic:nvPicPr>
                    <pic:cNvPr id="0" name="core_kpis.png"/>
                    <pic:cNvPicPr/>
                  </pic:nvPicPr>
                  <pic:blipFill>
                    <a:blip r:embed="rId116"/>
                    <a:stretch>
                      <a:fillRect/>
                    </a:stretch>
                  </pic:blipFill>
                  <pic:spPr>
                    <a:xfrm>
                      <a:off x="0" y="0"/>
                      <a:ext cx="4968000" cy="2918700"/>
                    </a:xfrm>
                    <a:prstGeom prst="rect"/>
                  </pic:spPr>
                </pic:pic>
              </a:graphicData>
            </a:graphic>
          </wp:inline>
        </w:drawing>
      </w:r>
    </w:p>
    <w:p>
      <w:pPr>
        <w:jc w:val="center"/>
      </w:pPr>
      <w:r>
        <w:rPr>
          <w:rFonts w:ascii="Times New Roman" w:hAnsi="Times New Roman" w:cs="Times New Roman"/>
          <w:b w:val="0"/>
          <w:i/>
          <w:color w:val="555555"/>
          <w:sz w:val="18"/>
        </w:rPr>
        <w:t>Figura JOB.037. MATD3/E3 — core_kpis.png — KPIs núcleo del job.</w:t>
      </w:r>
    </w:p>
    <w:p>
      <w:pPr>
        <w:jc w:val="center"/>
      </w:pPr>
      <w:r>
        <w:drawing>
          <wp:inline xmlns:a="http://schemas.openxmlformats.org/drawingml/2006/main" xmlns:pic="http://schemas.openxmlformats.org/drawingml/2006/picture">
            <wp:extent cx="4968000" cy="5722515"/>
            <wp:docPr id="98" name="Picture 98"/>
            <wp:cNvGraphicFramePr>
              <a:graphicFrameLocks noChangeAspect="1"/>
            </wp:cNvGraphicFramePr>
            <a:graphic>
              <a:graphicData uri="http://schemas.openxmlformats.org/drawingml/2006/picture">
                <pic:pic>
                  <pic:nvPicPr>
                    <pic:cNvPr id="0" name="OE1_flexibility_kpis.png"/>
                    <pic:cNvPicPr/>
                  </pic:nvPicPr>
                  <pic:blipFill>
                    <a:blip r:embed="rId117"/>
                    <a:stretch>
                      <a:fillRect/>
                    </a:stretch>
                  </pic:blipFill>
                  <pic:spPr>
                    <a:xfrm>
                      <a:off x="0" y="0"/>
                      <a:ext cx="4968000" cy="5722515"/>
                    </a:xfrm>
                    <a:prstGeom prst="rect"/>
                  </pic:spPr>
                </pic:pic>
              </a:graphicData>
            </a:graphic>
          </wp:inline>
        </w:drawing>
      </w:r>
    </w:p>
    <w:p>
      <w:pPr>
        <w:jc w:val="center"/>
      </w:pPr>
      <w:r>
        <w:rPr>
          <w:rFonts w:ascii="Times New Roman" w:hAnsi="Times New Roman" w:cs="Times New Roman"/>
          <w:b w:val="0"/>
          <w:i/>
          <w:color w:val="555555"/>
          <w:sz w:val="18"/>
        </w:rPr>
        <w:t>Figura JOB.038. MATD3/E3 — OE1_flexibility_kpis.png — KPIs de flexibilidad (OE.1).</w:t>
      </w:r>
    </w:p>
    <w:p>
      <w:pPr>
        <w:jc w:val="center"/>
      </w:pPr>
      <w:r>
        <w:drawing>
          <wp:inline xmlns:a="http://schemas.openxmlformats.org/drawingml/2006/main" xmlns:pic="http://schemas.openxmlformats.org/drawingml/2006/picture">
            <wp:extent cx="4968000" cy="2235600"/>
            <wp:docPr id="99" name="Picture 99"/>
            <wp:cNvGraphicFramePr>
              <a:graphicFrameLocks noChangeAspect="1"/>
            </wp:cNvGraphicFramePr>
            <a:graphic>
              <a:graphicData uri="http://schemas.openxmlformats.org/drawingml/2006/picture">
                <pic:pic>
                  <pic:nvPicPr>
                    <pic:cNvPr id="0" name="OE2_co2_kpis.png"/>
                    <pic:cNvPicPr/>
                  </pic:nvPicPr>
                  <pic:blipFill>
                    <a:blip r:embed="rId118"/>
                    <a:stretch>
                      <a:fillRect/>
                    </a:stretch>
                  </pic:blipFill>
                  <pic:spPr>
                    <a:xfrm>
                      <a:off x="0" y="0"/>
                      <a:ext cx="4968000" cy="2235600"/>
                    </a:xfrm>
                    <a:prstGeom prst="rect"/>
                  </pic:spPr>
                </pic:pic>
              </a:graphicData>
            </a:graphic>
          </wp:inline>
        </w:drawing>
      </w:r>
    </w:p>
    <w:p>
      <w:pPr>
        <w:jc w:val="center"/>
      </w:pPr>
      <w:r>
        <w:rPr>
          <w:rFonts w:ascii="Times New Roman" w:hAnsi="Times New Roman" w:cs="Times New Roman"/>
          <w:b w:val="0"/>
          <w:i/>
          <w:color w:val="555555"/>
          <w:sz w:val="18"/>
        </w:rPr>
        <w:t>Figura JOB.039. MATD3/E3 — OE2_co2_kpis.png — KPIs de emisiones (OE.2).</w:t>
      </w:r>
    </w:p>
    <w:p>
      <w:pPr>
        <w:jc w:val="center"/>
      </w:pPr>
      <w:r>
        <w:drawing>
          <wp:inline xmlns:a="http://schemas.openxmlformats.org/drawingml/2006/main" xmlns:pic="http://schemas.openxmlformats.org/drawingml/2006/picture">
            <wp:extent cx="4968000" cy="2235600"/>
            <wp:docPr id="100" name="Picture 100"/>
            <wp:cNvGraphicFramePr>
              <a:graphicFrameLocks noChangeAspect="1"/>
            </wp:cNvGraphicFramePr>
            <a:graphic>
              <a:graphicData uri="http://schemas.openxmlformats.org/drawingml/2006/picture">
                <pic:pic>
                  <pic:nvPicPr>
                    <pic:cNvPr id="0" name="OE3_cost_kpis.png"/>
                    <pic:cNvPicPr/>
                  </pic:nvPicPr>
                  <pic:blipFill>
                    <a:blip r:embed="rId119"/>
                    <a:stretch>
                      <a:fillRect/>
                    </a:stretch>
                  </pic:blipFill>
                  <pic:spPr>
                    <a:xfrm>
                      <a:off x="0" y="0"/>
                      <a:ext cx="4968000" cy="2235600"/>
                    </a:xfrm>
                    <a:prstGeom prst="rect"/>
                  </pic:spPr>
                </pic:pic>
              </a:graphicData>
            </a:graphic>
          </wp:inline>
        </w:drawing>
      </w:r>
    </w:p>
    <w:p>
      <w:pPr>
        <w:jc w:val="center"/>
      </w:pPr>
      <w:r>
        <w:rPr>
          <w:rFonts w:ascii="Times New Roman" w:hAnsi="Times New Roman" w:cs="Times New Roman"/>
          <w:b w:val="0"/>
          <w:i/>
          <w:color w:val="555555"/>
          <w:sz w:val="18"/>
        </w:rPr>
        <w:t>Figura JOB.040. MATD3/E3 — OE3_cost_kpis.png — KPIs de costo (OE.3).</w:t>
      </w:r>
    </w:p>
    <w:p>
      <w:pPr>
        <w:jc w:val="center"/>
      </w:pPr>
      <w:r>
        <w:drawing>
          <wp:inline xmlns:a="http://schemas.openxmlformats.org/drawingml/2006/main" xmlns:pic="http://schemas.openxmlformats.org/drawingml/2006/picture">
            <wp:extent cx="4968000" cy="2484000"/>
            <wp:docPr id="101" name="Picture 101"/>
            <wp:cNvGraphicFramePr>
              <a:graphicFrameLocks noChangeAspect="1"/>
            </wp:cNvGraphicFramePr>
            <a:graphic>
              <a:graphicData uri="http://schemas.openxmlformats.org/drawingml/2006/picture">
                <pic:pic>
                  <pic:nvPicPr>
                    <pic:cNvPr id="0" name="axis_baseline_comparison.png"/>
                    <pic:cNvPicPr/>
                  </pic:nvPicPr>
                  <pic:blipFill>
                    <a:blip r:embed="rId92"/>
                    <a:stretch>
                      <a:fillRect/>
                    </a:stretch>
                  </pic:blipFill>
                  <pic:spPr>
                    <a:xfrm>
                      <a:off x="0" y="0"/>
                      <a:ext cx="4968000" cy="2484000"/>
                    </a:xfrm>
                    <a:prstGeom prst="rect"/>
                  </pic:spPr>
                </pic:pic>
              </a:graphicData>
            </a:graphic>
          </wp:inline>
        </w:drawing>
      </w:r>
    </w:p>
    <w:p>
      <w:pPr>
        <w:jc w:val="center"/>
      </w:pPr>
      <w:r>
        <w:rPr>
          <w:rFonts w:ascii="Times New Roman" w:hAnsi="Times New Roman" w:cs="Times New Roman"/>
          <w:b w:val="0"/>
          <w:i/>
          <w:color w:val="555555"/>
          <w:sz w:val="18"/>
        </w:rPr>
        <w:t>Figura JOB.041. MATD3/E3 — axis_baseline_comparison.png — Comparación por eje vs baseline.</w:t>
      </w:r>
    </w:p>
    <w:p>
      <w:pPr>
        <w:jc w:val="center"/>
      </w:pPr>
      <w:r>
        <w:drawing>
          <wp:inline xmlns:a="http://schemas.openxmlformats.org/drawingml/2006/main" xmlns:pic="http://schemas.openxmlformats.org/drawingml/2006/picture">
            <wp:extent cx="4968000" cy="3522764"/>
            <wp:docPr id="102" name="Picture 102"/>
            <wp:cNvGraphicFramePr>
              <a:graphicFrameLocks noChangeAspect="1"/>
            </wp:cNvGraphicFramePr>
            <a:graphic>
              <a:graphicData uri="http://schemas.openxmlformats.org/drawingml/2006/picture">
                <pic:pic>
                  <pic:nvPicPr>
                    <pic:cNvPr id="0" name="baseline_gain_by_kpi.png"/>
                    <pic:cNvPicPr/>
                  </pic:nvPicPr>
                  <pic:blipFill>
                    <a:blip r:embed="rId120"/>
                    <a:stretch>
                      <a:fillRect/>
                    </a:stretch>
                  </pic:blipFill>
                  <pic:spPr>
                    <a:xfrm>
                      <a:off x="0" y="0"/>
                      <a:ext cx="4968000" cy="3522764"/>
                    </a:xfrm>
                    <a:prstGeom prst="rect"/>
                  </pic:spPr>
                </pic:pic>
              </a:graphicData>
            </a:graphic>
          </wp:inline>
        </w:drawing>
      </w:r>
    </w:p>
    <w:p>
      <w:pPr>
        <w:jc w:val="center"/>
      </w:pPr>
      <w:r>
        <w:rPr>
          <w:rFonts w:ascii="Times New Roman" w:hAnsi="Times New Roman" w:cs="Times New Roman"/>
          <w:b w:val="0"/>
          <w:i/>
          <w:color w:val="555555"/>
          <w:sz w:val="18"/>
        </w:rPr>
        <w:t>Figura JOB.042. MATD3/E3 — baseline_gain_by_kpi.png — Ganancia/pérdida por KPI vs baseline.</w:t>
      </w:r>
    </w:p>
    <w:p>
      <w:r>
        <w:rPr>
          <w:rFonts w:ascii="Times New Roman" w:hAnsi="Times New Roman" w:cs="Times New Roman"/>
          <w:b/>
          <w:i w:val="0"/>
          <w:sz w:val="24"/>
        </w:rPr>
        <w:t>C.MAAC — figuras de performance</w:t>
      </w:r>
    </w:p>
    <w:p>
      <w:r>
        <w:rPr>
          <w:rFonts w:ascii="Times New Roman" w:hAnsi="Times New Roman" w:cs="Times New Roman"/>
          <w:b/>
          <w:i w:val="0"/>
          <w:sz w:val="22"/>
        </w:rPr>
        <w:t>MAAC / E1</w:t>
      </w:r>
    </w:p>
    <w:p>
      <w:pPr>
        <w:jc w:val="center"/>
      </w:pPr>
      <w:r>
        <w:drawing>
          <wp:inline xmlns:a="http://schemas.openxmlformats.org/drawingml/2006/main" xmlns:pic="http://schemas.openxmlformats.org/drawingml/2006/picture">
            <wp:extent cx="5472000" cy="2111228"/>
            <wp:docPr id="103" name="Picture 103"/>
            <wp:cNvGraphicFramePr>
              <a:graphicFrameLocks noChangeAspect="1"/>
            </wp:cNvGraphicFramePr>
            <a:graphic>
              <a:graphicData uri="http://schemas.openxmlformats.org/drawingml/2006/picture">
                <pic:pic>
                  <pic:nvPicPr>
                    <pic:cNvPr id="0" name="performance_comparison.png"/>
                    <pic:cNvPicPr/>
                  </pic:nvPicPr>
                  <pic:blipFill>
                    <a:blip r:embed="rId121"/>
                    <a:stretch>
                      <a:fillRect/>
                    </a:stretch>
                  </pic:blipFill>
                  <pic:spPr>
                    <a:xfrm>
                      <a:off x="0" y="0"/>
                      <a:ext cx="5472000" cy="2111228"/>
                    </a:xfrm>
                    <a:prstGeom prst="rect"/>
                  </pic:spPr>
                </pic:pic>
              </a:graphicData>
            </a:graphic>
          </wp:inline>
        </w:drawing>
      </w:r>
    </w:p>
    <w:p>
      <w:pPr>
        <w:jc w:val="center"/>
      </w:pPr>
      <w:r>
        <w:rPr>
          <w:rFonts w:ascii="Times New Roman" w:hAnsi="Times New Roman" w:cs="Times New Roman"/>
          <w:b w:val="0"/>
          <w:i/>
          <w:color w:val="555555"/>
          <w:sz w:val="18"/>
        </w:rPr>
        <w:t>Figura JOB.043. MAAC/E1 — performance_comparison.png — Distrito (efecto % vs baseline de 4 MADRL) + edificio (17 edificios).</w:t>
      </w:r>
    </w:p>
    <w:p>
      <w:pPr>
        <w:jc w:val="center"/>
      </w:pPr>
      <w:r>
        <w:drawing>
          <wp:inline xmlns:a="http://schemas.openxmlformats.org/drawingml/2006/main" xmlns:pic="http://schemas.openxmlformats.org/drawingml/2006/picture">
            <wp:extent cx="4968000" cy="2980800"/>
            <wp:docPr id="104" name="Picture 104"/>
            <wp:cNvGraphicFramePr>
              <a:graphicFrameLocks noChangeAspect="1"/>
            </wp:cNvGraphicFramePr>
            <a:graphic>
              <a:graphicData uri="http://schemas.openxmlformats.org/drawingml/2006/picture">
                <pic:pic>
                  <pic:nvPicPr>
                    <pic:cNvPr id="0" name="convergence_returns.png"/>
                    <pic:cNvPicPr/>
                  </pic:nvPicPr>
                  <pic:blipFill>
                    <a:blip r:embed="rId122"/>
                    <a:stretch>
                      <a:fillRect/>
                    </a:stretch>
                  </pic:blipFill>
                  <pic:spPr>
                    <a:xfrm>
                      <a:off x="0" y="0"/>
                      <a:ext cx="4968000" cy="2980800"/>
                    </a:xfrm>
                    <a:prstGeom prst="rect"/>
                  </pic:spPr>
                </pic:pic>
              </a:graphicData>
            </a:graphic>
          </wp:inline>
        </w:drawing>
      </w:r>
    </w:p>
    <w:p>
      <w:pPr>
        <w:jc w:val="center"/>
      </w:pPr>
      <w:r>
        <w:rPr>
          <w:rFonts w:ascii="Times New Roman" w:hAnsi="Times New Roman" w:cs="Times New Roman"/>
          <w:b w:val="0"/>
          <w:i/>
          <w:color w:val="555555"/>
          <w:sz w:val="18"/>
        </w:rPr>
        <w:t>Figura JOB.044. MAAC/E1 — convergence_returns.png — Convergencia de retornos episódicos.</w:t>
      </w:r>
    </w:p>
    <w:p>
      <w:pPr>
        <w:jc w:val="center"/>
      </w:pPr>
      <w:r>
        <w:drawing>
          <wp:inline xmlns:a="http://schemas.openxmlformats.org/drawingml/2006/main" xmlns:pic="http://schemas.openxmlformats.org/drawingml/2006/picture">
            <wp:extent cx="4968000" cy="1987200"/>
            <wp:docPr id="105" name="Picture 105"/>
            <wp:cNvGraphicFramePr>
              <a:graphicFrameLocks noChangeAspect="1"/>
            </wp:cNvGraphicFramePr>
            <a:graphic>
              <a:graphicData uri="http://schemas.openxmlformats.org/drawingml/2006/picture">
                <pic:pic>
                  <pic:nvPicPr>
                    <pic:cNvPr id="0" name="reward_timeseries.png"/>
                    <pic:cNvPicPr/>
                  </pic:nvPicPr>
                  <pic:blipFill>
                    <a:blip r:embed="rId123"/>
                    <a:stretch>
                      <a:fillRect/>
                    </a:stretch>
                  </pic:blipFill>
                  <pic:spPr>
                    <a:xfrm>
                      <a:off x="0" y="0"/>
                      <a:ext cx="4968000" cy="1987200"/>
                    </a:xfrm>
                    <a:prstGeom prst="rect"/>
                  </pic:spPr>
                </pic:pic>
              </a:graphicData>
            </a:graphic>
          </wp:inline>
        </w:drawing>
      </w:r>
    </w:p>
    <w:p>
      <w:pPr>
        <w:jc w:val="center"/>
      </w:pPr>
      <w:r>
        <w:rPr>
          <w:rFonts w:ascii="Times New Roman" w:hAnsi="Times New Roman" w:cs="Times New Roman"/>
          <w:b w:val="0"/>
          <w:i/>
          <w:color w:val="555555"/>
          <w:sz w:val="18"/>
        </w:rPr>
        <w:t>Figura JOB.045. MAAC/E1 — reward_timeseries.png — Serie temporal de recompensa.</w:t>
      </w:r>
    </w:p>
    <w:p>
      <w:pPr>
        <w:jc w:val="center"/>
      </w:pPr>
      <w:r>
        <w:drawing>
          <wp:inline xmlns:a="http://schemas.openxmlformats.org/drawingml/2006/main" xmlns:pic="http://schemas.openxmlformats.org/drawingml/2006/picture">
            <wp:extent cx="4968000" cy="2484000"/>
            <wp:docPr id="106" name="Picture 106"/>
            <wp:cNvGraphicFramePr>
              <a:graphicFrameLocks noChangeAspect="1"/>
            </wp:cNvGraphicFramePr>
            <a:graphic>
              <a:graphicData uri="http://schemas.openxmlformats.org/drawingml/2006/picture">
                <pic:pic>
                  <pic:nvPicPr>
                    <pic:cNvPr id="0" name="episode_reward_summary.png"/>
                    <pic:cNvPicPr/>
                  </pic:nvPicPr>
                  <pic:blipFill>
                    <a:blip r:embed="rId124"/>
                    <a:stretch>
                      <a:fillRect/>
                    </a:stretch>
                  </pic:blipFill>
                  <pic:spPr>
                    <a:xfrm>
                      <a:off x="0" y="0"/>
                      <a:ext cx="4968000" cy="2484000"/>
                    </a:xfrm>
                    <a:prstGeom prst="rect"/>
                  </pic:spPr>
                </pic:pic>
              </a:graphicData>
            </a:graphic>
          </wp:inline>
        </w:drawing>
      </w:r>
    </w:p>
    <w:p>
      <w:pPr>
        <w:jc w:val="center"/>
      </w:pPr>
      <w:r>
        <w:rPr>
          <w:rFonts w:ascii="Times New Roman" w:hAnsi="Times New Roman" w:cs="Times New Roman"/>
          <w:b w:val="0"/>
          <w:i/>
          <w:color w:val="555555"/>
          <w:sz w:val="18"/>
        </w:rPr>
        <w:t>Figura JOB.046. MAAC/E1 — episode_reward_summary.png — Resumen de recompensa por episodio.</w:t>
      </w:r>
    </w:p>
    <w:p>
      <w:pPr>
        <w:jc w:val="center"/>
      </w:pPr>
      <w:r>
        <w:drawing>
          <wp:inline xmlns:a="http://schemas.openxmlformats.org/drawingml/2006/main" xmlns:pic="http://schemas.openxmlformats.org/drawingml/2006/picture">
            <wp:extent cx="4968000" cy="2235600"/>
            <wp:docPr id="107" name="Picture 107"/>
            <wp:cNvGraphicFramePr>
              <a:graphicFrameLocks noChangeAspect="1"/>
            </wp:cNvGraphicFramePr>
            <a:graphic>
              <a:graphicData uri="http://schemas.openxmlformats.org/drawingml/2006/picture">
                <pic:pic>
                  <pic:nvPicPr>
                    <pic:cNvPr id="0" name="learning_efficiency.png"/>
                    <pic:cNvPicPr/>
                  </pic:nvPicPr>
                  <pic:blipFill>
                    <a:blip r:embed="rId125"/>
                    <a:stretch>
                      <a:fillRect/>
                    </a:stretch>
                  </pic:blipFill>
                  <pic:spPr>
                    <a:xfrm>
                      <a:off x="0" y="0"/>
                      <a:ext cx="4968000" cy="2235600"/>
                    </a:xfrm>
                    <a:prstGeom prst="rect"/>
                  </pic:spPr>
                </pic:pic>
              </a:graphicData>
            </a:graphic>
          </wp:inline>
        </w:drawing>
      </w:r>
    </w:p>
    <w:p>
      <w:pPr>
        <w:jc w:val="center"/>
      </w:pPr>
      <w:r>
        <w:rPr>
          <w:rFonts w:ascii="Times New Roman" w:hAnsi="Times New Roman" w:cs="Times New Roman"/>
          <w:b w:val="0"/>
          <w:i/>
          <w:color w:val="555555"/>
          <w:sz w:val="18"/>
        </w:rPr>
        <w:t>Figura JOB.047. MAAC/E1 — learning_efficiency.png — Eficiencia de aprendizaje.</w:t>
      </w:r>
    </w:p>
    <w:p>
      <w:pPr>
        <w:jc w:val="center"/>
      </w:pPr>
      <w:r>
        <w:drawing>
          <wp:inline xmlns:a="http://schemas.openxmlformats.org/drawingml/2006/main" xmlns:pic="http://schemas.openxmlformats.org/drawingml/2006/picture">
            <wp:extent cx="4968000" cy="2258182"/>
            <wp:docPr id="108" name="Picture 108"/>
            <wp:cNvGraphicFramePr>
              <a:graphicFrameLocks noChangeAspect="1"/>
            </wp:cNvGraphicFramePr>
            <a:graphic>
              <a:graphicData uri="http://schemas.openxmlformats.org/drawingml/2006/picture">
                <pic:pic>
                  <pic:nvPicPr>
                    <pic:cNvPr id="0" name="agent_reward_contribution.png"/>
                    <pic:cNvPicPr/>
                  </pic:nvPicPr>
                  <pic:blipFill>
                    <a:blip r:embed="rId126"/>
                    <a:stretch>
                      <a:fillRect/>
                    </a:stretch>
                  </pic:blipFill>
                  <pic:spPr>
                    <a:xfrm>
                      <a:off x="0" y="0"/>
                      <a:ext cx="4968000" cy="2258182"/>
                    </a:xfrm>
                    <a:prstGeom prst="rect"/>
                  </pic:spPr>
                </pic:pic>
              </a:graphicData>
            </a:graphic>
          </wp:inline>
        </w:drawing>
      </w:r>
    </w:p>
    <w:p>
      <w:pPr>
        <w:jc w:val="center"/>
      </w:pPr>
      <w:r>
        <w:rPr>
          <w:rFonts w:ascii="Times New Roman" w:hAnsi="Times New Roman" w:cs="Times New Roman"/>
          <w:b w:val="0"/>
          <w:i/>
          <w:color w:val="555555"/>
          <w:sz w:val="18"/>
        </w:rPr>
        <w:t>Figura JOB.048. MAAC/E1 — agent_reward_contribution.png — Contribución de recompensa por agente/edificio.</w:t>
      </w:r>
    </w:p>
    <w:p>
      <w:pPr>
        <w:jc w:val="center"/>
      </w:pPr>
      <w:r>
        <w:drawing>
          <wp:inline xmlns:a="http://schemas.openxmlformats.org/drawingml/2006/main" xmlns:pic="http://schemas.openxmlformats.org/drawingml/2006/picture">
            <wp:extent cx="4968000" cy="1987200"/>
            <wp:docPr id="109" name="Picture 109"/>
            <wp:cNvGraphicFramePr>
              <a:graphicFrameLocks noChangeAspect="1"/>
            </wp:cNvGraphicFramePr>
            <a:graphic>
              <a:graphicData uri="http://schemas.openxmlformats.org/drawingml/2006/picture">
                <pic:pic>
                  <pic:nvPicPr>
                    <pic:cNvPr id="0" name="exploration_action_l2.png"/>
                    <pic:cNvPicPr/>
                  </pic:nvPicPr>
                  <pic:blipFill>
                    <a:blip r:embed="rId127"/>
                    <a:stretch>
                      <a:fillRect/>
                    </a:stretch>
                  </pic:blipFill>
                  <pic:spPr>
                    <a:xfrm>
                      <a:off x="0" y="0"/>
                      <a:ext cx="4968000" cy="1987200"/>
                    </a:xfrm>
                    <a:prstGeom prst="rect"/>
                  </pic:spPr>
                </pic:pic>
              </a:graphicData>
            </a:graphic>
          </wp:inline>
        </w:drawing>
      </w:r>
    </w:p>
    <w:p>
      <w:pPr>
        <w:jc w:val="center"/>
      </w:pPr>
      <w:r>
        <w:rPr>
          <w:rFonts w:ascii="Times New Roman" w:hAnsi="Times New Roman" w:cs="Times New Roman"/>
          <w:b w:val="0"/>
          <w:i/>
          <w:color w:val="555555"/>
          <w:sz w:val="18"/>
        </w:rPr>
        <w:t>Figura JOB.049. MAAC/E1 — exploration_action_l2.png — Exploración (norma L2 de acciones).</w:t>
      </w:r>
    </w:p>
    <w:p>
      <w:pPr>
        <w:jc w:val="center"/>
      </w:pPr>
      <w:r>
        <w:drawing>
          <wp:inline xmlns:a="http://schemas.openxmlformats.org/drawingml/2006/main" xmlns:pic="http://schemas.openxmlformats.org/drawingml/2006/picture">
            <wp:extent cx="4968000" cy="5419636"/>
            <wp:docPr id="110" name="Picture 110"/>
            <wp:cNvGraphicFramePr>
              <a:graphicFrameLocks noChangeAspect="1"/>
            </wp:cNvGraphicFramePr>
            <a:graphic>
              <a:graphicData uri="http://schemas.openxmlformats.org/drawingml/2006/picture">
                <pic:pic>
                  <pic:nvPicPr>
                    <pic:cNvPr id="0" name="citylearn_v2_district_timeseries.png"/>
                    <pic:cNvPicPr/>
                  </pic:nvPicPr>
                  <pic:blipFill>
                    <a:blip r:embed="rId128"/>
                    <a:stretch>
                      <a:fillRect/>
                    </a:stretch>
                  </pic:blipFill>
                  <pic:spPr>
                    <a:xfrm>
                      <a:off x="0" y="0"/>
                      <a:ext cx="4968000" cy="5419636"/>
                    </a:xfrm>
                    <a:prstGeom prst="rect"/>
                  </pic:spPr>
                </pic:pic>
              </a:graphicData>
            </a:graphic>
          </wp:inline>
        </w:drawing>
      </w:r>
    </w:p>
    <w:p>
      <w:pPr>
        <w:jc w:val="center"/>
      </w:pPr>
      <w:r>
        <w:rPr>
          <w:rFonts w:ascii="Times New Roman" w:hAnsi="Times New Roman" w:cs="Times New Roman"/>
          <w:b w:val="0"/>
          <w:i/>
          <w:color w:val="555555"/>
          <w:sz w:val="18"/>
        </w:rPr>
        <w:t>Figura JOB.050. MAAC/E1 — citylearn_v2_district_timeseries.png — Series temporales distritales CityLearn.</w:t>
      </w:r>
    </w:p>
    <w:p>
      <w:pPr>
        <w:jc w:val="center"/>
      </w:pPr>
      <w:r>
        <w:drawing>
          <wp:inline xmlns:a="http://schemas.openxmlformats.org/drawingml/2006/main" xmlns:pic="http://schemas.openxmlformats.org/drawingml/2006/picture">
            <wp:extent cx="4968000" cy="2918700"/>
            <wp:docPr id="111" name="Picture 111"/>
            <wp:cNvGraphicFramePr>
              <a:graphicFrameLocks noChangeAspect="1"/>
            </wp:cNvGraphicFramePr>
            <a:graphic>
              <a:graphicData uri="http://schemas.openxmlformats.org/drawingml/2006/picture">
                <pic:pic>
                  <pic:nvPicPr>
                    <pic:cNvPr id="0" name="core_kpis.png"/>
                    <pic:cNvPicPr/>
                  </pic:nvPicPr>
                  <pic:blipFill>
                    <a:blip r:embed="rId129"/>
                    <a:stretch>
                      <a:fillRect/>
                    </a:stretch>
                  </pic:blipFill>
                  <pic:spPr>
                    <a:xfrm>
                      <a:off x="0" y="0"/>
                      <a:ext cx="4968000" cy="2918700"/>
                    </a:xfrm>
                    <a:prstGeom prst="rect"/>
                  </pic:spPr>
                </pic:pic>
              </a:graphicData>
            </a:graphic>
          </wp:inline>
        </w:drawing>
      </w:r>
    </w:p>
    <w:p>
      <w:pPr>
        <w:jc w:val="center"/>
      </w:pPr>
      <w:r>
        <w:rPr>
          <w:rFonts w:ascii="Times New Roman" w:hAnsi="Times New Roman" w:cs="Times New Roman"/>
          <w:b w:val="0"/>
          <w:i/>
          <w:color w:val="555555"/>
          <w:sz w:val="18"/>
        </w:rPr>
        <w:t>Figura JOB.051. MAAC/E1 — core_kpis.png — KPIs núcleo del job.</w:t>
      </w:r>
    </w:p>
    <w:p>
      <w:pPr>
        <w:jc w:val="center"/>
      </w:pPr>
      <w:r>
        <w:drawing>
          <wp:inline xmlns:a="http://schemas.openxmlformats.org/drawingml/2006/main" xmlns:pic="http://schemas.openxmlformats.org/drawingml/2006/picture">
            <wp:extent cx="4968000" cy="5722515"/>
            <wp:docPr id="112" name="Picture 112"/>
            <wp:cNvGraphicFramePr>
              <a:graphicFrameLocks noChangeAspect="1"/>
            </wp:cNvGraphicFramePr>
            <a:graphic>
              <a:graphicData uri="http://schemas.openxmlformats.org/drawingml/2006/picture">
                <pic:pic>
                  <pic:nvPicPr>
                    <pic:cNvPr id="0" name="OE1_flexibility_kpis.png"/>
                    <pic:cNvPicPr/>
                  </pic:nvPicPr>
                  <pic:blipFill>
                    <a:blip r:embed="rId130"/>
                    <a:stretch>
                      <a:fillRect/>
                    </a:stretch>
                  </pic:blipFill>
                  <pic:spPr>
                    <a:xfrm>
                      <a:off x="0" y="0"/>
                      <a:ext cx="4968000" cy="5722515"/>
                    </a:xfrm>
                    <a:prstGeom prst="rect"/>
                  </pic:spPr>
                </pic:pic>
              </a:graphicData>
            </a:graphic>
          </wp:inline>
        </w:drawing>
      </w:r>
    </w:p>
    <w:p>
      <w:pPr>
        <w:jc w:val="center"/>
      </w:pPr>
      <w:r>
        <w:rPr>
          <w:rFonts w:ascii="Times New Roman" w:hAnsi="Times New Roman" w:cs="Times New Roman"/>
          <w:b w:val="0"/>
          <w:i/>
          <w:color w:val="555555"/>
          <w:sz w:val="18"/>
        </w:rPr>
        <w:t>Figura JOB.052. MAAC/E1 — OE1_flexibility_kpis.png — KPIs de flexibilidad (OE.1).</w:t>
      </w:r>
    </w:p>
    <w:p>
      <w:pPr>
        <w:jc w:val="center"/>
      </w:pPr>
      <w:r>
        <w:drawing>
          <wp:inline xmlns:a="http://schemas.openxmlformats.org/drawingml/2006/main" xmlns:pic="http://schemas.openxmlformats.org/drawingml/2006/picture">
            <wp:extent cx="4968000" cy="2235600"/>
            <wp:docPr id="113" name="Picture 113"/>
            <wp:cNvGraphicFramePr>
              <a:graphicFrameLocks noChangeAspect="1"/>
            </wp:cNvGraphicFramePr>
            <a:graphic>
              <a:graphicData uri="http://schemas.openxmlformats.org/drawingml/2006/picture">
                <pic:pic>
                  <pic:nvPicPr>
                    <pic:cNvPr id="0" name="OE2_co2_kpis.png"/>
                    <pic:cNvPicPr/>
                  </pic:nvPicPr>
                  <pic:blipFill>
                    <a:blip r:embed="rId131"/>
                    <a:stretch>
                      <a:fillRect/>
                    </a:stretch>
                  </pic:blipFill>
                  <pic:spPr>
                    <a:xfrm>
                      <a:off x="0" y="0"/>
                      <a:ext cx="4968000" cy="2235600"/>
                    </a:xfrm>
                    <a:prstGeom prst="rect"/>
                  </pic:spPr>
                </pic:pic>
              </a:graphicData>
            </a:graphic>
          </wp:inline>
        </w:drawing>
      </w:r>
    </w:p>
    <w:p>
      <w:pPr>
        <w:jc w:val="center"/>
      </w:pPr>
      <w:r>
        <w:rPr>
          <w:rFonts w:ascii="Times New Roman" w:hAnsi="Times New Roman" w:cs="Times New Roman"/>
          <w:b w:val="0"/>
          <w:i/>
          <w:color w:val="555555"/>
          <w:sz w:val="18"/>
        </w:rPr>
        <w:t>Figura JOB.053. MAAC/E1 — OE2_co2_kpis.png — KPIs de emisiones (OE.2).</w:t>
      </w:r>
    </w:p>
    <w:p>
      <w:pPr>
        <w:jc w:val="center"/>
      </w:pPr>
      <w:r>
        <w:drawing>
          <wp:inline xmlns:a="http://schemas.openxmlformats.org/drawingml/2006/main" xmlns:pic="http://schemas.openxmlformats.org/drawingml/2006/picture">
            <wp:extent cx="4968000" cy="2235600"/>
            <wp:docPr id="114" name="Picture 114"/>
            <wp:cNvGraphicFramePr>
              <a:graphicFrameLocks noChangeAspect="1"/>
            </wp:cNvGraphicFramePr>
            <a:graphic>
              <a:graphicData uri="http://schemas.openxmlformats.org/drawingml/2006/picture">
                <pic:pic>
                  <pic:nvPicPr>
                    <pic:cNvPr id="0" name="OE3_cost_kpis.png"/>
                    <pic:cNvPicPr/>
                  </pic:nvPicPr>
                  <pic:blipFill>
                    <a:blip r:embed="rId132"/>
                    <a:stretch>
                      <a:fillRect/>
                    </a:stretch>
                  </pic:blipFill>
                  <pic:spPr>
                    <a:xfrm>
                      <a:off x="0" y="0"/>
                      <a:ext cx="4968000" cy="2235600"/>
                    </a:xfrm>
                    <a:prstGeom prst="rect"/>
                  </pic:spPr>
                </pic:pic>
              </a:graphicData>
            </a:graphic>
          </wp:inline>
        </w:drawing>
      </w:r>
    </w:p>
    <w:p>
      <w:pPr>
        <w:jc w:val="center"/>
      </w:pPr>
      <w:r>
        <w:rPr>
          <w:rFonts w:ascii="Times New Roman" w:hAnsi="Times New Roman" w:cs="Times New Roman"/>
          <w:b w:val="0"/>
          <w:i/>
          <w:color w:val="555555"/>
          <w:sz w:val="18"/>
        </w:rPr>
        <w:t>Figura JOB.054. MAAC/E1 — OE3_cost_kpis.png — KPIs de costo (OE.3).</w:t>
      </w:r>
    </w:p>
    <w:p>
      <w:pPr>
        <w:jc w:val="center"/>
      </w:pPr>
      <w:r>
        <w:drawing>
          <wp:inline xmlns:a="http://schemas.openxmlformats.org/drawingml/2006/main" xmlns:pic="http://schemas.openxmlformats.org/drawingml/2006/picture">
            <wp:extent cx="4968000" cy="2484000"/>
            <wp:docPr id="115" name="Picture 115"/>
            <wp:cNvGraphicFramePr>
              <a:graphicFrameLocks noChangeAspect="1"/>
            </wp:cNvGraphicFramePr>
            <a:graphic>
              <a:graphicData uri="http://schemas.openxmlformats.org/drawingml/2006/picture">
                <pic:pic>
                  <pic:nvPicPr>
                    <pic:cNvPr id="0" name="axis_baseline_comparison.png"/>
                    <pic:cNvPicPr/>
                  </pic:nvPicPr>
                  <pic:blipFill>
                    <a:blip r:embed="rId92"/>
                    <a:stretch>
                      <a:fillRect/>
                    </a:stretch>
                  </pic:blipFill>
                  <pic:spPr>
                    <a:xfrm>
                      <a:off x="0" y="0"/>
                      <a:ext cx="4968000" cy="2484000"/>
                    </a:xfrm>
                    <a:prstGeom prst="rect"/>
                  </pic:spPr>
                </pic:pic>
              </a:graphicData>
            </a:graphic>
          </wp:inline>
        </w:drawing>
      </w:r>
    </w:p>
    <w:p>
      <w:pPr>
        <w:jc w:val="center"/>
      </w:pPr>
      <w:r>
        <w:rPr>
          <w:rFonts w:ascii="Times New Roman" w:hAnsi="Times New Roman" w:cs="Times New Roman"/>
          <w:b w:val="0"/>
          <w:i/>
          <w:color w:val="555555"/>
          <w:sz w:val="18"/>
        </w:rPr>
        <w:t>Figura JOB.055. MAAC/E1 — axis_baseline_comparison.png — Comparación por eje vs baseline.</w:t>
      </w:r>
    </w:p>
    <w:p>
      <w:pPr>
        <w:jc w:val="center"/>
      </w:pPr>
      <w:r>
        <w:drawing>
          <wp:inline xmlns:a="http://schemas.openxmlformats.org/drawingml/2006/main" xmlns:pic="http://schemas.openxmlformats.org/drawingml/2006/picture">
            <wp:extent cx="4968000" cy="3522764"/>
            <wp:docPr id="116" name="Picture 116"/>
            <wp:cNvGraphicFramePr>
              <a:graphicFrameLocks noChangeAspect="1"/>
            </wp:cNvGraphicFramePr>
            <a:graphic>
              <a:graphicData uri="http://schemas.openxmlformats.org/drawingml/2006/picture">
                <pic:pic>
                  <pic:nvPicPr>
                    <pic:cNvPr id="0" name="baseline_gain_by_kpi.png"/>
                    <pic:cNvPicPr/>
                  </pic:nvPicPr>
                  <pic:blipFill>
                    <a:blip r:embed="rId133"/>
                    <a:stretch>
                      <a:fillRect/>
                    </a:stretch>
                  </pic:blipFill>
                  <pic:spPr>
                    <a:xfrm>
                      <a:off x="0" y="0"/>
                      <a:ext cx="4968000" cy="3522764"/>
                    </a:xfrm>
                    <a:prstGeom prst="rect"/>
                  </pic:spPr>
                </pic:pic>
              </a:graphicData>
            </a:graphic>
          </wp:inline>
        </w:drawing>
      </w:r>
    </w:p>
    <w:p>
      <w:pPr>
        <w:jc w:val="center"/>
      </w:pPr>
      <w:r>
        <w:rPr>
          <w:rFonts w:ascii="Times New Roman" w:hAnsi="Times New Roman" w:cs="Times New Roman"/>
          <w:b w:val="0"/>
          <w:i/>
          <w:color w:val="555555"/>
          <w:sz w:val="18"/>
        </w:rPr>
        <w:t>Figura JOB.056. MAAC/E1 — baseline_gain_by_kpi.png — Ganancia/pérdida por KPI vs baseline.</w:t>
      </w:r>
    </w:p>
    <w:p>
      <w:r>
        <w:rPr>
          <w:rFonts w:ascii="Times New Roman" w:hAnsi="Times New Roman" w:cs="Times New Roman"/>
          <w:b/>
          <w:i w:val="0"/>
          <w:sz w:val="22"/>
        </w:rPr>
        <w:t>MAAC / E2</w:t>
      </w:r>
    </w:p>
    <w:p>
      <w:pPr>
        <w:jc w:val="center"/>
      </w:pPr>
      <w:r>
        <w:drawing>
          <wp:inline xmlns:a="http://schemas.openxmlformats.org/drawingml/2006/main" xmlns:pic="http://schemas.openxmlformats.org/drawingml/2006/picture">
            <wp:extent cx="5472000" cy="2111228"/>
            <wp:docPr id="117" name="Picture 117"/>
            <wp:cNvGraphicFramePr>
              <a:graphicFrameLocks noChangeAspect="1"/>
            </wp:cNvGraphicFramePr>
            <a:graphic>
              <a:graphicData uri="http://schemas.openxmlformats.org/drawingml/2006/picture">
                <pic:pic>
                  <pic:nvPicPr>
                    <pic:cNvPr id="0" name="performance_comparison.png"/>
                    <pic:cNvPicPr/>
                  </pic:nvPicPr>
                  <pic:blipFill>
                    <a:blip r:embed="rId134"/>
                    <a:stretch>
                      <a:fillRect/>
                    </a:stretch>
                  </pic:blipFill>
                  <pic:spPr>
                    <a:xfrm>
                      <a:off x="0" y="0"/>
                      <a:ext cx="5472000" cy="2111228"/>
                    </a:xfrm>
                    <a:prstGeom prst="rect"/>
                  </pic:spPr>
                </pic:pic>
              </a:graphicData>
            </a:graphic>
          </wp:inline>
        </w:drawing>
      </w:r>
    </w:p>
    <w:p>
      <w:pPr>
        <w:jc w:val="center"/>
      </w:pPr>
      <w:r>
        <w:rPr>
          <w:rFonts w:ascii="Times New Roman" w:hAnsi="Times New Roman" w:cs="Times New Roman"/>
          <w:b w:val="0"/>
          <w:i/>
          <w:color w:val="555555"/>
          <w:sz w:val="18"/>
        </w:rPr>
        <w:t>Figura JOB.057. MAAC/E2 — performance_comparison.png — Distrito (efecto % vs baseline de 4 MADRL) + edificio (17 edificios).</w:t>
      </w:r>
    </w:p>
    <w:p>
      <w:pPr>
        <w:jc w:val="center"/>
      </w:pPr>
      <w:r>
        <w:drawing>
          <wp:inline xmlns:a="http://schemas.openxmlformats.org/drawingml/2006/main" xmlns:pic="http://schemas.openxmlformats.org/drawingml/2006/picture">
            <wp:extent cx="4968000" cy="2980800"/>
            <wp:docPr id="118" name="Picture 118"/>
            <wp:cNvGraphicFramePr>
              <a:graphicFrameLocks noChangeAspect="1"/>
            </wp:cNvGraphicFramePr>
            <a:graphic>
              <a:graphicData uri="http://schemas.openxmlformats.org/drawingml/2006/picture">
                <pic:pic>
                  <pic:nvPicPr>
                    <pic:cNvPr id="0" name="convergence_returns.png"/>
                    <pic:cNvPicPr/>
                  </pic:nvPicPr>
                  <pic:blipFill>
                    <a:blip r:embed="rId135"/>
                    <a:stretch>
                      <a:fillRect/>
                    </a:stretch>
                  </pic:blipFill>
                  <pic:spPr>
                    <a:xfrm>
                      <a:off x="0" y="0"/>
                      <a:ext cx="4968000" cy="2980800"/>
                    </a:xfrm>
                    <a:prstGeom prst="rect"/>
                  </pic:spPr>
                </pic:pic>
              </a:graphicData>
            </a:graphic>
          </wp:inline>
        </w:drawing>
      </w:r>
    </w:p>
    <w:p>
      <w:pPr>
        <w:jc w:val="center"/>
      </w:pPr>
      <w:r>
        <w:rPr>
          <w:rFonts w:ascii="Times New Roman" w:hAnsi="Times New Roman" w:cs="Times New Roman"/>
          <w:b w:val="0"/>
          <w:i/>
          <w:color w:val="555555"/>
          <w:sz w:val="18"/>
        </w:rPr>
        <w:t>Figura JOB.058. MAAC/E2 — convergence_returns.png — Convergencia de retornos episódicos.</w:t>
      </w:r>
    </w:p>
    <w:p>
      <w:pPr>
        <w:jc w:val="center"/>
      </w:pPr>
      <w:r>
        <w:drawing>
          <wp:inline xmlns:a="http://schemas.openxmlformats.org/drawingml/2006/main" xmlns:pic="http://schemas.openxmlformats.org/drawingml/2006/picture">
            <wp:extent cx="4968000" cy="1987200"/>
            <wp:docPr id="119" name="Picture 119"/>
            <wp:cNvGraphicFramePr>
              <a:graphicFrameLocks noChangeAspect="1"/>
            </wp:cNvGraphicFramePr>
            <a:graphic>
              <a:graphicData uri="http://schemas.openxmlformats.org/drawingml/2006/picture">
                <pic:pic>
                  <pic:nvPicPr>
                    <pic:cNvPr id="0" name="reward_timeseries.png"/>
                    <pic:cNvPicPr/>
                  </pic:nvPicPr>
                  <pic:blipFill>
                    <a:blip r:embed="rId136"/>
                    <a:stretch>
                      <a:fillRect/>
                    </a:stretch>
                  </pic:blipFill>
                  <pic:spPr>
                    <a:xfrm>
                      <a:off x="0" y="0"/>
                      <a:ext cx="4968000" cy="1987200"/>
                    </a:xfrm>
                    <a:prstGeom prst="rect"/>
                  </pic:spPr>
                </pic:pic>
              </a:graphicData>
            </a:graphic>
          </wp:inline>
        </w:drawing>
      </w:r>
    </w:p>
    <w:p>
      <w:pPr>
        <w:jc w:val="center"/>
      </w:pPr>
      <w:r>
        <w:rPr>
          <w:rFonts w:ascii="Times New Roman" w:hAnsi="Times New Roman" w:cs="Times New Roman"/>
          <w:b w:val="0"/>
          <w:i/>
          <w:color w:val="555555"/>
          <w:sz w:val="18"/>
        </w:rPr>
        <w:t>Figura JOB.059. MAAC/E2 — reward_timeseries.png — Serie temporal de recompensa.</w:t>
      </w:r>
    </w:p>
    <w:p>
      <w:pPr>
        <w:jc w:val="center"/>
      </w:pPr>
      <w:r>
        <w:drawing>
          <wp:inline xmlns:a="http://schemas.openxmlformats.org/drawingml/2006/main" xmlns:pic="http://schemas.openxmlformats.org/drawingml/2006/picture">
            <wp:extent cx="4968000" cy="2484000"/>
            <wp:docPr id="120" name="Picture 120"/>
            <wp:cNvGraphicFramePr>
              <a:graphicFrameLocks noChangeAspect="1"/>
            </wp:cNvGraphicFramePr>
            <a:graphic>
              <a:graphicData uri="http://schemas.openxmlformats.org/drawingml/2006/picture">
                <pic:pic>
                  <pic:nvPicPr>
                    <pic:cNvPr id="0" name="episode_reward_summary.png"/>
                    <pic:cNvPicPr/>
                  </pic:nvPicPr>
                  <pic:blipFill>
                    <a:blip r:embed="rId137"/>
                    <a:stretch>
                      <a:fillRect/>
                    </a:stretch>
                  </pic:blipFill>
                  <pic:spPr>
                    <a:xfrm>
                      <a:off x="0" y="0"/>
                      <a:ext cx="4968000" cy="2484000"/>
                    </a:xfrm>
                    <a:prstGeom prst="rect"/>
                  </pic:spPr>
                </pic:pic>
              </a:graphicData>
            </a:graphic>
          </wp:inline>
        </w:drawing>
      </w:r>
    </w:p>
    <w:p>
      <w:pPr>
        <w:jc w:val="center"/>
      </w:pPr>
      <w:r>
        <w:rPr>
          <w:rFonts w:ascii="Times New Roman" w:hAnsi="Times New Roman" w:cs="Times New Roman"/>
          <w:b w:val="0"/>
          <w:i/>
          <w:color w:val="555555"/>
          <w:sz w:val="18"/>
        </w:rPr>
        <w:t>Figura JOB.060. MAAC/E2 — episode_reward_summary.png — Resumen de recompensa por episodio.</w:t>
      </w:r>
    </w:p>
    <w:p>
      <w:pPr>
        <w:jc w:val="center"/>
      </w:pPr>
      <w:r>
        <w:drawing>
          <wp:inline xmlns:a="http://schemas.openxmlformats.org/drawingml/2006/main" xmlns:pic="http://schemas.openxmlformats.org/drawingml/2006/picture">
            <wp:extent cx="4968000" cy="2235600"/>
            <wp:docPr id="121" name="Picture 121"/>
            <wp:cNvGraphicFramePr>
              <a:graphicFrameLocks noChangeAspect="1"/>
            </wp:cNvGraphicFramePr>
            <a:graphic>
              <a:graphicData uri="http://schemas.openxmlformats.org/drawingml/2006/picture">
                <pic:pic>
                  <pic:nvPicPr>
                    <pic:cNvPr id="0" name="learning_efficiency.png"/>
                    <pic:cNvPicPr/>
                  </pic:nvPicPr>
                  <pic:blipFill>
                    <a:blip r:embed="rId138"/>
                    <a:stretch>
                      <a:fillRect/>
                    </a:stretch>
                  </pic:blipFill>
                  <pic:spPr>
                    <a:xfrm>
                      <a:off x="0" y="0"/>
                      <a:ext cx="4968000" cy="2235600"/>
                    </a:xfrm>
                    <a:prstGeom prst="rect"/>
                  </pic:spPr>
                </pic:pic>
              </a:graphicData>
            </a:graphic>
          </wp:inline>
        </w:drawing>
      </w:r>
    </w:p>
    <w:p>
      <w:pPr>
        <w:jc w:val="center"/>
      </w:pPr>
      <w:r>
        <w:rPr>
          <w:rFonts w:ascii="Times New Roman" w:hAnsi="Times New Roman" w:cs="Times New Roman"/>
          <w:b w:val="0"/>
          <w:i/>
          <w:color w:val="555555"/>
          <w:sz w:val="18"/>
        </w:rPr>
        <w:t>Figura JOB.061. MAAC/E2 — learning_efficiency.png — Eficiencia de aprendizaje.</w:t>
      </w:r>
    </w:p>
    <w:p>
      <w:pPr>
        <w:jc w:val="center"/>
      </w:pPr>
      <w:r>
        <w:drawing>
          <wp:inline xmlns:a="http://schemas.openxmlformats.org/drawingml/2006/main" xmlns:pic="http://schemas.openxmlformats.org/drawingml/2006/picture">
            <wp:extent cx="4968000" cy="2258182"/>
            <wp:docPr id="122" name="Picture 122"/>
            <wp:cNvGraphicFramePr>
              <a:graphicFrameLocks noChangeAspect="1"/>
            </wp:cNvGraphicFramePr>
            <a:graphic>
              <a:graphicData uri="http://schemas.openxmlformats.org/drawingml/2006/picture">
                <pic:pic>
                  <pic:nvPicPr>
                    <pic:cNvPr id="0" name="agent_reward_contribution.png"/>
                    <pic:cNvPicPr/>
                  </pic:nvPicPr>
                  <pic:blipFill>
                    <a:blip r:embed="rId139"/>
                    <a:stretch>
                      <a:fillRect/>
                    </a:stretch>
                  </pic:blipFill>
                  <pic:spPr>
                    <a:xfrm>
                      <a:off x="0" y="0"/>
                      <a:ext cx="4968000" cy="2258182"/>
                    </a:xfrm>
                    <a:prstGeom prst="rect"/>
                  </pic:spPr>
                </pic:pic>
              </a:graphicData>
            </a:graphic>
          </wp:inline>
        </w:drawing>
      </w:r>
    </w:p>
    <w:p>
      <w:pPr>
        <w:jc w:val="center"/>
      </w:pPr>
      <w:r>
        <w:rPr>
          <w:rFonts w:ascii="Times New Roman" w:hAnsi="Times New Roman" w:cs="Times New Roman"/>
          <w:b w:val="0"/>
          <w:i/>
          <w:color w:val="555555"/>
          <w:sz w:val="18"/>
        </w:rPr>
        <w:t>Figura JOB.062. MAAC/E2 — agent_reward_contribution.png — Contribución de recompensa por agente/edificio.</w:t>
      </w:r>
    </w:p>
    <w:p>
      <w:pPr>
        <w:jc w:val="center"/>
      </w:pPr>
      <w:r>
        <w:drawing>
          <wp:inline xmlns:a="http://schemas.openxmlformats.org/drawingml/2006/main" xmlns:pic="http://schemas.openxmlformats.org/drawingml/2006/picture">
            <wp:extent cx="4968000" cy="1987200"/>
            <wp:docPr id="123" name="Picture 123"/>
            <wp:cNvGraphicFramePr>
              <a:graphicFrameLocks noChangeAspect="1"/>
            </wp:cNvGraphicFramePr>
            <a:graphic>
              <a:graphicData uri="http://schemas.openxmlformats.org/drawingml/2006/picture">
                <pic:pic>
                  <pic:nvPicPr>
                    <pic:cNvPr id="0" name="exploration_action_l2.png"/>
                    <pic:cNvPicPr/>
                  </pic:nvPicPr>
                  <pic:blipFill>
                    <a:blip r:embed="rId140"/>
                    <a:stretch>
                      <a:fillRect/>
                    </a:stretch>
                  </pic:blipFill>
                  <pic:spPr>
                    <a:xfrm>
                      <a:off x="0" y="0"/>
                      <a:ext cx="4968000" cy="1987200"/>
                    </a:xfrm>
                    <a:prstGeom prst="rect"/>
                  </pic:spPr>
                </pic:pic>
              </a:graphicData>
            </a:graphic>
          </wp:inline>
        </w:drawing>
      </w:r>
    </w:p>
    <w:p>
      <w:pPr>
        <w:jc w:val="center"/>
      </w:pPr>
      <w:r>
        <w:rPr>
          <w:rFonts w:ascii="Times New Roman" w:hAnsi="Times New Roman" w:cs="Times New Roman"/>
          <w:b w:val="0"/>
          <w:i/>
          <w:color w:val="555555"/>
          <w:sz w:val="18"/>
        </w:rPr>
        <w:t>Figura JOB.063. MAAC/E2 — exploration_action_l2.png — Exploración (norma L2 de acciones).</w:t>
      </w:r>
    </w:p>
    <w:p>
      <w:pPr>
        <w:jc w:val="center"/>
      </w:pPr>
      <w:r>
        <w:drawing>
          <wp:inline xmlns:a="http://schemas.openxmlformats.org/drawingml/2006/main" xmlns:pic="http://schemas.openxmlformats.org/drawingml/2006/picture">
            <wp:extent cx="4968000" cy="5419636"/>
            <wp:docPr id="124" name="Picture 124"/>
            <wp:cNvGraphicFramePr>
              <a:graphicFrameLocks noChangeAspect="1"/>
            </wp:cNvGraphicFramePr>
            <a:graphic>
              <a:graphicData uri="http://schemas.openxmlformats.org/drawingml/2006/picture">
                <pic:pic>
                  <pic:nvPicPr>
                    <pic:cNvPr id="0" name="citylearn_v2_district_timeseries.png"/>
                    <pic:cNvPicPr/>
                  </pic:nvPicPr>
                  <pic:blipFill>
                    <a:blip r:embed="rId141"/>
                    <a:stretch>
                      <a:fillRect/>
                    </a:stretch>
                  </pic:blipFill>
                  <pic:spPr>
                    <a:xfrm>
                      <a:off x="0" y="0"/>
                      <a:ext cx="4968000" cy="5419636"/>
                    </a:xfrm>
                    <a:prstGeom prst="rect"/>
                  </pic:spPr>
                </pic:pic>
              </a:graphicData>
            </a:graphic>
          </wp:inline>
        </w:drawing>
      </w:r>
    </w:p>
    <w:p>
      <w:pPr>
        <w:jc w:val="center"/>
      </w:pPr>
      <w:r>
        <w:rPr>
          <w:rFonts w:ascii="Times New Roman" w:hAnsi="Times New Roman" w:cs="Times New Roman"/>
          <w:b w:val="0"/>
          <w:i/>
          <w:color w:val="555555"/>
          <w:sz w:val="18"/>
        </w:rPr>
        <w:t>Figura JOB.064. MAAC/E2 — citylearn_v2_district_timeseries.png — Series temporales distritales CityLearn.</w:t>
      </w:r>
    </w:p>
    <w:p>
      <w:pPr>
        <w:jc w:val="center"/>
      </w:pPr>
      <w:r>
        <w:drawing>
          <wp:inline xmlns:a="http://schemas.openxmlformats.org/drawingml/2006/main" xmlns:pic="http://schemas.openxmlformats.org/drawingml/2006/picture">
            <wp:extent cx="4968000" cy="2710665"/>
            <wp:docPr id="125" name="Picture 125"/>
            <wp:cNvGraphicFramePr>
              <a:graphicFrameLocks noChangeAspect="1"/>
            </wp:cNvGraphicFramePr>
            <a:graphic>
              <a:graphicData uri="http://schemas.openxmlformats.org/drawingml/2006/picture">
                <pic:pic>
                  <pic:nvPicPr>
                    <pic:cNvPr id="0" name="core_kpis.png"/>
                    <pic:cNvPicPr/>
                  </pic:nvPicPr>
                  <pic:blipFill>
                    <a:blip r:embed="rId142"/>
                    <a:stretch>
                      <a:fillRect/>
                    </a:stretch>
                  </pic:blipFill>
                  <pic:spPr>
                    <a:xfrm>
                      <a:off x="0" y="0"/>
                      <a:ext cx="4968000" cy="2710665"/>
                    </a:xfrm>
                    <a:prstGeom prst="rect"/>
                  </pic:spPr>
                </pic:pic>
              </a:graphicData>
            </a:graphic>
          </wp:inline>
        </w:drawing>
      </w:r>
    </w:p>
    <w:p>
      <w:pPr>
        <w:jc w:val="center"/>
      </w:pPr>
      <w:r>
        <w:rPr>
          <w:rFonts w:ascii="Times New Roman" w:hAnsi="Times New Roman" w:cs="Times New Roman"/>
          <w:b w:val="0"/>
          <w:i/>
          <w:color w:val="555555"/>
          <w:sz w:val="18"/>
        </w:rPr>
        <w:t>Figura JOB.065. MAAC/E2 — core_kpis.png — KPIs núcleo del job.</w:t>
      </w:r>
    </w:p>
    <w:p>
      <w:pPr>
        <w:jc w:val="center"/>
      </w:pPr>
      <w:r>
        <w:drawing>
          <wp:inline xmlns:a="http://schemas.openxmlformats.org/drawingml/2006/main" xmlns:pic="http://schemas.openxmlformats.org/drawingml/2006/picture">
            <wp:extent cx="4968000" cy="5722515"/>
            <wp:docPr id="126" name="Picture 126"/>
            <wp:cNvGraphicFramePr>
              <a:graphicFrameLocks noChangeAspect="1"/>
            </wp:cNvGraphicFramePr>
            <a:graphic>
              <a:graphicData uri="http://schemas.openxmlformats.org/drawingml/2006/picture">
                <pic:pic>
                  <pic:nvPicPr>
                    <pic:cNvPr id="0" name="OE1_flexibility_kpis.png"/>
                    <pic:cNvPicPr/>
                  </pic:nvPicPr>
                  <pic:blipFill>
                    <a:blip r:embed="rId143"/>
                    <a:stretch>
                      <a:fillRect/>
                    </a:stretch>
                  </pic:blipFill>
                  <pic:spPr>
                    <a:xfrm>
                      <a:off x="0" y="0"/>
                      <a:ext cx="4968000" cy="5722515"/>
                    </a:xfrm>
                    <a:prstGeom prst="rect"/>
                  </pic:spPr>
                </pic:pic>
              </a:graphicData>
            </a:graphic>
          </wp:inline>
        </w:drawing>
      </w:r>
    </w:p>
    <w:p>
      <w:pPr>
        <w:jc w:val="center"/>
      </w:pPr>
      <w:r>
        <w:rPr>
          <w:rFonts w:ascii="Times New Roman" w:hAnsi="Times New Roman" w:cs="Times New Roman"/>
          <w:b w:val="0"/>
          <w:i/>
          <w:color w:val="555555"/>
          <w:sz w:val="18"/>
        </w:rPr>
        <w:t>Figura JOB.066. MAAC/E2 — OE1_flexibility_kpis.png — KPIs de flexibilidad (OE.1).</w:t>
      </w:r>
    </w:p>
    <w:p>
      <w:pPr>
        <w:jc w:val="center"/>
      </w:pPr>
      <w:r>
        <w:drawing>
          <wp:inline xmlns:a="http://schemas.openxmlformats.org/drawingml/2006/main" xmlns:pic="http://schemas.openxmlformats.org/drawingml/2006/picture">
            <wp:extent cx="4968000" cy="2235600"/>
            <wp:docPr id="127" name="Picture 127"/>
            <wp:cNvGraphicFramePr>
              <a:graphicFrameLocks noChangeAspect="1"/>
            </wp:cNvGraphicFramePr>
            <a:graphic>
              <a:graphicData uri="http://schemas.openxmlformats.org/drawingml/2006/picture">
                <pic:pic>
                  <pic:nvPicPr>
                    <pic:cNvPr id="0" name="OE2_co2_kpis.png"/>
                    <pic:cNvPicPr/>
                  </pic:nvPicPr>
                  <pic:blipFill>
                    <a:blip r:embed="rId144"/>
                    <a:stretch>
                      <a:fillRect/>
                    </a:stretch>
                  </pic:blipFill>
                  <pic:spPr>
                    <a:xfrm>
                      <a:off x="0" y="0"/>
                      <a:ext cx="4968000" cy="2235600"/>
                    </a:xfrm>
                    <a:prstGeom prst="rect"/>
                  </pic:spPr>
                </pic:pic>
              </a:graphicData>
            </a:graphic>
          </wp:inline>
        </w:drawing>
      </w:r>
    </w:p>
    <w:p>
      <w:pPr>
        <w:jc w:val="center"/>
      </w:pPr>
      <w:r>
        <w:rPr>
          <w:rFonts w:ascii="Times New Roman" w:hAnsi="Times New Roman" w:cs="Times New Roman"/>
          <w:b w:val="0"/>
          <w:i/>
          <w:color w:val="555555"/>
          <w:sz w:val="18"/>
        </w:rPr>
        <w:t>Figura JOB.067. MAAC/E2 — OE2_co2_kpis.png — KPIs de emisiones (OE.2).</w:t>
      </w:r>
    </w:p>
    <w:p>
      <w:pPr>
        <w:jc w:val="center"/>
      </w:pPr>
      <w:r>
        <w:drawing>
          <wp:inline xmlns:a="http://schemas.openxmlformats.org/drawingml/2006/main" xmlns:pic="http://schemas.openxmlformats.org/drawingml/2006/picture">
            <wp:extent cx="4968000" cy="2235600"/>
            <wp:docPr id="128" name="Picture 128"/>
            <wp:cNvGraphicFramePr>
              <a:graphicFrameLocks noChangeAspect="1"/>
            </wp:cNvGraphicFramePr>
            <a:graphic>
              <a:graphicData uri="http://schemas.openxmlformats.org/drawingml/2006/picture">
                <pic:pic>
                  <pic:nvPicPr>
                    <pic:cNvPr id="0" name="OE3_cost_kpis.png"/>
                    <pic:cNvPicPr/>
                  </pic:nvPicPr>
                  <pic:blipFill>
                    <a:blip r:embed="rId145"/>
                    <a:stretch>
                      <a:fillRect/>
                    </a:stretch>
                  </pic:blipFill>
                  <pic:spPr>
                    <a:xfrm>
                      <a:off x="0" y="0"/>
                      <a:ext cx="4968000" cy="2235600"/>
                    </a:xfrm>
                    <a:prstGeom prst="rect"/>
                  </pic:spPr>
                </pic:pic>
              </a:graphicData>
            </a:graphic>
          </wp:inline>
        </w:drawing>
      </w:r>
    </w:p>
    <w:p>
      <w:pPr>
        <w:jc w:val="center"/>
      </w:pPr>
      <w:r>
        <w:rPr>
          <w:rFonts w:ascii="Times New Roman" w:hAnsi="Times New Roman" w:cs="Times New Roman"/>
          <w:b w:val="0"/>
          <w:i/>
          <w:color w:val="555555"/>
          <w:sz w:val="18"/>
        </w:rPr>
        <w:t>Figura JOB.068. MAAC/E2 — OE3_cost_kpis.png — KPIs de costo (OE.3).</w:t>
      </w:r>
    </w:p>
    <w:p>
      <w:pPr>
        <w:jc w:val="center"/>
      </w:pPr>
      <w:r>
        <w:drawing>
          <wp:inline xmlns:a="http://schemas.openxmlformats.org/drawingml/2006/main" xmlns:pic="http://schemas.openxmlformats.org/drawingml/2006/picture">
            <wp:extent cx="4968000" cy="2484000"/>
            <wp:docPr id="129" name="Picture 129"/>
            <wp:cNvGraphicFramePr>
              <a:graphicFrameLocks noChangeAspect="1"/>
            </wp:cNvGraphicFramePr>
            <a:graphic>
              <a:graphicData uri="http://schemas.openxmlformats.org/drawingml/2006/picture">
                <pic:pic>
                  <pic:nvPicPr>
                    <pic:cNvPr id="0" name="axis_baseline_comparison.png"/>
                    <pic:cNvPicPr/>
                  </pic:nvPicPr>
                  <pic:blipFill>
                    <a:blip r:embed="rId106"/>
                    <a:stretch>
                      <a:fillRect/>
                    </a:stretch>
                  </pic:blipFill>
                  <pic:spPr>
                    <a:xfrm>
                      <a:off x="0" y="0"/>
                      <a:ext cx="4968000" cy="2484000"/>
                    </a:xfrm>
                    <a:prstGeom prst="rect"/>
                  </pic:spPr>
                </pic:pic>
              </a:graphicData>
            </a:graphic>
          </wp:inline>
        </w:drawing>
      </w:r>
    </w:p>
    <w:p>
      <w:pPr>
        <w:jc w:val="center"/>
      </w:pPr>
      <w:r>
        <w:rPr>
          <w:rFonts w:ascii="Times New Roman" w:hAnsi="Times New Roman" w:cs="Times New Roman"/>
          <w:b w:val="0"/>
          <w:i/>
          <w:color w:val="555555"/>
          <w:sz w:val="18"/>
        </w:rPr>
        <w:t>Figura JOB.069. MAAC/E2 — axis_baseline_comparison.png — Comparación por eje vs baseline.</w:t>
      </w:r>
    </w:p>
    <w:p>
      <w:pPr>
        <w:jc w:val="center"/>
      </w:pPr>
      <w:r>
        <w:drawing>
          <wp:inline xmlns:a="http://schemas.openxmlformats.org/drawingml/2006/main" xmlns:pic="http://schemas.openxmlformats.org/drawingml/2006/picture">
            <wp:extent cx="4968000" cy="3387273"/>
            <wp:docPr id="130" name="Picture 130"/>
            <wp:cNvGraphicFramePr>
              <a:graphicFrameLocks noChangeAspect="1"/>
            </wp:cNvGraphicFramePr>
            <a:graphic>
              <a:graphicData uri="http://schemas.openxmlformats.org/drawingml/2006/picture">
                <pic:pic>
                  <pic:nvPicPr>
                    <pic:cNvPr id="0" name="baseline_gain_by_kpi.png"/>
                    <pic:cNvPicPr/>
                  </pic:nvPicPr>
                  <pic:blipFill>
                    <a:blip r:embed="rId146"/>
                    <a:stretch>
                      <a:fillRect/>
                    </a:stretch>
                  </pic:blipFill>
                  <pic:spPr>
                    <a:xfrm>
                      <a:off x="0" y="0"/>
                      <a:ext cx="4968000" cy="3387273"/>
                    </a:xfrm>
                    <a:prstGeom prst="rect"/>
                  </pic:spPr>
                </pic:pic>
              </a:graphicData>
            </a:graphic>
          </wp:inline>
        </w:drawing>
      </w:r>
    </w:p>
    <w:p>
      <w:pPr>
        <w:jc w:val="center"/>
      </w:pPr>
      <w:r>
        <w:rPr>
          <w:rFonts w:ascii="Times New Roman" w:hAnsi="Times New Roman" w:cs="Times New Roman"/>
          <w:b w:val="0"/>
          <w:i/>
          <w:color w:val="555555"/>
          <w:sz w:val="18"/>
        </w:rPr>
        <w:t>Figura JOB.070. MAAC/E2 — baseline_gain_by_kpi.png — Ganancia/pérdida por KPI vs baseline.</w:t>
      </w:r>
    </w:p>
    <w:p>
      <w:r>
        <w:rPr>
          <w:rFonts w:ascii="Times New Roman" w:hAnsi="Times New Roman" w:cs="Times New Roman"/>
          <w:b/>
          <w:i w:val="0"/>
          <w:sz w:val="22"/>
        </w:rPr>
        <w:t>MAAC / E3</w:t>
      </w:r>
    </w:p>
    <w:p>
      <w:pPr>
        <w:jc w:val="center"/>
      </w:pPr>
      <w:r>
        <w:drawing>
          <wp:inline xmlns:a="http://schemas.openxmlformats.org/drawingml/2006/main" xmlns:pic="http://schemas.openxmlformats.org/drawingml/2006/picture">
            <wp:extent cx="5472000" cy="2111228"/>
            <wp:docPr id="131" name="Picture 131"/>
            <wp:cNvGraphicFramePr>
              <a:graphicFrameLocks noChangeAspect="1"/>
            </wp:cNvGraphicFramePr>
            <a:graphic>
              <a:graphicData uri="http://schemas.openxmlformats.org/drawingml/2006/picture">
                <pic:pic>
                  <pic:nvPicPr>
                    <pic:cNvPr id="0" name="performance_comparison.png"/>
                    <pic:cNvPicPr/>
                  </pic:nvPicPr>
                  <pic:blipFill>
                    <a:blip r:embed="rId147"/>
                    <a:stretch>
                      <a:fillRect/>
                    </a:stretch>
                  </pic:blipFill>
                  <pic:spPr>
                    <a:xfrm>
                      <a:off x="0" y="0"/>
                      <a:ext cx="5472000" cy="2111228"/>
                    </a:xfrm>
                    <a:prstGeom prst="rect"/>
                  </pic:spPr>
                </pic:pic>
              </a:graphicData>
            </a:graphic>
          </wp:inline>
        </w:drawing>
      </w:r>
    </w:p>
    <w:p>
      <w:pPr>
        <w:jc w:val="center"/>
      </w:pPr>
      <w:r>
        <w:rPr>
          <w:rFonts w:ascii="Times New Roman" w:hAnsi="Times New Roman" w:cs="Times New Roman"/>
          <w:b w:val="0"/>
          <w:i/>
          <w:color w:val="555555"/>
          <w:sz w:val="18"/>
        </w:rPr>
        <w:t>Figura JOB.071. MAAC/E3 — performance_comparison.png — Distrito (efecto % vs baseline de 4 MADRL) + edificio (17 edificios).</w:t>
      </w:r>
    </w:p>
    <w:p>
      <w:pPr>
        <w:jc w:val="center"/>
      </w:pPr>
      <w:r>
        <w:drawing>
          <wp:inline xmlns:a="http://schemas.openxmlformats.org/drawingml/2006/main" xmlns:pic="http://schemas.openxmlformats.org/drawingml/2006/picture">
            <wp:extent cx="4968000" cy="2980800"/>
            <wp:docPr id="132" name="Picture 132"/>
            <wp:cNvGraphicFramePr>
              <a:graphicFrameLocks noChangeAspect="1"/>
            </wp:cNvGraphicFramePr>
            <a:graphic>
              <a:graphicData uri="http://schemas.openxmlformats.org/drawingml/2006/picture">
                <pic:pic>
                  <pic:nvPicPr>
                    <pic:cNvPr id="0" name="convergence_returns.png"/>
                    <pic:cNvPicPr/>
                  </pic:nvPicPr>
                  <pic:blipFill>
                    <a:blip r:embed="rId148"/>
                    <a:stretch>
                      <a:fillRect/>
                    </a:stretch>
                  </pic:blipFill>
                  <pic:spPr>
                    <a:xfrm>
                      <a:off x="0" y="0"/>
                      <a:ext cx="4968000" cy="2980800"/>
                    </a:xfrm>
                    <a:prstGeom prst="rect"/>
                  </pic:spPr>
                </pic:pic>
              </a:graphicData>
            </a:graphic>
          </wp:inline>
        </w:drawing>
      </w:r>
    </w:p>
    <w:p>
      <w:pPr>
        <w:jc w:val="center"/>
      </w:pPr>
      <w:r>
        <w:rPr>
          <w:rFonts w:ascii="Times New Roman" w:hAnsi="Times New Roman" w:cs="Times New Roman"/>
          <w:b w:val="0"/>
          <w:i/>
          <w:color w:val="555555"/>
          <w:sz w:val="18"/>
        </w:rPr>
        <w:t>Figura JOB.072. MAAC/E3 — convergence_returns.png — Convergencia de retornos episódicos.</w:t>
      </w:r>
    </w:p>
    <w:p>
      <w:pPr>
        <w:jc w:val="center"/>
      </w:pPr>
      <w:r>
        <w:drawing>
          <wp:inline xmlns:a="http://schemas.openxmlformats.org/drawingml/2006/main" xmlns:pic="http://schemas.openxmlformats.org/drawingml/2006/picture">
            <wp:extent cx="4968000" cy="1987200"/>
            <wp:docPr id="133" name="Picture 133"/>
            <wp:cNvGraphicFramePr>
              <a:graphicFrameLocks noChangeAspect="1"/>
            </wp:cNvGraphicFramePr>
            <a:graphic>
              <a:graphicData uri="http://schemas.openxmlformats.org/drawingml/2006/picture">
                <pic:pic>
                  <pic:nvPicPr>
                    <pic:cNvPr id="0" name="reward_timeseries.png"/>
                    <pic:cNvPicPr/>
                  </pic:nvPicPr>
                  <pic:blipFill>
                    <a:blip r:embed="rId149"/>
                    <a:stretch>
                      <a:fillRect/>
                    </a:stretch>
                  </pic:blipFill>
                  <pic:spPr>
                    <a:xfrm>
                      <a:off x="0" y="0"/>
                      <a:ext cx="4968000" cy="1987200"/>
                    </a:xfrm>
                    <a:prstGeom prst="rect"/>
                  </pic:spPr>
                </pic:pic>
              </a:graphicData>
            </a:graphic>
          </wp:inline>
        </w:drawing>
      </w:r>
    </w:p>
    <w:p>
      <w:pPr>
        <w:jc w:val="center"/>
      </w:pPr>
      <w:r>
        <w:rPr>
          <w:rFonts w:ascii="Times New Roman" w:hAnsi="Times New Roman" w:cs="Times New Roman"/>
          <w:b w:val="0"/>
          <w:i/>
          <w:color w:val="555555"/>
          <w:sz w:val="18"/>
        </w:rPr>
        <w:t>Figura JOB.073. MAAC/E3 — reward_timeseries.png — Serie temporal de recompensa.</w:t>
      </w:r>
    </w:p>
    <w:p>
      <w:pPr>
        <w:jc w:val="center"/>
      </w:pPr>
      <w:r>
        <w:drawing>
          <wp:inline xmlns:a="http://schemas.openxmlformats.org/drawingml/2006/main" xmlns:pic="http://schemas.openxmlformats.org/drawingml/2006/picture">
            <wp:extent cx="4968000" cy="2484000"/>
            <wp:docPr id="134" name="Picture 134"/>
            <wp:cNvGraphicFramePr>
              <a:graphicFrameLocks noChangeAspect="1"/>
            </wp:cNvGraphicFramePr>
            <a:graphic>
              <a:graphicData uri="http://schemas.openxmlformats.org/drawingml/2006/picture">
                <pic:pic>
                  <pic:nvPicPr>
                    <pic:cNvPr id="0" name="episode_reward_summary.png"/>
                    <pic:cNvPicPr/>
                  </pic:nvPicPr>
                  <pic:blipFill>
                    <a:blip r:embed="rId150"/>
                    <a:stretch>
                      <a:fillRect/>
                    </a:stretch>
                  </pic:blipFill>
                  <pic:spPr>
                    <a:xfrm>
                      <a:off x="0" y="0"/>
                      <a:ext cx="4968000" cy="2484000"/>
                    </a:xfrm>
                    <a:prstGeom prst="rect"/>
                  </pic:spPr>
                </pic:pic>
              </a:graphicData>
            </a:graphic>
          </wp:inline>
        </w:drawing>
      </w:r>
    </w:p>
    <w:p>
      <w:pPr>
        <w:jc w:val="center"/>
      </w:pPr>
      <w:r>
        <w:rPr>
          <w:rFonts w:ascii="Times New Roman" w:hAnsi="Times New Roman" w:cs="Times New Roman"/>
          <w:b w:val="0"/>
          <w:i/>
          <w:color w:val="555555"/>
          <w:sz w:val="18"/>
        </w:rPr>
        <w:t>Figura JOB.074. MAAC/E3 — episode_reward_summary.png — Resumen de recompensa por episodio.</w:t>
      </w:r>
    </w:p>
    <w:p>
      <w:pPr>
        <w:jc w:val="center"/>
      </w:pPr>
      <w:r>
        <w:drawing>
          <wp:inline xmlns:a="http://schemas.openxmlformats.org/drawingml/2006/main" xmlns:pic="http://schemas.openxmlformats.org/drawingml/2006/picture">
            <wp:extent cx="4968000" cy="2235600"/>
            <wp:docPr id="135" name="Picture 135"/>
            <wp:cNvGraphicFramePr>
              <a:graphicFrameLocks noChangeAspect="1"/>
            </wp:cNvGraphicFramePr>
            <a:graphic>
              <a:graphicData uri="http://schemas.openxmlformats.org/drawingml/2006/picture">
                <pic:pic>
                  <pic:nvPicPr>
                    <pic:cNvPr id="0" name="learning_efficiency.png"/>
                    <pic:cNvPicPr/>
                  </pic:nvPicPr>
                  <pic:blipFill>
                    <a:blip r:embed="rId151"/>
                    <a:stretch>
                      <a:fillRect/>
                    </a:stretch>
                  </pic:blipFill>
                  <pic:spPr>
                    <a:xfrm>
                      <a:off x="0" y="0"/>
                      <a:ext cx="4968000" cy="2235600"/>
                    </a:xfrm>
                    <a:prstGeom prst="rect"/>
                  </pic:spPr>
                </pic:pic>
              </a:graphicData>
            </a:graphic>
          </wp:inline>
        </w:drawing>
      </w:r>
    </w:p>
    <w:p>
      <w:pPr>
        <w:jc w:val="center"/>
      </w:pPr>
      <w:r>
        <w:rPr>
          <w:rFonts w:ascii="Times New Roman" w:hAnsi="Times New Roman" w:cs="Times New Roman"/>
          <w:b w:val="0"/>
          <w:i/>
          <w:color w:val="555555"/>
          <w:sz w:val="18"/>
        </w:rPr>
        <w:t>Figura JOB.075. MAAC/E3 — learning_efficiency.png — Eficiencia de aprendizaje.</w:t>
      </w:r>
    </w:p>
    <w:p>
      <w:pPr>
        <w:jc w:val="center"/>
      </w:pPr>
      <w:r>
        <w:drawing>
          <wp:inline xmlns:a="http://schemas.openxmlformats.org/drawingml/2006/main" xmlns:pic="http://schemas.openxmlformats.org/drawingml/2006/picture">
            <wp:extent cx="4968000" cy="2258182"/>
            <wp:docPr id="136" name="Picture 136"/>
            <wp:cNvGraphicFramePr>
              <a:graphicFrameLocks noChangeAspect="1"/>
            </wp:cNvGraphicFramePr>
            <a:graphic>
              <a:graphicData uri="http://schemas.openxmlformats.org/drawingml/2006/picture">
                <pic:pic>
                  <pic:nvPicPr>
                    <pic:cNvPr id="0" name="agent_reward_contribution.png"/>
                    <pic:cNvPicPr/>
                  </pic:nvPicPr>
                  <pic:blipFill>
                    <a:blip r:embed="rId113"/>
                    <a:stretch>
                      <a:fillRect/>
                    </a:stretch>
                  </pic:blipFill>
                  <pic:spPr>
                    <a:xfrm>
                      <a:off x="0" y="0"/>
                      <a:ext cx="4968000" cy="2258182"/>
                    </a:xfrm>
                    <a:prstGeom prst="rect"/>
                  </pic:spPr>
                </pic:pic>
              </a:graphicData>
            </a:graphic>
          </wp:inline>
        </w:drawing>
      </w:r>
    </w:p>
    <w:p>
      <w:pPr>
        <w:jc w:val="center"/>
      </w:pPr>
      <w:r>
        <w:rPr>
          <w:rFonts w:ascii="Times New Roman" w:hAnsi="Times New Roman" w:cs="Times New Roman"/>
          <w:b w:val="0"/>
          <w:i/>
          <w:color w:val="555555"/>
          <w:sz w:val="18"/>
        </w:rPr>
        <w:t>Figura JOB.076. MAAC/E3 — agent_reward_contribution.png — Contribución de recompensa por agente/edificio.</w:t>
      </w:r>
    </w:p>
    <w:p>
      <w:pPr>
        <w:jc w:val="center"/>
      </w:pPr>
      <w:r>
        <w:drawing>
          <wp:inline xmlns:a="http://schemas.openxmlformats.org/drawingml/2006/main" xmlns:pic="http://schemas.openxmlformats.org/drawingml/2006/picture">
            <wp:extent cx="4968000" cy="1987200"/>
            <wp:docPr id="137" name="Picture 137"/>
            <wp:cNvGraphicFramePr>
              <a:graphicFrameLocks noChangeAspect="1"/>
            </wp:cNvGraphicFramePr>
            <a:graphic>
              <a:graphicData uri="http://schemas.openxmlformats.org/drawingml/2006/picture">
                <pic:pic>
                  <pic:nvPicPr>
                    <pic:cNvPr id="0" name="exploration_action_l2.png"/>
                    <pic:cNvPicPr/>
                  </pic:nvPicPr>
                  <pic:blipFill>
                    <a:blip r:embed="rId152"/>
                    <a:stretch>
                      <a:fillRect/>
                    </a:stretch>
                  </pic:blipFill>
                  <pic:spPr>
                    <a:xfrm>
                      <a:off x="0" y="0"/>
                      <a:ext cx="4968000" cy="1987200"/>
                    </a:xfrm>
                    <a:prstGeom prst="rect"/>
                  </pic:spPr>
                </pic:pic>
              </a:graphicData>
            </a:graphic>
          </wp:inline>
        </w:drawing>
      </w:r>
    </w:p>
    <w:p>
      <w:pPr>
        <w:jc w:val="center"/>
      </w:pPr>
      <w:r>
        <w:rPr>
          <w:rFonts w:ascii="Times New Roman" w:hAnsi="Times New Roman" w:cs="Times New Roman"/>
          <w:b w:val="0"/>
          <w:i/>
          <w:color w:val="555555"/>
          <w:sz w:val="18"/>
        </w:rPr>
        <w:t>Figura JOB.077. MAAC/E3 — exploration_action_l2.png — Exploración (norma L2 de acciones).</w:t>
      </w:r>
    </w:p>
    <w:p>
      <w:pPr>
        <w:jc w:val="center"/>
      </w:pPr>
      <w:r>
        <w:drawing>
          <wp:inline xmlns:a="http://schemas.openxmlformats.org/drawingml/2006/main" xmlns:pic="http://schemas.openxmlformats.org/drawingml/2006/picture">
            <wp:extent cx="4968000" cy="5419636"/>
            <wp:docPr id="138" name="Picture 138"/>
            <wp:cNvGraphicFramePr>
              <a:graphicFrameLocks noChangeAspect="1"/>
            </wp:cNvGraphicFramePr>
            <a:graphic>
              <a:graphicData uri="http://schemas.openxmlformats.org/drawingml/2006/picture">
                <pic:pic>
                  <pic:nvPicPr>
                    <pic:cNvPr id="0" name="citylearn_v2_district_timeseries.png"/>
                    <pic:cNvPicPr/>
                  </pic:nvPicPr>
                  <pic:blipFill>
                    <a:blip r:embed="rId153"/>
                    <a:stretch>
                      <a:fillRect/>
                    </a:stretch>
                  </pic:blipFill>
                  <pic:spPr>
                    <a:xfrm>
                      <a:off x="0" y="0"/>
                      <a:ext cx="4968000" cy="5419636"/>
                    </a:xfrm>
                    <a:prstGeom prst="rect"/>
                  </pic:spPr>
                </pic:pic>
              </a:graphicData>
            </a:graphic>
          </wp:inline>
        </w:drawing>
      </w:r>
    </w:p>
    <w:p>
      <w:pPr>
        <w:jc w:val="center"/>
      </w:pPr>
      <w:r>
        <w:rPr>
          <w:rFonts w:ascii="Times New Roman" w:hAnsi="Times New Roman" w:cs="Times New Roman"/>
          <w:b w:val="0"/>
          <w:i/>
          <w:color w:val="555555"/>
          <w:sz w:val="18"/>
        </w:rPr>
        <w:t>Figura JOB.078. MAAC/E3 — citylearn_v2_district_timeseries.png — Series temporales distritales CityLearn.</w:t>
      </w:r>
    </w:p>
    <w:p>
      <w:pPr>
        <w:jc w:val="center"/>
      </w:pPr>
      <w:r>
        <w:drawing>
          <wp:inline xmlns:a="http://schemas.openxmlformats.org/drawingml/2006/main" xmlns:pic="http://schemas.openxmlformats.org/drawingml/2006/picture">
            <wp:extent cx="4968000" cy="2918700"/>
            <wp:docPr id="139" name="Picture 139"/>
            <wp:cNvGraphicFramePr>
              <a:graphicFrameLocks noChangeAspect="1"/>
            </wp:cNvGraphicFramePr>
            <a:graphic>
              <a:graphicData uri="http://schemas.openxmlformats.org/drawingml/2006/picture">
                <pic:pic>
                  <pic:nvPicPr>
                    <pic:cNvPr id="0" name="core_kpis.png"/>
                    <pic:cNvPicPr/>
                  </pic:nvPicPr>
                  <pic:blipFill>
                    <a:blip r:embed="rId154"/>
                    <a:stretch>
                      <a:fillRect/>
                    </a:stretch>
                  </pic:blipFill>
                  <pic:spPr>
                    <a:xfrm>
                      <a:off x="0" y="0"/>
                      <a:ext cx="4968000" cy="2918700"/>
                    </a:xfrm>
                    <a:prstGeom prst="rect"/>
                  </pic:spPr>
                </pic:pic>
              </a:graphicData>
            </a:graphic>
          </wp:inline>
        </w:drawing>
      </w:r>
    </w:p>
    <w:p>
      <w:pPr>
        <w:jc w:val="center"/>
      </w:pPr>
      <w:r>
        <w:rPr>
          <w:rFonts w:ascii="Times New Roman" w:hAnsi="Times New Roman" w:cs="Times New Roman"/>
          <w:b w:val="0"/>
          <w:i/>
          <w:color w:val="555555"/>
          <w:sz w:val="18"/>
        </w:rPr>
        <w:t>Figura JOB.079. MAAC/E3 — core_kpis.png — KPIs núcleo del job.</w:t>
      </w:r>
    </w:p>
    <w:p>
      <w:pPr>
        <w:jc w:val="center"/>
      </w:pPr>
      <w:r>
        <w:drawing>
          <wp:inline xmlns:a="http://schemas.openxmlformats.org/drawingml/2006/main" xmlns:pic="http://schemas.openxmlformats.org/drawingml/2006/picture">
            <wp:extent cx="4968000" cy="5722515"/>
            <wp:docPr id="140" name="Picture 140"/>
            <wp:cNvGraphicFramePr>
              <a:graphicFrameLocks noChangeAspect="1"/>
            </wp:cNvGraphicFramePr>
            <a:graphic>
              <a:graphicData uri="http://schemas.openxmlformats.org/drawingml/2006/picture">
                <pic:pic>
                  <pic:nvPicPr>
                    <pic:cNvPr id="0" name="OE1_flexibility_kpis.png"/>
                    <pic:cNvPicPr/>
                  </pic:nvPicPr>
                  <pic:blipFill>
                    <a:blip r:embed="rId155"/>
                    <a:stretch>
                      <a:fillRect/>
                    </a:stretch>
                  </pic:blipFill>
                  <pic:spPr>
                    <a:xfrm>
                      <a:off x="0" y="0"/>
                      <a:ext cx="4968000" cy="5722515"/>
                    </a:xfrm>
                    <a:prstGeom prst="rect"/>
                  </pic:spPr>
                </pic:pic>
              </a:graphicData>
            </a:graphic>
          </wp:inline>
        </w:drawing>
      </w:r>
    </w:p>
    <w:p>
      <w:pPr>
        <w:jc w:val="center"/>
      </w:pPr>
      <w:r>
        <w:rPr>
          <w:rFonts w:ascii="Times New Roman" w:hAnsi="Times New Roman" w:cs="Times New Roman"/>
          <w:b w:val="0"/>
          <w:i/>
          <w:color w:val="555555"/>
          <w:sz w:val="18"/>
        </w:rPr>
        <w:t>Figura JOB.080. MAAC/E3 — OE1_flexibility_kpis.png — KPIs de flexibilidad (OE.1).</w:t>
      </w:r>
    </w:p>
    <w:p>
      <w:pPr>
        <w:jc w:val="center"/>
      </w:pPr>
      <w:r>
        <w:drawing>
          <wp:inline xmlns:a="http://schemas.openxmlformats.org/drawingml/2006/main" xmlns:pic="http://schemas.openxmlformats.org/drawingml/2006/picture">
            <wp:extent cx="4968000" cy="2235600"/>
            <wp:docPr id="141" name="Picture 141"/>
            <wp:cNvGraphicFramePr>
              <a:graphicFrameLocks noChangeAspect="1"/>
            </wp:cNvGraphicFramePr>
            <a:graphic>
              <a:graphicData uri="http://schemas.openxmlformats.org/drawingml/2006/picture">
                <pic:pic>
                  <pic:nvPicPr>
                    <pic:cNvPr id="0" name="OE2_co2_kpis.png"/>
                    <pic:cNvPicPr/>
                  </pic:nvPicPr>
                  <pic:blipFill>
                    <a:blip r:embed="rId156"/>
                    <a:stretch>
                      <a:fillRect/>
                    </a:stretch>
                  </pic:blipFill>
                  <pic:spPr>
                    <a:xfrm>
                      <a:off x="0" y="0"/>
                      <a:ext cx="4968000" cy="2235600"/>
                    </a:xfrm>
                    <a:prstGeom prst="rect"/>
                  </pic:spPr>
                </pic:pic>
              </a:graphicData>
            </a:graphic>
          </wp:inline>
        </w:drawing>
      </w:r>
    </w:p>
    <w:p>
      <w:pPr>
        <w:jc w:val="center"/>
      </w:pPr>
      <w:r>
        <w:rPr>
          <w:rFonts w:ascii="Times New Roman" w:hAnsi="Times New Roman" w:cs="Times New Roman"/>
          <w:b w:val="0"/>
          <w:i/>
          <w:color w:val="555555"/>
          <w:sz w:val="18"/>
        </w:rPr>
        <w:t>Figura JOB.081. MAAC/E3 — OE2_co2_kpis.png — KPIs de emisiones (OE.2).</w:t>
      </w:r>
    </w:p>
    <w:p>
      <w:pPr>
        <w:jc w:val="center"/>
      </w:pPr>
      <w:r>
        <w:drawing>
          <wp:inline xmlns:a="http://schemas.openxmlformats.org/drawingml/2006/main" xmlns:pic="http://schemas.openxmlformats.org/drawingml/2006/picture">
            <wp:extent cx="4968000" cy="2235600"/>
            <wp:docPr id="142" name="Picture 142"/>
            <wp:cNvGraphicFramePr>
              <a:graphicFrameLocks noChangeAspect="1"/>
            </wp:cNvGraphicFramePr>
            <a:graphic>
              <a:graphicData uri="http://schemas.openxmlformats.org/drawingml/2006/picture">
                <pic:pic>
                  <pic:nvPicPr>
                    <pic:cNvPr id="0" name="OE3_cost_kpis.png"/>
                    <pic:cNvPicPr/>
                  </pic:nvPicPr>
                  <pic:blipFill>
                    <a:blip r:embed="rId157"/>
                    <a:stretch>
                      <a:fillRect/>
                    </a:stretch>
                  </pic:blipFill>
                  <pic:spPr>
                    <a:xfrm>
                      <a:off x="0" y="0"/>
                      <a:ext cx="4968000" cy="2235600"/>
                    </a:xfrm>
                    <a:prstGeom prst="rect"/>
                  </pic:spPr>
                </pic:pic>
              </a:graphicData>
            </a:graphic>
          </wp:inline>
        </w:drawing>
      </w:r>
    </w:p>
    <w:p>
      <w:pPr>
        <w:jc w:val="center"/>
      </w:pPr>
      <w:r>
        <w:rPr>
          <w:rFonts w:ascii="Times New Roman" w:hAnsi="Times New Roman" w:cs="Times New Roman"/>
          <w:b w:val="0"/>
          <w:i/>
          <w:color w:val="555555"/>
          <w:sz w:val="18"/>
        </w:rPr>
        <w:t>Figura JOB.082. MAAC/E3 — OE3_cost_kpis.png — KPIs de costo (OE.3).</w:t>
      </w:r>
    </w:p>
    <w:p>
      <w:pPr>
        <w:jc w:val="center"/>
      </w:pPr>
      <w:r>
        <w:drawing>
          <wp:inline xmlns:a="http://schemas.openxmlformats.org/drawingml/2006/main" xmlns:pic="http://schemas.openxmlformats.org/drawingml/2006/picture">
            <wp:extent cx="4968000" cy="2484000"/>
            <wp:docPr id="143" name="Picture 143"/>
            <wp:cNvGraphicFramePr>
              <a:graphicFrameLocks noChangeAspect="1"/>
            </wp:cNvGraphicFramePr>
            <a:graphic>
              <a:graphicData uri="http://schemas.openxmlformats.org/drawingml/2006/picture">
                <pic:pic>
                  <pic:nvPicPr>
                    <pic:cNvPr id="0" name="axis_baseline_comparison.png"/>
                    <pic:cNvPicPr/>
                  </pic:nvPicPr>
                  <pic:blipFill>
                    <a:blip r:embed="rId92"/>
                    <a:stretch>
                      <a:fillRect/>
                    </a:stretch>
                  </pic:blipFill>
                  <pic:spPr>
                    <a:xfrm>
                      <a:off x="0" y="0"/>
                      <a:ext cx="4968000" cy="2484000"/>
                    </a:xfrm>
                    <a:prstGeom prst="rect"/>
                  </pic:spPr>
                </pic:pic>
              </a:graphicData>
            </a:graphic>
          </wp:inline>
        </w:drawing>
      </w:r>
    </w:p>
    <w:p>
      <w:pPr>
        <w:jc w:val="center"/>
      </w:pPr>
      <w:r>
        <w:rPr>
          <w:rFonts w:ascii="Times New Roman" w:hAnsi="Times New Roman" w:cs="Times New Roman"/>
          <w:b w:val="0"/>
          <w:i/>
          <w:color w:val="555555"/>
          <w:sz w:val="18"/>
        </w:rPr>
        <w:t>Figura JOB.083. MAAC/E3 — axis_baseline_comparison.png — Comparación por eje vs baseline.</w:t>
      </w:r>
    </w:p>
    <w:p>
      <w:pPr>
        <w:jc w:val="center"/>
      </w:pPr>
      <w:r>
        <w:drawing>
          <wp:inline xmlns:a="http://schemas.openxmlformats.org/drawingml/2006/main" xmlns:pic="http://schemas.openxmlformats.org/drawingml/2006/picture">
            <wp:extent cx="4968000" cy="3522764"/>
            <wp:docPr id="144" name="Picture 144"/>
            <wp:cNvGraphicFramePr>
              <a:graphicFrameLocks noChangeAspect="1"/>
            </wp:cNvGraphicFramePr>
            <a:graphic>
              <a:graphicData uri="http://schemas.openxmlformats.org/drawingml/2006/picture">
                <pic:pic>
                  <pic:nvPicPr>
                    <pic:cNvPr id="0" name="baseline_gain_by_kpi.png"/>
                    <pic:cNvPicPr/>
                  </pic:nvPicPr>
                  <pic:blipFill>
                    <a:blip r:embed="rId158"/>
                    <a:stretch>
                      <a:fillRect/>
                    </a:stretch>
                  </pic:blipFill>
                  <pic:spPr>
                    <a:xfrm>
                      <a:off x="0" y="0"/>
                      <a:ext cx="4968000" cy="3522764"/>
                    </a:xfrm>
                    <a:prstGeom prst="rect"/>
                  </pic:spPr>
                </pic:pic>
              </a:graphicData>
            </a:graphic>
          </wp:inline>
        </w:drawing>
      </w:r>
    </w:p>
    <w:p>
      <w:pPr>
        <w:jc w:val="center"/>
      </w:pPr>
      <w:r>
        <w:rPr>
          <w:rFonts w:ascii="Times New Roman" w:hAnsi="Times New Roman" w:cs="Times New Roman"/>
          <w:b w:val="0"/>
          <w:i/>
          <w:color w:val="555555"/>
          <w:sz w:val="18"/>
        </w:rPr>
        <w:t>Figura JOB.084. MAAC/E3 — baseline_gain_by_kpi.png — Ganancia/pérdida por KPI vs baseline.</w:t>
      </w:r>
    </w:p>
    <w:p>
      <w:r>
        <w:rPr>
          <w:rFonts w:ascii="Times New Roman" w:hAnsi="Times New Roman" w:cs="Times New Roman"/>
          <w:b/>
          <w:i w:val="0"/>
          <w:sz w:val="24"/>
        </w:rPr>
        <w:t>C.MASAC — figuras de performance</w:t>
      </w:r>
    </w:p>
    <w:p>
      <w:r>
        <w:rPr>
          <w:rFonts w:ascii="Times New Roman" w:hAnsi="Times New Roman" w:cs="Times New Roman"/>
          <w:b/>
          <w:i w:val="0"/>
          <w:sz w:val="22"/>
        </w:rPr>
        <w:t>MASAC / E1</w:t>
      </w:r>
    </w:p>
    <w:p>
      <w:pPr>
        <w:jc w:val="center"/>
      </w:pPr>
      <w:r>
        <w:drawing>
          <wp:inline xmlns:a="http://schemas.openxmlformats.org/drawingml/2006/main" xmlns:pic="http://schemas.openxmlformats.org/drawingml/2006/picture">
            <wp:extent cx="5472000" cy="2111228"/>
            <wp:docPr id="145" name="Picture 145"/>
            <wp:cNvGraphicFramePr>
              <a:graphicFrameLocks noChangeAspect="1"/>
            </wp:cNvGraphicFramePr>
            <a:graphic>
              <a:graphicData uri="http://schemas.openxmlformats.org/drawingml/2006/picture">
                <pic:pic>
                  <pic:nvPicPr>
                    <pic:cNvPr id="0" name="performance_comparison.png"/>
                    <pic:cNvPicPr/>
                  </pic:nvPicPr>
                  <pic:blipFill>
                    <a:blip r:embed="rId159"/>
                    <a:stretch>
                      <a:fillRect/>
                    </a:stretch>
                  </pic:blipFill>
                  <pic:spPr>
                    <a:xfrm>
                      <a:off x="0" y="0"/>
                      <a:ext cx="5472000" cy="2111228"/>
                    </a:xfrm>
                    <a:prstGeom prst="rect"/>
                  </pic:spPr>
                </pic:pic>
              </a:graphicData>
            </a:graphic>
          </wp:inline>
        </w:drawing>
      </w:r>
    </w:p>
    <w:p>
      <w:pPr>
        <w:jc w:val="center"/>
      </w:pPr>
      <w:r>
        <w:rPr>
          <w:rFonts w:ascii="Times New Roman" w:hAnsi="Times New Roman" w:cs="Times New Roman"/>
          <w:b w:val="0"/>
          <w:i/>
          <w:color w:val="555555"/>
          <w:sz w:val="18"/>
        </w:rPr>
        <w:t>Figura JOB.085. MASAC/E1 — performance_comparison.png — Distrito (efecto % vs baseline de 4 MADRL) + edificio (17 edificios).</w:t>
      </w:r>
    </w:p>
    <w:p>
      <w:pPr>
        <w:jc w:val="center"/>
      </w:pPr>
      <w:r>
        <w:drawing>
          <wp:inline xmlns:a="http://schemas.openxmlformats.org/drawingml/2006/main" xmlns:pic="http://schemas.openxmlformats.org/drawingml/2006/picture">
            <wp:extent cx="4968000" cy="2980800"/>
            <wp:docPr id="146" name="Picture 146"/>
            <wp:cNvGraphicFramePr>
              <a:graphicFrameLocks noChangeAspect="1"/>
            </wp:cNvGraphicFramePr>
            <a:graphic>
              <a:graphicData uri="http://schemas.openxmlformats.org/drawingml/2006/picture">
                <pic:pic>
                  <pic:nvPicPr>
                    <pic:cNvPr id="0" name="convergence_returns.png"/>
                    <pic:cNvPicPr/>
                  </pic:nvPicPr>
                  <pic:blipFill>
                    <a:blip r:embed="rId160"/>
                    <a:stretch>
                      <a:fillRect/>
                    </a:stretch>
                  </pic:blipFill>
                  <pic:spPr>
                    <a:xfrm>
                      <a:off x="0" y="0"/>
                      <a:ext cx="4968000" cy="2980800"/>
                    </a:xfrm>
                    <a:prstGeom prst="rect"/>
                  </pic:spPr>
                </pic:pic>
              </a:graphicData>
            </a:graphic>
          </wp:inline>
        </w:drawing>
      </w:r>
    </w:p>
    <w:p>
      <w:pPr>
        <w:jc w:val="center"/>
      </w:pPr>
      <w:r>
        <w:rPr>
          <w:rFonts w:ascii="Times New Roman" w:hAnsi="Times New Roman" w:cs="Times New Roman"/>
          <w:b w:val="0"/>
          <w:i/>
          <w:color w:val="555555"/>
          <w:sz w:val="18"/>
        </w:rPr>
        <w:t>Figura JOB.086. MASAC/E1 — convergence_returns.png — Convergencia de retornos episódicos.</w:t>
      </w:r>
    </w:p>
    <w:p>
      <w:pPr>
        <w:jc w:val="center"/>
      </w:pPr>
      <w:r>
        <w:drawing>
          <wp:inline xmlns:a="http://schemas.openxmlformats.org/drawingml/2006/main" xmlns:pic="http://schemas.openxmlformats.org/drawingml/2006/picture">
            <wp:extent cx="4968000" cy="1987200"/>
            <wp:docPr id="147" name="Picture 147"/>
            <wp:cNvGraphicFramePr>
              <a:graphicFrameLocks noChangeAspect="1"/>
            </wp:cNvGraphicFramePr>
            <a:graphic>
              <a:graphicData uri="http://schemas.openxmlformats.org/drawingml/2006/picture">
                <pic:pic>
                  <pic:nvPicPr>
                    <pic:cNvPr id="0" name="reward_timeseries.png"/>
                    <pic:cNvPicPr/>
                  </pic:nvPicPr>
                  <pic:blipFill>
                    <a:blip r:embed="rId161"/>
                    <a:stretch>
                      <a:fillRect/>
                    </a:stretch>
                  </pic:blipFill>
                  <pic:spPr>
                    <a:xfrm>
                      <a:off x="0" y="0"/>
                      <a:ext cx="4968000" cy="1987200"/>
                    </a:xfrm>
                    <a:prstGeom prst="rect"/>
                  </pic:spPr>
                </pic:pic>
              </a:graphicData>
            </a:graphic>
          </wp:inline>
        </w:drawing>
      </w:r>
    </w:p>
    <w:p>
      <w:pPr>
        <w:jc w:val="center"/>
      </w:pPr>
      <w:r>
        <w:rPr>
          <w:rFonts w:ascii="Times New Roman" w:hAnsi="Times New Roman" w:cs="Times New Roman"/>
          <w:b w:val="0"/>
          <w:i/>
          <w:color w:val="555555"/>
          <w:sz w:val="18"/>
        </w:rPr>
        <w:t>Figura JOB.087. MASAC/E1 — reward_timeseries.png — Serie temporal de recompensa.</w:t>
      </w:r>
    </w:p>
    <w:p>
      <w:pPr>
        <w:jc w:val="center"/>
      </w:pPr>
      <w:r>
        <w:drawing>
          <wp:inline xmlns:a="http://schemas.openxmlformats.org/drawingml/2006/main" xmlns:pic="http://schemas.openxmlformats.org/drawingml/2006/picture">
            <wp:extent cx="4968000" cy="2484000"/>
            <wp:docPr id="148" name="Picture 148"/>
            <wp:cNvGraphicFramePr>
              <a:graphicFrameLocks noChangeAspect="1"/>
            </wp:cNvGraphicFramePr>
            <a:graphic>
              <a:graphicData uri="http://schemas.openxmlformats.org/drawingml/2006/picture">
                <pic:pic>
                  <pic:nvPicPr>
                    <pic:cNvPr id="0" name="episode_reward_summary.png"/>
                    <pic:cNvPicPr/>
                  </pic:nvPicPr>
                  <pic:blipFill>
                    <a:blip r:embed="rId162"/>
                    <a:stretch>
                      <a:fillRect/>
                    </a:stretch>
                  </pic:blipFill>
                  <pic:spPr>
                    <a:xfrm>
                      <a:off x="0" y="0"/>
                      <a:ext cx="4968000" cy="2484000"/>
                    </a:xfrm>
                    <a:prstGeom prst="rect"/>
                  </pic:spPr>
                </pic:pic>
              </a:graphicData>
            </a:graphic>
          </wp:inline>
        </w:drawing>
      </w:r>
    </w:p>
    <w:p>
      <w:pPr>
        <w:jc w:val="center"/>
      </w:pPr>
      <w:r>
        <w:rPr>
          <w:rFonts w:ascii="Times New Roman" w:hAnsi="Times New Roman" w:cs="Times New Roman"/>
          <w:b w:val="0"/>
          <w:i/>
          <w:color w:val="555555"/>
          <w:sz w:val="18"/>
        </w:rPr>
        <w:t>Figura JOB.088. MASAC/E1 — episode_reward_summary.png — Resumen de recompensa por episodio.</w:t>
      </w:r>
    </w:p>
    <w:p>
      <w:pPr>
        <w:jc w:val="center"/>
      </w:pPr>
      <w:r>
        <w:drawing>
          <wp:inline xmlns:a="http://schemas.openxmlformats.org/drawingml/2006/main" xmlns:pic="http://schemas.openxmlformats.org/drawingml/2006/picture">
            <wp:extent cx="4968000" cy="2235600"/>
            <wp:docPr id="149" name="Picture 149"/>
            <wp:cNvGraphicFramePr>
              <a:graphicFrameLocks noChangeAspect="1"/>
            </wp:cNvGraphicFramePr>
            <a:graphic>
              <a:graphicData uri="http://schemas.openxmlformats.org/drawingml/2006/picture">
                <pic:pic>
                  <pic:nvPicPr>
                    <pic:cNvPr id="0" name="learning_efficiency.png"/>
                    <pic:cNvPicPr/>
                  </pic:nvPicPr>
                  <pic:blipFill>
                    <a:blip r:embed="rId163"/>
                    <a:stretch>
                      <a:fillRect/>
                    </a:stretch>
                  </pic:blipFill>
                  <pic:spPr>
                    <a:xfrm>
                      <a:off x="0" y="0"/>
                      <a:ext cx="4968000" cy="2235600"/>
                    </a:xfrm>
                    <a:prstGeom prst="rect"/>
                  </pic:spPr>
                </pic:pic>
              </a:graphicData>
            </a:graphic>
          </wp:inline>
        </w:drawing>
      </w:r>
    </w:p>
    <w:p>
      <w:pPr>
        <w:jc w:val="center"/>
      </w:pPr>
      <w:r>
        <w:rPr>
          <w:rFonts w:ascii="Times New Roman" w:hAnsi="Times New Roman" w:cs="Times New Roman"/>
          <w:b w:val="0"/>
          <w:i/>
          <w:color w:val="555555"/>
          <w:sz w:val="18"/>
        </w:rPr>
        <w:t>Figura JOB.089. MASAC/E1 — learning_efficiency.png — Eficiencia de aprendizaje.</w:t>
      </w:r>
    </w:p>
    <w:p>
      <w:pPr>
        <w:jc w:val="center"/>
      </w:pPr>
      <w:r>
        <w:drawing>
          <wp:inline xmlns:a="http://schemas.openxmlformats.org/drawingml/2006/main" xmlns:pic="http://schemas.openxmlformats.org/drawingml/2006/picture">
            <wp:extent cx="4968000" cy="2258182"/>
            <wp:docPr id="150" name="Picture 150"/>
            <wp:cNvGraphicFramePr>
              <a:graphicFrameLocks noChangeAspect="1"/>
            </wp:cNvGraphicFramePr>
            <a:graphic>
              <a:graphicData uri="http://schemas.openxmlformats.org/drawingml/2006/picture">
                <pic:pic>
                  <pic:nvPicPr>
                    <pic:cNvPr id="0" name="agent_reward_contribution.png"/>
                    <pic:cNvPicPr/>
                  </pic:nvPicPr>
                  <pic:blipFill>
                    <a:blip r:embed="rId164"/>
                    <a:stretch>
                      <a:fillRect/>
                    </a:stretch>
                  </pic:blipFill>
                  <pic:spPr>
                    <a:xfrm>
                      <a:off x="0" y="0"/>
                      <a:ext cx="4968000" cy="2258182"/>
                    </a:xfrm>
                    <a:prstGeom prst="rect"/>
                  </pic:spPr>
                </pic:pic>
              </a:graphicData>
            </a:graphic>
          </wp:inline>
        </w:drawing>
      </w:r>
    </w:p>
    <w:p>
      <w:pPr>
        <w:jc w:val="center"/>
      </w:pPr>
      <w:r>
        <w:rPr>
          <w:rFonts w:ascii="Times New Roman" w:hAnsi="Times New Roman" w:cs="Times New Roman"/>
          <w:b w:val="0"/>
          <w:i/>
          <w:color w:val="555555"/>
          <w:sz w:val="18"/>
        </w:rPr>
        <w:t>Figura JOB.090. MASAC/E1 — agent_reward_contribution.png — Contribución de recompensa por agente/edificio.</w:t>
      </w:r>
    </w:p>
    <w:p>
      <w:pPr>
        <w:jc w:val="center"/>
      </w:pPr>
      <w:r>
        <w:drawing>
          <wp:inline xmlns:a="http://schemas.openxmlformats.org/drawingml/2006/main" xmlns:pic="http://schemas.openxmlformats.org/drawingml/2006/picture">
            <wp:extent cx="4968000" cy="1987200"/>
            <wp:docPr id="151" name="Picture 151"/>
            <wp:cNvGraphicFramePr>
              <a:graphicFrameLocks noChangeAspect="1"/>
            </wp:cNvGraphicFramePr>
            <a:graphic>
              <a:graphicData uri="http://schemas.openxmlformats.org/drawingml/2006/picture">
                <pic:pic>
                  <pic:nvPicPr>
                    <pic:cNvPr id="0" name="exploration_action_l2.png"/>
                    <pic:cNvPicPr/>
                  </pic:nvPicPr>
                  <pic:blipFill>
                    <a:blip r:embed="rId165"/>
                    <a:stretch>
                      <a:fillRect/>
                    </a:stretch>
                  </pic:blipFill>
                  <pic:spPr>
                    <a:xfrm>
                      <a:off x="0" y="0"/>
                      <a:ext cx="4968000" cy="1987200"/>
                    </a:xfrm>
                    <a:prstGeom prst="rect"/>
                  </pic:spPr>
                </pic:pic>
              </a:graphicData>
            </a:graphic>
          </wp:inline>
        </w:drawing>
      </w:r>
    </w:p>
    <w:p>
      <w:pPr>
        <w:jc w:val="center"/>
      </w:pPr>
      <w:r>
        <w:rPr>
          <w:rFonts w:ascii="Times New Roman" w:hAnsi="Times New Roman" w:cs="Times New Roman"/>
          <w:b w:val="0"/>
          <w:i/>
          <w:color w:val="555555"/>
          <w:sz w:val="18"/>
        </w:rPr>
        <w:t>Figura JOB.091. MASAC/E1 — exploration_action_l2.png — Exploración (norma L2 de acciones).</w:t>
      </w:r>
    </w:p>
    <w:p>
      <w:pPr>
        <w:jc w:val="center"/>
      </w:pPr>
      <w:r>
        <w:drawing>
          <wp:inline xmlns:a="http://schemas.openxmlformats.org/drawingml/2006/main" xmlns:pic="http://schemas.openxmlformats.org/drawingml/2006/picture">
            <wp:extent cx="4968000" cy="5419636"/>
            <wp:docPr id="152" name="Picture 152"/>
            <wp:cNvGraphicFramePr>
              <a:graphicFrameLocks noChangeAspect="1"/>
            </wp:cNvGraphicFramePr>
            <a:graphic>
              <a:graphicData uri="http://schemas.openxmlformats.org/drawingml/2006/picture">
                <pic:pic>
                  <pic:nvPicPr>
                    <pic:cNvPr id="0" name="citylearn_v2_district_timeseries.png"/>
                    <pic:cNvPicPr/>
                  </pic:nvPicPr>
                  <pic:blipFill>
                    <a:blip r:embed="rId166"/>
                    <a:stretch>
                      <a:fillRect/>
                    </a:stretch>
                  </pic:blipFill>
                  <pic:spPr>
                    <a:xfrm>
                      <a:off x="0" y="0"/>
                      <a:ext cx="4968000" cy="5419636"/>
                    </a:xfrm>
                    <a:prstGeom prst="rect"/>
                  </pic:spPr>
                </pic:pic>
              </a:graphicData>
            </a:graphic>
          </wp:inline>
        </w:drawing>
      </w:r>
    </w:p>
    <w:p>
      <w:pPr>
        <w:jc w:val="center"/>
      </w:pPr>
      <w:r>
        <w:rPr>
          <w:rFonts w:ascii="Times New Roman" w:hAnsi="Times New Roman" w:cs="Times New Roman"/>
          <w:b w:val="0"/>
          <w:i/>
          <w:color w:val="555555"/>
          <w:sz w:val="18"/>
        </w:rPr>
        <w:t>Figura JOB.092. MASAC/E1 — citylearn_v2_district_timeseries.png — Series temporales distritales CityLearn.</w:t>
      </w:r>
    </w:p>
    <w:p>
      <w:pPr>
        <w:jc w:val="center"/>
      </w:pPr>
      <w:r>
        <w:drawing>
          <wp:inline xmlns:a="http://schemas.openxmlformats.org/drawingml/2006/main" xmlns:pic="http://schemas.openxmlformats.org/drawingml/2006/picture">
            <wp:extent cx="4968000" cy="2918700"/>
            <wp:docPr id="153" name="Picture 153"/>
            <wp:cNvGraphicFramePr>
              <a:graphicFrameLocks noChangeAspect="1"/>
            </wp:cNvGraphicFramePr>
            <a:graphic>
              <a:graphicData uri="http://schemas.openxmlformats.org/drawingml/2006/picture">
                <pic:pic>
                  <pic:nvPicPr>
                    <pic:cNvPr id="0" name="core_kpis.png"/>
                    <pic:cNvPicPr/>
                  </pic:nvPicPr>
                  <pic:blipFill>
                    <a:blip r:embed="rId167"/>
                    <a:stretch>
                      <a:fillRect/>
                    </a:stretch>
                  </pic:blipFill>
                  <pic:spPr>
                    <a:xfrm>
                      <a:off x="0" y="0"/>
                      <a:ext cx="4968000" cy="2918700"/>
                    </a:xfrm>
                    <a:prstGeom prst="rect"/>
                  </pic:spPr>
                </pic:pic>
              </a:graphicData>
            </a:graphic>
          </wp:inline>
        </w:drawing>
      </w:r>
    </w:p>
    <w:p>
      <w:pPr>
        <w:jc w:val="center"/>
      </w:pPr>
      <w:r>
        <w:rPr>
          <w:rFonts w:ascii="Times New Roman" w:hAnsi="Times New Roman" w:cs="Times New Roman"/>
          <w:b w:val="0"/>
          <w:i/>
          <w:color w:val="555555"/>
          <w:sz w:val="18"/>
        </w:rPr>
        <w:t>Figura JOB.093. MASAC/E1 — core_kpis.png — KPIs núcleo del job.</w:t>
      </w:r>
    </w:p>
    <w:p>
      <w:pPr>
        <w:jc w:val="center"/>
      </w:pPr>
      <w:r>
        <w:drawing>
          <wp:inline xmlns:a="http://schemas.openxmlformats.org/drawingml/2006/main" xmlns:pic="http://schemas.openxmlformats.org/drawingml/2006/picture">
            <wp:extent cx="4968000" cy="5722515"/>
            <wp:docPr id="154" name="Picture 154"/>
            <wp:cNvGraphicFramePr>
              <a:graphicFrameLocks noChangeAspect="1"/>
            </wp:cNvGraphicFramePr>
            <a:graphic>
              <a:graphicData uri="http://schemas.openxmlformats.org/drawingml/2006/picture">
                <pic:pic>
                  <pic:nvPicPr>
                    <pic:cNvPr id="0" name="OE1_flexibility_kpis.png"/>
                    <pic:cNvPicPr/>
                  </pic:nvPicPr>
                  <pic:blipFill>
                    <a:blip r:embed="rId168"/>
                    <a:stretch>
                      <a:fillRect/>
                    </a:stretch>
                  </pic:blipFill>
                  <pic:spPr>
                    <a:xfrm>
                      <a:off x="0" y="0"/>
                      <a:ext cx="4968000" cy="5722515"/>
                    </a:xfrm>
                    <a:prstGeom prst="rect"/>
                  </pic:spPr>
                </pic:pic>
              </a:graphicData>
            </a:graphic>
          </wp:inline>
        </w:drawing>
      </w:r>
    </w:p>
    <w:p>
      <w:pPr>
        <w:jc w:val="center"/>
      </w:pPr>
      <w:r>
        <w:rPr>
          <w:rFonts w:ascii="Times New Roman" w:hAnsi="Times New Roman" w:cs="Times New Roman"/>
          <w:b w:val="0"/>
          <w:i/>
          <w:color w:val="555555"/>
          <w:sz w:val="18"/>
        </w:rPr>
        <w:t>Figura JOB.094. MASAC/E1 — OE1_flexibility_kpis.png — KPIs de flexibilidad (OE.1).</w:t>
      </w:r>
    </w:p>
    <w:p>
      <w:pPr>
        <w:jc w:val="center"/>
      </w:pPr>
      <w:r>
        <w:drawing>
          <wp:inline xmlns:a="http://schemas.openxmlformats.org/drawingml/2006/main" xmlns:pic="http://schemas.openxmlformats.org/drawingml/2006/picture">
            <wp:extent cx="4968000" cy="2235600"/>
            <wp:docPr id="155" name="Picture 155"/>
            <wp:cNvGraphicFramePr>
              <a:graphicFrameLocks noChangeAspect="1"/>
            </wp:cNvGraphicFramePr>
            <a:graphic>
              <a:graphicData uri="http://schemas.openxmlformats.org/drawingml/2006/picture">
                <pic:pic>
                  <pic:nvPicPr>
                    <pic:cNvPr id="0" name="OE2_co2_kpis.png"/>
                    <pic:cNvPicPr/>
                  </pic:nvPicPr>
                  <pic:blipFill>
                    <a:blip r:embed="rId169"/>
                    <a:stretch>
                      <a:fillRect/>
                    </a:stretch>
                  </pic:blipFill>
                  <pic:spPr>
                    <a:xfrm>
                      <a:off x="0" y="0"/>
                      <a:ext cx="4968000" cy="2235600"/>
                    </a:xfrm>
                    <a:prstGeom prst="rect"/>
                  </pic:spPr>
                </pic:pic>
              </a:graphicData>
            </a:graphic>
          </wp:inline>
        </w:drawing>
      </w:r>
    </w:p>
    <w:p>
      <w:pPr>
        <w:jc w:val="center"/>
      </w:pPr>
      <w:r>
        <w:rPr>
          <w:rFonts w:ascii="Times New Roman" w:hAnsi="Times New Roman" w:cs="Times New Roman"/>
          <w:b w:val="0"/>
          <w:i/>
          <w:color w:val="555555"/>
          <w:sz w:val="18"/>
        </w:rPr>
        <w:t>Figura JOB.095. MASAC/E1 — OE2_co2_kpis.png — KPIs de emisiones (OE.2).</w:t>
      </w:r>
    </w:p>
    <w:p>
      <w:pPr>
        <w:jc w:val="center"/>
      </w:pPr>
      <w:r>
        <w:drawing>
          <wp:inline xmlns:a="http://schemas.openxmlformats.org/drawingml/2006/main" xmlns:pic="http://schemas.openxmlformats.org/drawingml/2006/picture">
            <wp:extent cx="4968000" cy="2235600"/>
            <wp:docPr id="156" name="Picture 156"/>
            <wp:cNvGraphicFramePr>
              <a:graphicFrameLocks noChangeAspect="1"/>
            </wp:cNvGraphicFramePr>
            <a:graphic>
              <a:graphicData uri="http://schemas.openxmlformats.org/drawingml/2006/picture">
                <pic:pic>
                  <pic:nvPicPr>
                    <pic:cNvPr id="0" name="OE3_cost_kpis.png"/>
                    <pic:cNvPicPr/>
                  </pic:nvPicPr>
                  <pic:blipFill>
                    <a:blip r:embed="rId170"/>
                    <a:stretch>
                      <a:fillRect/>
                    </a:stretch>
                  </pic:blipFill>
                  <pic:spPr>
                    <a:xfrm>
                      <a:off x="0" y="0"/>
                      <a:ext cx="4968000" cy="2235600"/>
                    </a:xfrm>
                    <a:prstGeom prst="rect"/>
                  </pic:spPr>
                </pic:pic>
              </a:graphicData>
            </a:graphic>
          </wp:inline>
        </w:drawing>
      </w:r>
    </w:p>
    <w:p>
      <w:pPr>
        <w:jc w:val="center"/>
      </w:pPr>
      <w:r>
        <w:rPr>
          <w:rFonts w:ascii="Times New Roman" w:hAnsi="Times New Roman" w:cs="Times New Roman"/>
          <w:b w:val="0"/>
          <w:i/>
          <w:color w:val="555555"/>
          <w:sz w:val="18"/>
        </w:rPr>
        <w:t>Figura JOB.096. MASAC/E1 — OE3_cost_kpis.png — KPIs de costo (OE.3).</w:t>
      </w:r>
    </w:p>
    <w:p>
      <w:pPr>
        <w:jc w:val="center"/>
      </w:pPr>
      <w:r>
        <w:drawing>
          <wp:inline xmlns:a="http://schemas.openxmlformats.org/drawingml/2006/main" xmlns:pic="http://schemas.openxmlformats.org/drawingml/2006/picture">
            <wp:extent cx="4968000" cy="2484000"/>
            <wp:docPr id="157" name="Picture 157"/>
            <wp:cNvGraphicFramePr>
              <a:graphicFrameLocks noChangeAspect="1"/>
            </wp:cNvGraphicFramePr>
            <a:graphic>
              <a:graphicData uri="http://schemas.openxmlformats.org/drawingml/2006/picture">
                <pic:pic>
                  <pic:nvPicPr>
                    <pic:cNvPr id="0" name="axis_baseline_comparison.png"/>
                    <pic:cNvPicPr/>
                  </pic:nvPicPr>
                  <pic:blipFill>
                    <a:blip r:embed="rId171"/>
                    <a:stretch>
                      <a:fillRect/>
                    </a:stretch>
                  </pic:blipFill>
                  <pic:spPr>
                    <a:xfrm>
                      <a:off x="0" y="0"/>
                      <a:ext cx="4968000" cy="2484000"/>
                    </a:xfrm>
                    <a:prstGeom prst="rect"/>
                  </pic:spPr>
                </pic:pic>
              </a:graphicData>
            </a:graphic>
          </wp:inline>
        </w:drawing>
      </w:r>
    </w:p>
    <w:p>
      <w:pPr>
        <w:jc w:val="center"/>
      </w:pPr>
      <w:r>
        <w:rPr>
          <w:rFonts w:ascii="Times New Roman" w:hAnsi="Times New Roman" w:cs="Times New Roman"/>
          <w:b w:val="0"/>
          <w:i/>
          <w:color w:val="555555"/>
          <w:sz w:val="18"/>
        </w:rPr>
        <w:t>Figura JOB.097. MASAC/E1 — axis_baseline_comparison.png — Comparación por eje vs baseline.</w:t>
      </w:r>
    </w:p>
    <w:p>
      <w:pPr>
        <w:jc w:val="center"/>
      </w:pPr>
      <w:r>
        <w:drawing>
          <wp:inline xmlns:a="http://schemas.openxmlformats.org/drawingml/2006/main" xmlns:pic="http://schemas.openxmlformats.org/drawingml/2006/picture">
            <wp:extent cx="4968000" cy="3522764"/>
            <wp:docPr id="158" name="Picture 158"/>
            <wp:cNvGraphicFramePr>
              <a:graphicFrameLocks noChangeAspect="1"/>
            </wp:cNvGraphicFramePr>
            <a:graphic>
              <a:graphicData uri="http://schemas.openxmlformats.org/drawingml/2006/picture">
                <pic:pic>
                  <pic:nvPicPr>
                    <pic:cNvPr id="0" name="baseline_gain_by_kpi.png"/>
                    <pic:cNvPicPr/>
                  </pic:nvPicPr>
                  <pic:blipFill>
                    <a:blip r:embed="rId172"/>
                    <a:stretch>
                      <a:fillRect/>
                    </a:stretch>
                  </pic:blipFill>
                  <pic:spPr>
                    <a:xfrm>
                      <a:off x="0" y="0"/>
                      <a:ext cx="4968000" cy="3522764"/>
                    </a:xfrm>
                    <a:prstGeom prst="rect"/>
                  </pic:spPr>
                </pic:pic>
              </a:graphicData>
            </a:graphic>
          </wp:inline>
        </w:drawing>
      </w:r>
    </w:p>
    <w:p>
      <w:pPr>
        <w:jc w:val="center"/>
      </w:pPr>
      <w:r>
        <w:rPr>
          <w:rFonts w:ascii="Times New Roman" w:hAnsi="Times New Roman" w:cs="Times New Roman"/>
          <w:b w:val="0"/>
          <w:i/>
          <w:color w:val="555555"/>
          <w:sz w:val="18"/>
        </w:rPr>
        <w:t>Figura JOB.098. MASAC/E1 — baseline_gain_by_kpi.png — Ganancia/pérdida por KPI vs baseline.</w:t>
      </w:r>
    </w:p>
    <w:p>
      <w:r>
        <w:rPr>
          <w:rFonts w:ascii="Times New Roman" w:hAnsi="Times New Roman" w:cs="Times New Roman"/>
          <w:b/>
          <w:i w:val="0"/>
          <w:sz w:val="22"/>
        </w:rPr>
        <w:t>MASAC / E2</w:t>
      </w:r>
    </w:p>
    <w:p>
      <w:pPr>
        <w:jc w:val="center"/>
      </w:pPr>
      <w:r>
        <w:drawing>
          <wp:inline xmlns:a="http://schemas.openxmlformats.org/drawingml/2006/main" xmlns:pic="http://schemas.openxmlformats.org/drawingml/2006/picture">
            <wp:extent cx="5472000" cy="2111228"/>
            <wp:docPr id="159" name="Picture 159"/>
            <wp:cNvGraphicFramePr>
              <a:graphicFrameLocks noChangeAspect="1"/>
            </wp:cNvGraphicFramePr>
            <a:graphic>
              <a:graphicData uri="http://schemas.openxmlformats.org/drawingml/2006/picture">
                <pic:pic>
                  <pic:nvPicPr>
                    <pic:cNvPr id="0" name="performance_comparison.png"/>
                    <pic:cNvPicPr/>
                  </pic:nvPicPr>
                  <pic:blipFill>
                    <a:blip r:embed="rId173"/>
                    <a:stretch>
                      <a:fillRect/>
                    </a:stretch>
                  </pic:blipFill>
                  <pic:spPr>
                    <a:xfrm>
                      <a:off x="0" y="0"/>
                      <a:ext cx="5472000" cy="2111228"/>
                    </a:xfrm>
                    <a:prstGeom prst="rect"/>
                  </pic:spPr>
                </pic:pic>
              </a:graphicData>
            </a:graphic>
          </wp:inline>
        </w:drawing>
      </w:r>
    </w:p>
    <w:p>
      <w:pPr>
        <w:jc w:val="center"/>
      </w:pPr>
      <w:r>
        <w:rPr>
          <w:rFonts w:ascii="Times New Roman" w:hAnsi="Times New Roman" w:cs="Times New Roman"/>
          <w:b w:val="0"/>
          <w:i/>
          <w:color w:val="555555"/>
          <w:sz w:val="18"/>
        </w:rPr>
        <w:t>Figura JOB.099. MASAC/E2 — performance_comparison.png — Distrito (efecto % vs baseline de 4 MADRL) + edificio (17 edificios).</w:t>
      </w:r>
    </w:p>
    <w:p>
      <w:pPr>
        <w:jc w:val="center"/>
      </w:pPr>
      <w:r>
        <w:drawing>
          <wp:inline xmlns:a="http://schemas.openxmlformats.org/drawingml/2006/main" xmlns:pic="http://schemas.openxmlformats.org/drawingml/2006/picture">
            <wp:extent cx="4968000" cy="2980800"/>
            <wp:docPr id="160" name="Picture 160"/>
            <wp:cNvGraphicFramePr>
              <a:graphicFrameLocks noChangeAspect="1"/>
            </wp:cNvGraphicFramePr>
            <a:graphic>
              <a:graphicData uri="http://schemas.openxmlformats.org/drawingml/2006/picture">
                <pic:pic>
                  <pic:nvPicPr>
                    <pic:cNvPr id="0" name="convergence_returns.png"/>
                    <pic:cNvPicPr/>
                  </pic:nvPicPr>
                  <pic:blipFill>
                    <a:blip r:embed="rId174"/>
                    <a:stretch>
                      <a:fillRect/>
                    </a:stretch>
                  </pic:blipFill>
                  <pic:spPr>
                    <a:xfrm>
                      <a:off x="0" y="0"/>
                      <a:ext cx="4968000" cy="2980800"/>
                    </a:xfrm>
                    <a:prstGeom prst="rect"/>
                  </pic:spPr>
                </pic:pic>
              </a:graphicData>
            </a:graphic>
          </wp:inline>
        </w:drawing>
      </w:r>
    </w:p>
    <w:p>
      <w:pPr>
        <w:jc w:val="center"/>
      </w:pPr>
      <w:r>
        <w:rPr>
          <w:rFonts w:ascii="Times New Roman" w:hAnsi="Times New Roman" w:cs="Times New Roman"/>
          <w:b w:val="0"/>
          <w:i/>
          <w:color w:val="555555"/>
          <w:sz w:val="18"/>
        </w:rPr>
        <w:t>Figura JOB.100. MASAC/E2 — convergence_returns.png — Convergencia de retornos episódicos.</w:t>
      </w:r>
    </w:p>
    <w:p>
      <w:pPr>
        <w:jc w:val="center"/>
      </w:pPr>
      <w:r>
        <w:drawing>
          <wp:inline xmlns:a="http://schemas.openxmlformats.org/drawingml/2006/main" xmlns:pic="http://schemas.openxmlformats.org/drawingml/2006/picture">
            <wp:extent cx="4968000" cy="1987200"/>
            <wp:docPr id="161" name="Picture 161"/>
            <wp:cNvGraphicFramePr>
              <a:graphicFrameLocks noChangeAspect="1"/>
            </wp:cNvGraphicFramePr>
            <a:graphic>
              <a:graphicData uri="http://schemas.openxmlformats.org/drawingml/2006/picture">
                <pic:pic>
                  <pic:nvPicPr>
                    <pic:cNvPr id="0" name="reward_timeseries.png"/>
                    <pic:cNvPicPr/>
                  </pic:nvPicPr>
                  <pic:blipFill>
                    <a:blip r:embed="rId175"/>
                    <a:stretch>
                      <a:fillRect/>
                    </a:stretch>
                  </pic:blipFill>
                  <pic:spPr>
                    <a:xfrm>
                      <a:off x="0" y="0"/>
                      <a:ext cx="4968000" cy="1987200"/>
                    </a:xfrm>
                    <a:prstGeom prst="rect"/>
                  </pic:spPr>
                </pic:pic>
              </a:graphicData>
            </a:graphic>
          </wp:inline>
        </w:drawing>
      </w:r>
    </w:p>
    <w:p>
      <w:pPr>
        <w:jc w:val="center"/>
      </w:pPr>
      <w:r>
        <w:rPr>
          <w:rFonts w:ascii="Times New Roman" w:hAnsi="Times New Roman" w:cs="Times New Roman"/>
          <w:b w:val="0"/>
          <w:i/>
          <w:color w:val="555555"/>
          <w:sz w:val="18"/>
        </w:rPr>
        <w:t>Figura JOB.101. MASAC/E2 — reward_timeseries.png — Serie temporal de recompensa.</w:t>
      </w:r>
    </w:p>
    <w:p>
      <w:pPr>
        <w:jc w:val="center"/>
      </w:pPr>
      <w:r>
        <w:drawing>
          <wp:inline xmlns:a="http://schemas.openxmlformats.org/drawingml/2006/main" xmlns:pic="http://schemas.openxmlformats.org/drawingml/2006/picture">
            <wp:extent cx="4968000" cy="2484000"/>
            <wp:docPr id="162" name="Picture 162"/>
            <wp:cNvGraphicFramePr>
              <a:graphicFrameLocks noChangeAspect="1"/>
            </wp:cNvGraphicFramePr>
            <a:graphic>
              <a:graphicData uri="http://schemas.openxmlformats.org/drawingml/2006/picture">
                <pic:pic>
                  <pic:nvPicPr>
                    <pic:cNvPr id="0" name="episode_reward_summary.png"/>
                    <pic:cNvPicPr/>
                  </pic:nvPicPr>
                  <pic:blipFill>
                    <a:blip r:embed="rId176"/>
                    <a:stretch>
                      <a:fillRect/>
                    </a:stretch>
                  </pic:blipFill>
                  <pic:spPr>
                    <a:xfrm>
                      <a:off x="0" y="0"/>
                      <a:ext cx="4968000" cy="2484000"/>
                    </a:xfrm>
                    <a:prstGeom prst="rect"/>
                  </pic:spPr>
                </pic:pic>
              </a:graphicData>
            </a:graphic>
          </wp:inline>
        </w:drawing>
      </w:r>
    </w:p>
    <w:p>
      <w:pPr>
        <w:jc w:val="center"/>
      </w:pPr>
      <w:r>
        <w:rPr>
          <w:rFonts w:ascii="Times New Roman" w:hAnsi="Times New Roman" w:cs="Times New Roman"/>
          <w:b w:val="0"/>
          <w:i/>
          <w:color w:val="555555"/>
          <w:sz w:val="18"/>
        </w:rPr>
        <w:t>Figura JOB.102. MASAC/E2 — episode_reward_summary.png — Resumen de recompensa por episodio.</w:t>
      </w:r>
    </w:p>
    <w:p>
      <w:pPr>
        <w:jc w:val="center"/>
      </w:pPr>
      <w:r>
        <w:drawing>
          <wp:inline xmlns:a="http://schemas.openxmlformats.org/drawingml/2006/main" xmlns:pic="http://schemas.openxmlformats.org/drawingml/2006/picture">
            <wp:extent cx="4968000" cy="2235600"/>
            <wp:docPr id="163" name="Picture 163"/>
            <wp:cNvGraphicFramePr>
              <a:graphicFrameLocks noChangeAspect="1"/>
            </wp:cNvGraphicFramePr>
            <a:graphic>
              <a:graphicData uri="http://schemas.openxmlformats.org/drawingml/2006/picture">
                <pic:pic>
                  <pic:nvPicPr>
                    <pic:cNvPr id="0" name="learning_efficiency.png"/>
                    <pic:cNvPicPr/>
                  </pic:nvPicPr>
                  <pic:blipFill>
                    <a:blip r:embed="rId177"/>
                    <a:stretch>
                      <a:fillRect/>
                    </a:stretch>
                  </pic:blipFill>
                  <pic:spPr>
                    <a:xfrm>
                      <a:off x="0" y="0"/>
                      <a:ext cx="4968000" cy="2235600"/>
                    </a:xfrm>
                    <a:prstGeom prst="rect"/>
                  </pic:spPr>
                </pic:pic>
              </a:graphicData>
            </a:graphic>
          </wp:inline>
        </w:drawing>
      </w:r>
    </w:p>
    <w:p>
      <w:pPr>
        <w:jc w:val="center"/>
      </w:pPr>
      <w:r>
        <w:rPr>
          <w:rFonts w:ascii="Times New Roman" w:hAnsi="Times New Roman" w:cs="Times New Roman"/>
          <w:b w:val="0"/>
          <w:i/>
          <w:color w:val="555555"/>
          <w:sz w:val="18"/>
        </w:rPr>
        <w:t>Figura JOB.103. MASAC/E2 — learning_efficiency.png — Eficiencia de aprendizaje.</w:t>
      </w:r>
    </w:p>
    <w:p>
      <w:pPr>
        <w:jc w:val="center"/>
      </w:pPr>
      <w:r>
        <w:drawing>
          <wp:inline xmlns:a="http://schemas.openxmlformats.org/drawingml/2006/main" xmlns:pic="http://schemas.openxmlformats.org/drawingml/2006/picture">
            <wp:extent cx="4968000" cy="2258182"/>
            <wp:docPr id="164" name="Picture 164"/>
            <wp:cNvGraphicFramePr>
              <a:graphicFrameLocks noChangeAspect="1"/>
            </wp:cNvGraphicFramePr>
            <a:graphic>
              <a:graphicData uri="http://schemas.openxmlformats.org/drawingml/2006/picture">
                <pic:pic>
                  <pic:nvPicPr>
                    <pic:cNvPr id="0" name="agent_reward_contribution.png"/>
                    <pic:cNvPicPr/>
                  </pic:nvPicPr>
                  <pic:blipFill>
                    <a:blip r:embed="rId178"/>
                    <a:stretch>
                      <a:fillRect/>
                    </a:stretch>
                  </pic:blipFill>
                  <pic:spPr>
                    <a:xfrm>
                      <a:off x="0" y="0"/>
                      <a:ext cx="4968000" cy="2258182"/>
                    </a:xfrm>
                    <a:prstGeom prst="rect"/>
                  </pic:spPr>
                </pic:pic>
              </a:graphicData>
            </a:graphic>
          </wp:inline>
        </w:drawing>
      </w:r>
    </w:p>
    <w:p>
      <w:pPr>
        <w:jc w:val="center"/>
      </w:pPr>
      <w:r>
        <w:rPr>
          <w:rFonts w:ascii="Times New Roman" w:hAnsi="Times New Roman" w:cs="Times New Roman"/>
          <w:b w:val="0"/>
          <w:i/>
          <w:color w:val="555555"/>
          <w:sz w:val="18"/>
        </w:rPr>
        <w:t>Figura JOB.104. MASAC/E2 — agent_reward_contribution.png — Contribución de recompensa por agente/edificio.</w:t>
      </w:r>
    </w:p>
    <w:p>
      <w:pPr>
        <w:jc w:val="center"/>
      </w:pPr>
      <w:r>
        <w:drawing>
          <wp:inline xmlns:a="http://schemas.openxmlformats.org/drawingml/2006/main" xmlns:pic="http://schemas.openxmlformats.org/drawingml/2006/picture">
            <wp:extent cx="4968000" cy="1987200"/>
            <wp:docPr id="165" name="Picture 165"/>
            <wp:cNvGraphicFramePr>
              <a:graphicFrameLocks noChangeAspect="1"/>
            </wp:cNvGraphicFramePr>
            <a:graphic>
              <a:graphicData uri="http://schemas.openxmlformats.org/drawingml/2006/picture">
                <pic:pic>
                  <pic:nvPicPr>
                    <pic:cNvPr id="0" name="exploration_action_l2.png"/>
                    <pic:cNvPicPr/>
                  </pic:nvPicPr>
                  <pic:blipFill>
                    <a:blip r:embed="rId179"/>
                    <a:stretch>
                      <a:fillRect/>
                    </a:stretch>
                  </pic:blipFill>
                  <pic:spPr>
                    <a:xfrm>
                      <a:off x="0" y="0"/>
                      <a:ext cx="4968000" cy="1987200"/>
                    </a:xfrm>
                    <a:prstGeom prst="rect"/>
                  </pic:spPr>
                </pic:pic>
              </a:graphicData>
            </a:graphic>
          </wp:inline>
        </w:drawing>
      </w:r>
    </w:p>
    <w:p>
      <w:pPr>
        <w:jc w:val="center"/>
      </w:pPr>
      <w:r>
        <w:rPr>
          <w:rFonts w:ascii="Times New Roman" w:hAnsi="Times New Roman" w:cs="Times New Roman"/>
          <w:b w:val="0"/>
          <w:i/>
          <w:color w:val="555555"/>
          <w:sz w:val="18"/>
        </w:rPr>
        <w:t>Figura JOB.105. MASAC/E2 — exploration_action_l2.png — Exploración (norma L2 de acciones).</w:t>
      </w:r>
    </w:p>
    <w:p>
      <w:pPr>
        <w:jc w:val="center"/>
      </w:pPr>
      <w:r>
        <w:drawing>
          <wp:inline xmlns:a="http://schemas.openxmlformats.org/drawingml/2006/main" xmlns:pic="http://schemas.openxmlformats.org/drawingml/2006/picture">
            <wp:extent cx="4968000" cy="5419636"/>
            <wp:docPr id="166" name="Picture 166"/>
            <wp:cNvGraphicFramePr>
              <a:graphicFrameLocks noChangeAspect="1"/>
            </wp:cNvGraphicFramePr>
            <a:graphic>
              <a:graphicData uri="http://schemas.openxmlformats.org/drawingml/2006/picture">
                <pic:pic>
                  <pic:nvPicPr>
                    <pic:cNvPr id="0" name="citylearn_v2_district_timeseries.png"/>
                    <pic:cNvPicPr/>
                  </pic:nvPicPr>
                  <pic:blipFill>
                    <a:blip r:embed="rId180"/>
                    <a:stretch>
                      <a:fillRect/>
                    </a:stretch>
                  </pic:blipFill>
                  <pic:spPr>
                    <a:xfrm>
                      <a:off x="0" y="0"/>
                      <a:ext cx="4968000" cy="5419636"/>
                    </a:xfrm>
                    <a:prstGeom prst="rect"/>
                  </pic:spPr>
                </pic:pic>
              </a:graphicData>
            </a:graphic>
          </wp:inline>
        </w:drawing>
      </w:r>
    </w:p>
    <w:p>
      <w:pPr>
        <w:jc w:val="center"/>
      </w:pPr>
      <w:r>
        <w:rPr>
          <w:rFonts w:ascii="Times New Roman" w:hAnsi="Times New Roman" w:cs="Times New Roman"/>
          <w:b w:val="0"/>
          <w:i/>
          <w:color w:val="555555"/>
          <w:sz w:val="18"/>
        </w:rPr>
        <w:t>Figura JOB.106. MASAC/E2 — citylearn_v2_district_timeseries.png — Series temporales distritales CityLearn.</w:t>
      </w:r>
    </w:p>
    <w:p>
      <w:pPr>
        <w:jc w:val="center"/>
      </w:pPr>
      <w:r>
        <w:drawing>
          <wp:inline xmlns:a="http://schemas.openxmlformats.org/drawingml/2006/main" xmlns:pic="http://schemas.openxmlformats.org/drawingml/2006/picture">
            <wp:extent cx="4968000" cy="2710665"/>
            <wp:docPr id="167" name="Picture 167"/>
            <wp:cNvGraphicFramePr>
              <a:graphicFrameLocks noChangeAspect="1"/>
            </wp:cNvGraphicFramePr>
            <a:graphic>
              <a:graphicData uri="http://schemas.openxmlformats.org/drawingml/2006/picture">
                <pic:pic>
                  <pic:nvPicPr>
                    <pic:cNvPr id="0" name="core_kpis.png"/>
                    <pic:cNvPicPr/>
                  </pic:nvPicPr>
                  <pic:blipFill>
                    <a:blip r:embed="rId181"/>
                    <a:stretch>
                      <a:fillRect/>
                    </a:stretch>
                  </pic:blipFill>
                  <pic:spPr>
                    <a:xfrm>
                      <a:off x="0" y="0"/>
                      <a:ext cx="4968000" cy="2710665"/>
                    </a:xfrm>
                    <a:prstGeom prst="rect"/>
                  </pic:spPr>
                </pic:pic>
              </a:graphicData>
            </a:graphic>
          </wp:inline>
        </w:drawing>
      </w:r>
    </w:p>
    <w:p>
      <w:pPr>
        <w:jc w:val="center"/>
      </w:pPr>
      <w:r>
        <w:rPr>
          <w:rFonts w:ascii="Times New Roman" w:hAnsi="Times New Roman" w:cs="Times New Roman"/>
          <w:b w:val="0"/>
          <w:i/>
          <w:color w:val="555555"/>
          <w:sz w:val="18"/>
        </w:rPr>
        <w:t>Figura JOB.107. MASAC/E2 — core_kpis.png — KPIs núcleo del job.</w:t>
      </w:r>
    </w:p>
    <w:p>
      <w:pPr>
        <w:jc w:val="center"/>
      </w:pPr>
      <w:r>
        <w:drawing>
          <wp:inline xmlns:a="http://schemas.openxmlformats.org/drawingml/2006/main" xmlns:pic="http://schemas.openxmlformats.org/drawingml/2006/picture">
            <wp:extent cx="4968000" cy="5722515"/>
            <wp:docPr id="168" name="Picture 168"/>
            <wp:cNvGraphicFramePr>
              <a:graphicFrameLocks noChangeAspect="1"/>
            </wp:cNvGraphicFramePr>
            <a:graphic>
              <a:graphicData uri="http://schemas.openxmlformats.org/drawingml/2006/picture">
                <pic:pic>
                  <pic:nvPicPr>
                    <pic:cNvPr id="0" name="OE1_flexibility_kpis.png"/>
                    <pic:cNvPicPr/>
                  </pic:nvPicPr>
                  <pic:blipFill>
                    <a:blip r:embed="rId182"/>
                    <a:stretch>
                      <a:fillRect/>
                    </a:stretch>
                  </pic:blipFill>
                  <pic:spPr>
                    <a:xfrm>
                      <a:off x="0" y="0"/>
                      <a:ext cx="4968000" cy="5722515"/>
                    </a:xfrm>
                    <a:prstGeom prst="rect"/>
                  </pic:spPr>
                </pic:pic>
              </a:graphicData>
            </a:graphic>
          </wp:inline>
        </w:drawing>
      </w:r>
    </w:p>
    <w:p>
      <w:pPr>
        <w:jc w:val="center"/>
      </w:pPr>
      <w:r>
        <w:rPr>
          <w:rFonts w:ascii="Times New Roman" w:hAnsi="Times New Roman" w:cs="Times New Roman"/>
          <w:b w:val="0"/>
          <w:i/>
          <w:color w:val="555555"/>
          <w:sz w:val="18"/>
        </w:rPr>
        <w:t>Figura JOB.108. MASAC/E2 — OE1_flexibility_kpis.png — KPIs de flexibilidad (OE.1).</w:t>
      </w:r>
    </w:p>
    <w:p>
      <w:pPr>
        <w:jc w:val="center"/>
      </w:pPr>
      <w:r>
        <w:drawing>
          <wp:inline xmlns:a="http://schemas.openxmlformats.org/drawingml/2006/main" xmlns:pic="http://schemas.openxmlformats.org/drawingml/2006/picture">
            <wp:extent cx="4968000" cy="2235600"/>
            <wp:docPr id="169" name="Picture 169"/>
            <wp:cNvGraphicFramePr>
              <a:graphicFrameLocks noChangeAspect="1"/>
            </wp:cNvGraphicFramePr>
            <a:graphic>
              <a:graphicData uri="http://schemas.openxmlformats.org/drawingml/2006/picture">
                <pic:pic>
                  <pic:nvPicPr>
                    <pic:cNvPr id="0" name="OE2_co2_kpis.png"/>
                    <pic:cNvPicPr/>
                  </pic:nvPicPr>
                  <pic:blipFill>
                    <a:blip r:embed="rId183"/>
                    <a:stretch>
                      <a:fillRect/>
                    </a:stretch>
                  </pic:blipFill>
                  <pic:spPr>
                    <a:xfrm>
                      <a:off x="0" y="0"/>
                      <a:ext cx="4968000" cy="2235600"/>
                    </a:xfrm>
                    <a:prstGeom prst="rect"/>
                  </pic:spPr>
                </pic:pic>
              </a:graphicData>
            </a:graphic>
          </wp:inline>
        </w:drawing>
      </w:r>
    </w:p>
    <w:p>
      <w:pPr>
        <w:jc w:val="center"/>
      </w:pPr>
      <w:r>
        <w:rPr>
          <w:rFonts w:ascii="Times New Roman" w:hAnsi="Times New Roman" w:cs="Times New Roman"/>
          <w:b w:val="0"/>
          <w:i/>
          <w:color w:val="555555"/>
          <w:sz w:val="18"/>
        </w:rPr>
        <w:t>Figura JOB.109. MASAC/E2 — OE2_co2_kpis.png — KPIs de emisiones (OE.2).</w:t>
      </w:r>
    </w:p>
    <w:p>
      <w:pPr>
        <w:jc w:val="center"/>
      </w:pPr>
      <w:r>
        <w:drawing>
          <wp:inline xmlns:a="http://schemas.openxmlformats.org/drawingml/2006/main" xmlns:pic="http://schemas.openxmlformats.org/drawingml/2006/picture">
            <wp:extent cx="4968000" cy="2235600"/>
            <wp:docPr id="170" name="Picture 170"/>
            <wp:cNvGraphicFramePr>
              <a:graphicFrameLocks noChangeAspect="1"/>
            </wp:cNvGraphicFramePr>
            <a:graphic>
              <a:graphicData uri="http://schemas.openxmlformats.org/drawingml/2006/picture">
                <pic:pic>
                  <pic:nvPicPr>
                    <pic:cNvPr id="0" name="OE3_cost_kpis.png"/>
                    <pic:cNvPicPr/>
                  </pic:nvPicPr>
                  <pic:blipFill>
                    <a:blip r:embed="rId184"/>
                    <a:stretch>
                      <a:fillRect/>
                    </a:stretch>
                  </pic:blipFill>
                  <pic:spPr>
                    <a:xfrm>
                      <a:off x="0" y="0"/>
                      <a:ext cx="4968000" cy="2235600"/>
                    </a:xfrm>
                    <a:prstGeom prst="rect"/>
                  </pic:spPr>
                </pic:pic>
              </a:graphicData>
            </a:graphic>
          </wp:inline>
        </w:drawing>
      </w:r>
    </w:p>
    <w:p>
      <w:pPr>
        <w:jc w:val="center"/>
      </w:pPr>
      <w:r>
        <w:rPr>
          <w:rFonts w:ascii="Times New Roman" w:hAnsi="Times New Roman" w:cs="Times New Roman"/>
          <w:b w:val="0"/>
          <w:i/>
          <w:color w:val="555555"/>
          <w:sz w:val="18"/>
        </w:rPr>
        <w:t>Figura JOB.110. MASAC/E2 — OE3_cost_kpis.png — KPIs de costo (OE.3).</w:t>
      </w:r>
    </w:p>
    <w:p>
      <w:pPr>
        <w:jc w:val="center"/>
      </w:pPr>
      <w:r>
        <w:drawing>
          <wp:inline xmlns:a="http://schemas.openxmlformats.org/drawingml/2006/main" xmlns:pic="http://schemas.openxmlformats.org/drawingml/2006/picture">
            <wp:extent cx="4968000" cy="2484000"/>
            <wp:docPr id="171" name="Picture 171"/>
            <wp:cNvGraphicFramePr>
              <a:graphicFrameLocks noChangeAspect="1"/>
            </wp:cNvGraphicFramePr>
            <a:graphic>
              <a:graphicData uri="http://schemas.openxmlformats.org/drawingml/2006/picture">
                <pic:pic>
                  <pic:nvPicPr>
                    <pic:cNvPr id="0" name="axis_baseline_comparison.png"/>
                    <pic:cNvPicPr/>
                  </pic:nvPicPr>
                  <pic:blipFill>
                    <a:blip r:embed="rId106"/>
                    <a:stretch>
                      <a:fillRect/>
                    </a:stretch>
                  </pic:blipFill>
                  <pic:spPr>
                    <a:xfrm>
                      <a:off x="0" y="0"/>
                      <a:ext cx="4968000" cy="2484000"/>
                    </a:xfrm>
                    <a:prstGeom prst="rect"/>
                  </pic:spPr>
                </pic:pic>
              </a:graphicData>
            </a:graphic>
          </wp:inline>
        </w:drawing>
      </w:r>
    </w:p>
    <w:p>
      <w:pPr>
        <w:jc w:val="center"/>
      </w:pPr>
      <w:r>
        <w:rPr>
          <w:rFonts w:ascii="Times New Roman" w:hAnsi="Times New Roman" w:cs="Times New Roman"/>
          <w:b w:val="0"/>
          <w:i/>
          <w:color w:val="555555"/>
          <w:sz w:val="18"/>
        </w:rPr>
        <w:t>Figura JOB.111. MASAC/E2 — axis_baseline_comparison.png — Comparación por eje vs baseline.</w:t>
      </w:r>
    </w:p>
    <w:p>
      <w:pPr>
        <w:jc w:val="center"/>
      </w:pPr>
      <w:r>
        <w:drawing>
          <wp:inline xmlns:a="http://schemas.openxmlformats.org/drawingml/2006/main" xmlns:pic="http://schemas.openxmlformats.org/drawingml/2006/picture">
            <wp:extent cx="4968000" cy="3387273"/>
            <wp:docPr id="172" name="Picture 172"/>
            <wp:cNvGraphicFramePr>
              <a:graphicFrameLocks noChangeAspect="1"/>
            </wp:cNvGraphicFramePr>
            <a:graphic>
              <a:graphicData uri="http://schemas.openxmlformats.org/drawingml/2006/picture">
                <pic:pic>
                  <pic:nvPicPr>
                    <pic:cNvPr id="0" name="baseline_gain_by_kpi.png"/>
                    <pic:cNvPicPr/>
                  </pic:nvPicPr>
                  <pic:blipFill>
                    <a:blip r:embed="rId185"/>
                    <a:stretch>
                      <a:fillRect/>
                    </a:stretch>
                  </pic:blipFill>
                  <pic:spPr>
                    <a:xfrm>
                      <a:off x="0" y="0"/>
                      <a:ext cx="4968000" cy="3387273"/>
                    </a:xfrm>
                    <a:prstGeom prst="rect"/>
                  </pic:spPr>
                </pic:pic>
              </a:graphicData>
            </a:graphic>
          </wp:inline>
        </w:drawing>
      </w:r>
    </w:p>
    <w:p>
      <w:pPr>
        <w:jc w:val="center"/>
      </w:pPr>
      <w:r>
        <w:rPr>
          <w:rFonts w:ascii="Times New Roman" w:hAnsi="Times New Roman" w:cs="Times New Roman"/>
          <w:b w:val="0"/>
          <w:i/>
          <w:color w:val="555555"/>
          <w:sz w:val="18"/>
        </w:rPr>
        <w:t>Figura JOB.112. MASAC/E2 — baseline_gain_by_kpi.png — Ganancia/pérdida por KPI vs baseline.</w:t>
      </w:r>
    </w:p>
    <w:p>
      <w:r>
        <w:rPr>
          <w:rFonts w:ascii="Times New Roman" w:hAnsi="Times New Roman" w:cs="Times New Roman"/>
          <w:b/>
          <w:i w:val="0"/>
          <w:sz w:val="22"/>
        </w:rPr>
        <w:t>MASAC / E3</w:t>
      </w:r>
    </w:p>
    <w:p>
      <w:pPr>
        <w:jc w:val="center"/>
      </w:pPr>
      <w:r>
        <w:drawing>
          <wp:inline xmlns:a="http://schemas.openxmlformats.org/drawingml/2006/main" xmlns:pic="http://schemas.openxmlformats.org/drawingml/2006/picture">
            <wp:extent cx="5472000" cy="2111228"/>
            <wp:docPr id="173" name="Picture 173"/>
            <wp:cNvGraphicFramePr>
              <a:graphicFrameLocks noChangeAspect="1"/>
            </wp:cNvGraphicFramePr>
            <a:graphic>
              <a:graphicData uri="http://schemas.openxmlformats.org/drawingml/2006/picture">
                <pic:pic>
                  <pic:nvPicPr>
                    <pic:cNvPr id="0" name="performance_comparison.png"/>
                    <pic:cNvPicPr/>
                  </pic:nvPicPr>
                  <pic:blipFill>
                    <a:blip r:embed="rId186"/>
                    <a:stretch>
                      <a:fillRect/>
                    </a:stretch>
                  </pic:blipFill>
                  <pic:spPr>
                    <a:xfrm>
                      <a:off x="0" y="0"/>
                      <a:ext cx="5472000" cy="2111228"/>
                    </a:xfrm>
                    <a:prstGeom prst="rect"/>
                  </pic:spPr>
                </pic:pic>
              </a:graphicData>
            </a:graphic>
          </wp:inline>
        </w:drawing>
      </w:r>
    </w:p>
    <w:p>
      <w:pPr>
        <w:jc w:val="center"/>
      </w:pPr>
      <w:r>
        <w:rPr>
          <w:rFonts w:ascii="Times New Roman" w:hAnsi="Times New Roman" w:cs="Times New Roman"/>
          <w:b w:val="0"/>
          <w:i/>
          <w:color w:val="555555"/>
          <w:sz w:val="18"/>
        </w:rPr>
        <w:t>Figura JOB.113. MASAC/E3 — performance_comparison.png — Distrito (efecto % vs baseline de 4 MADRL) + edificio (17 edificios).</w:t>
      </w:r>
    </w:p>
    <w:p>
      <w:pPr>
        <w:jc w:val="center"/>
      </w:pPr>
      <w:r>
        <w:drawing>
          <wp:inline xmlns:a="http://schemas.openxmlformats.org/drawingml/2006/main" xmlns:pic="http://schemas.openxmlformats.org/drawingml/2006/picture">
            <wp:extent cx="4968000" cy="2980800"/>
            <wp:docPr id="174" name="Picture 174"/>
            <wp:cNvGraphicFramePr>
              <a:graphicFrameLocks noChangeAspect="1"/>
            </wp:cNvGraphicFramePr>
            <a:graphic>
              <a:graphicData uri="http://schemas.openxmlformats.org/drawingml/2006/picture">
                <pic:pic>
                  <pic:nvPicPr>
                    <pic:cNvPr id="0" name="convergence_returns.png"/>
                    <pic:cNvPicPr/>
                  </pic:nvPicPr>
                  <pic:blipFill>
                    <a:blip r:embed="rId187"/>
                    <a:stretch>
                      <a:fillRect/>
                    </a:stretch>
                  </pic:blipFill>
                  <pic:spPr>
                    <a:xfrm>
                      <a:off x="0" y="0"/>
                      <a:ext cx="4968000" cy="2980800"/>
                    </a:xfrm>
                    <a:prstGeom prst="rect"/>
                  </pic:spPr>
                </pic:pic>
              </a:graphicData>
            </a:graphic>
          </wp:inline>
        </w:drawing>
      </w:r>
    </w:p>
    <w:p>
      <w:pPr>
        <w:jc w:val="center"/>
      </w:pPr>
      <w:r>
        <w:rPr>
          <w:rFonts w:ascii="Times New Roman" w:hAnsi="Times New Roman" w:cs="Times New Roman"/>
          <w:b w:val="0"/>
          <w:i/>
          <w:color w:val="555555"/>
          <w:sz w:val="18"/>
        </w:rPr>
        <w:t>Figura JOB.114. MASAC/E3 — convergence_returns.png — Convergencia de retornos episódicos.</w:t>
      </w:r>
    </w:p>
    <w:p>
      <w:pPr>
        <w:jc w:val="center"/>
      </w:pPr>
      <w:r>
        <w:drawing>
          <wp:inline xmlns:a="http://schemas.openxmlformats.org/drawingml/2006/main" xmlns:pic="http://schemas.openxmlformats.org/drawingml/2006/picture">
            <wp:extent cx="4968000" cy="1987200"/>
            <wp:docPr id="175" name="Picture 175"/>
            <wp:cNvGraphicFramePr>
              <a:graphicFrameLocks noChangeAspect="1"/>
            </wp:cNvGraphicFramePr>
            <a:graphic>
              <a:graphicData uri="http://schemas.openxmlformats.org/drawingml/2006/picture">
                <pic:pic>
                  <pic:nvPicPr>
                    <pic:cNvPr id="0" name="reward_timeseries.png"/>
                    <pic:cNvPicPr/>
                  </pic:nvPicPr>
                  <pic:blipFill>
                    <a:blip r:embed="rId188"/>
                    <a:stretch>
                      <a:fillRect/>
                    </a:stretch>
                  </pic:blipFill>
                  <pic:spPr>
                    <a:xfrm>
                      <a:off x="0" y="0"/>
                      <a:ext cx="4968000" cy="1987200"/>
                    </a:xfrm>
                    <a:prstGeom prst="rect"/>
                  </pic:spPr>
                </pic:pic>
              </a:graphicData>
            </a:graphic>
          </wp:inline>
        </w:drawing>
      </w:r>
    </w:p>
    <w:p>
      <w:pPr>
        <w:jc w:val="center"/>
      </w:pPr>
      <w:r>
        <w:rPr>
          <w:rFonts w:ascii="Times New Roman" w:hAnsi="Times New Roman" w:cs="Times New Roman"/>
          <w:b w:val="0"/>
          <w:i/>
          <w:color w:val="555555"/>
          <w:sz w:val="18"/>
        </w:rPr>
        <w:t>Figura JOB.115. MASAC/E3 — reward_timeseries.png — Serie temporal de recompensa.</w:t>
      </w:r>
    </w:p>
    <w:p>
      <w:pPr>
        <w:jc w:val="center"/>
      </w:pPr>
      <w:r>
        <w:drawing>
          <wp:inline xmlns:a="http://schemas.openxmlformats.org/drawingml/2006/main" xmlns:pic="http://schemas.openxmlformats.org/drawingml/2006/picture">
            <wp:extent cx="4968000" cy="2484000"/>
            <wp:docPr id="176" name="Picture 176"/>
            <wp:cNvGraphicFramePr>
              <a:graphicFrameLocks noChangeAspect="1"/>
            </wp:cNvGraphicFramePr>
            <a:graphic>
              <a:graphicData uri="http://schemas.openxmlformats.org/drawingml/2006/picture">
                <pic:pic>
                  <pic:nvPicPr>
                    <pic:cNvPr id="0" name="episode_reward_summary.png"/>
                    <pic:cNvPicPr/>
                  </pic:nvPicPr>
                  <pic:blipFill>
                    <a:blip r:embed="rId189"/>
                    <a:stretch>
                      <a:fillRect/>
                    </a:stretch>
                  </pic:blipFill>
                  <pic:spPr>
                    <a:xfrm>
                      <a:off x="0" y="0"/>
                      <a:ext cx="4968000" cy="2484000"/>
                    </a:xfrm>
                    <a:prstGeom prst="rect"/>
                  </pic:spPr>
                </pic:pic>
              </a:graphicData>
            </a:graphic>
          </wp:inline>
        </w:drawing>
      </w:r>
    </w:p>
    <w:p>
      <w:pPr>
        <w:jc w:val="center"/>
      </w:pPr>
      <w:r>
        <w:rPr>
          <w:rFonts w:ascii="Times New Roman" w:hAnsi="Times New Roman" w:cs="Times New Roman"/>
          <w:b w:val="0"/>
          <w:i/>
          <w:color w:val="555555"/>
          <w:sz w:val="18"/>
        </w:rPr>
        <w:t>Figura JOB.116. MASAC/E3 — episode_reward_summary.png — Resumen de recompensa por episodio.</w:t>
      </w:r>
    </w:p>
    <w:p>
      <w:pPr>
        <w:jc w:val="center"/>
      </w:pPr>
      <w:r>
        <w:drawing>
          <wp:inline xmlns:a="http://schemas.openxmlformats.org/drawingml/2006/main" xmlns:pic="http://schemas.openxmlformats.org/drawingml/2006/picture">
            <wp:extent cx="4968000" cy="2235600"/>
            <wp:docPr id="177" name="Picture 177"/>
            <wp:cNvGraphicFramePr>
              <a:graphicFrameLocks noChangeAspect="1"/>
            </wp:cNvGraphicFramePr>
            <a:graphic>
              <a:graphicData uri="http://schemas.openxmlformats.org/drawingml/2006/picture">
                <pic:pic>
                  <pic:nvPicPr>
                    <pic:cNvPr id="0" name="learning_efficiency.png"/>
                    <pic:cNvPicPr/>
                  </pic:nvPicPr>
                  <pic:blipFill>
                    <a:blip r:embed="rId190"/>
                    <a:stretch>
                      <a:fillRect/>
                    </a:stretch>
                  </pic:blipFill>
                  <pic:spPr>
                    <a:xfrm>
                      <a:off x="0" y="0"/>
                      <a:ext cx="4968000" cy="2235600"/>
                    </a:xfrm>
                    <a:prstGeom prst="rect"/>
                  </pic:spPr>
                </pic:pic>
              </a:graphicData>
            </a:graphic>
          </wp:inline>
        </w:drawing>
      </w:r>
    </w:p>
    <w:p>
      <w:pPr>
        <w:jc w:val="center"/>
      </w:pPr>
      <w:r>
        <w:rPr>
          <w:rFonts w:ascii="Times New Roman" w:hAnsi="Times New Roman" w:cs="Times New Roman"/>
          <w:b w:val="0"/>
          <w:i/>
          <w:color w:val="555555"/>
          <w:sz w:val="18"/>
        </w:rPr>
        <w:t>Figura JOB.117. MASAC/E3 — learning_efficiency.png — Eficiencia de aprendizaje.</w:t>
      </w:r>
    </w:p>
    <w:p>
      <w:pPr>
        <w:jc w:val="center"/>
      </w:pPr>
      <w:r>
        <w:drawing>
          <wp:inline xmlns:a="http://schemas.openxmlformats.org/drawingml/2006/main" xmlns:pic="http://schemas.openxmlformats.org/drawingml/2006/picture">
            <wp:extent cx="4968000" cy="2258182"/>
            <wp:docPr id="178" name="Picture 178"/>
            <wp:cNvGraphicFramePr>
              <a:graphicFrameLocks noChangeAspect="1"/>
            </wp:cNvGraphicFramePr>
            <a:graphic>
              <a:graphicData uri="http://schemas.openxmlformats.org/drawingml/2006/picture">
                <pic:pic>
                  <pic:nvPicPr>
                    <pic:cNvPr id="0" name="agent_reward_contribution.png"/>
                    <pic:cNvPicPr/>
                  </pic:nvPicPr>
                  <pic:blipFill>
                    <a:blip r:embed="rId191"/>
                    <a:stretch>
                      <a:fillRect/>
                    </a:stretch>
                  </pic:blipFill>
                  <pic:spPr>
                    <a:xfrm>
                      <a:off x="0" y="0"/>
                      <a:ext cx="4968000" cy="2258182"/>
                    </a:xfrm>
                    <a:prstGeom prst="rect"/>
                  </pic:spPr>
                </pic:pic>
              </a:graphicData>
            </a:graphic>
          </wp:inline>
        </w:drawing>
      </w:r>
    </w:p>
    <w:p>
      <w:pPr>
        <w:jc w:val="center"/>
      </w:pPr>
      <w:r>
        <w:rPr>
          <w:rFonts w:ascii="Times New Roman" w:hAnsi="Times New Roman" w:cs="Times New Roman"/>
          <w:b w:val="0"/>
          <w:i/>
          <w:color w:val="555555"/>
          <w:sz w:val="18"/>
        </w:rPr>
        <w:t>Figura JOB.118. MASAC/E3 — agent_reward_contribution.png — Contribución de recompensa por agente/edificio.</w:t>
      </w:r>
    </w:p>
    <w:p>
      <w:pPr>
        <w:jc w:val="center"/>
      </w:pPr>
      <w:r>
        <w:drawing>
          <wp:inline xmlns:a="http://schemas.openxmlformats.org/drawingml/2006/main" xmlns:pic="http://schemas.openxmlformats.org/drawingml/2006/picture">
            <wp:extent cx="4968000" cy="1987200"/>
            <wp:docPr id="179" name="Picture 179"/>
            <wp:cNvGraphicFramePr>
              <a:graphicFrameLocks noChangeAspect="1"/>
            </wp:cNvGraphicFramePr>
            <a:graphic>
              <a:graphicData uri="http://schemas.openxmlformats.org/drawingml/2006/picture">
                <pic:pic>
                  <pic:nvPicPr>
                    <pic:cNvPr id="0" name="exploration_action_l2.png"/>
                    <pic:cNvPicPr/>
                  </pic:nvPicPr>
                  <pic:blipFill>
                    <a:blip r:embed="rId192"/>
                    <a:stretch>
                      <a:fillRect/>
                    </a:stretch>
                  </pic:blipFill>
                  <pic:spPr>
                    <a:xfrm>
                      <a:off x="0" y="0"/>
                      <a:ext cx="4968000" cy="1987200"/>
                    </a:xfrm>
                    <a:prstGeom prst="rect"/>
                  </pic:spPr>
                </pic:pic>
              </a:graphicData>
            </a:graphic>
          </wp:inline>
        </w:drawing>
      </w:r>
    </w:p>
    <w:p>
      <w:pPr>
        <w:jc w:val="center"/>
      </w:pPr>
      <w:r>
        <w:rPr>
          <w:rFonts w:ascii="Times New Roman" w:hAnsi="Times New Roman" w:cs="Times New Roman"/>
          <w:b w:val="0"/>
          <w:i/>
          <w:color w:val="555555"/>
          <w:sz w:val="18"/>
        </w:rPr>
        <w:t>Figura JOB.119. MASAC/E3 — exploration_action_l2.png — Exploración (norma L2 de acciones).</w:t>
      </w:r>
    </w:p>
    <w:p>
      <w:pPr>
        <w:jc w:val="center"/>
      </w:pPr>
      <w:r>
        <w:drawing>
          <wp:inline xmlns:a="http://schemas.openxmlformats.org/drawingml/2006/main" xmlns:pic="http://schemas.openxmlformats.org/drawingml/2006/picture">
            <wp:extent cx="4968000" cy="5419636"/>
            <wp:docPr id="180" name="Picture 180"/>
            <wp:cNvGraphicFramePr>
              <a:graphicFrameLocks noChangeAspect="1"/>
            </wp:cNvGraphicFramePr>
            <a:graphic>
              <a:graphicData uri="http://schemas.openxmlformats.org/drawingml/2006/picture">
                <pic:pic>
                  <pic:nvPicPr>
                    <pic:cNvPr id="0" name="citylearn_v2_district_timeseries.png"/>
                    <pic:cNvPicPr/>
                  </pic:nvPicPr>
                  <pic:blipFill>
                    <a:blip r:embed="rId193"/>
                    <a:stretch>
                      <a:fillRect/>
                    </a:stretch>
                  </pic:blipFill>
                  <pic:spPr>
                    <a:xfrm>
                      <a:off x="0" y="0"/>
                      <a:ext cx="4968000" cy="5419636"/>
                    </a:xfrm>
                    <a:prstGeom prst="rect"/>
                  </pic:spPr>
                </pic:pic>
              </a:graphicData>
            </a:graphic>
          </wp:inline>
        </w:drawing>
      </w:r>
    </w:p>
    <w:p>
      <w:pPr>
        <w:jc w:val="center"/>
      </w:pPr>
      <w:r>
        <w:rPr>
          <w:rFonts w:ascii="Times New Roman" w:hAnsi="Times New Roman" w:cs="Times New Roman"/>
          <w:b w:val="0"/>
          <w:i/>
          <w:color w:val="555555"/>
          <w:sz w:val="18"/>
        </w:rPr>
        <w:t>Figura JOB.120. MASAC/E3 — citylearn_v2_district_timeseries.png — Series temporales distritales CityLearn.</w:t>
      </w:r>
    </w:p>
    <w:p>
      <w:pPr>
        <w:jc w:val="center"/>
      </w:pPr>
      <w:r>
        <w:drawing>
          <wp:inline xmlns:a="http://schemas.openxmlformats.org/drawingml/2006/main" xmlns:pic="http://schemas.openxmlformats.org/drawingml/2006/picture">
            <wp:extent cx="4968000" cy="2918700"/>
            <wp:docPr id="181" name="Picture 181"/>
            <wp:cNvGraphicFramePr>
              <a:graphicFrameLocks noChangeAspect="1"/>
            </wp:cNvGraphicFramePr>
            <a:graphic>
              <a:graphicData uri="http://schemas.openxmlformats.org/drawingml/2006/picture">
                <pic:pic>
                  <pic:nvPicPr>
                    <pic:cNvPr id="0" name="core_kpis.png"/>
                    <pic:cNvPicPr/>
                  </pic:nvPicPr>
                  <pic:blipFill>
                    <a:blip r:embed="rId194"/>
                    <a:stretch>
                      <a:fillRect/>
                    </a:stretch>
                  </pic:blipFill>
                  <pic:spPr>
                    <a:xfrm>
                      <a:off x="0" y="0"/>
                      <a:ext cx="4968000" cy="2918700"/>
                    </a:xfrm>
                    <a:prstGeom prst="rect"/>
                  </pic:spPr>
                </pic:pic>
              </a:graphicData>
            </a:graphic>
          </wp:inline>
        </w:drawing>
      </w:r>
    </w:p>
    <w:p>
      <w:pPr>
        <w:jc w:val="center"/>
      </w:pPr>
      <w:r>
        <w:rPr>
          <w:rFonts w:ascii="Times New Roman" w:hAnsi="Times New Roman" w:cs="Times New Roman"/>
          <w:b w:val="0"/>
          <w:i/>
          <w:color w:val="555555"/>
          <w:sz w:val="18"/>
        </w:rPr>
        <w:t>Figura JOB.121. MASAC/E3 — core_kpis.png — KPIs núcleo del job.</w:t>
      </w:r>
    </w:p>
    <w:p>
      <w:pPr>
        <w:jc w:val="center"/>
      </w:pPr>
      <w:r>
        <w:drawing>
          <wp:inline xmlns:a="http://schemas.openxmlformats.org/drawingml/2006/main" xmlns:pic="http://schemas.openxmlformats.org/drawingml/2006/picture">
            <wp:extent cx="4968000" cy="5722515"/>
            <wp:docPr id="182" name="Picture 182"/>
            <wp:cNvGraphicFramePr>
              <a:graphicFrameLocks noChangeAspect="1"/>
            </wp:cNvGraphicFramePr>
            <a:graphic>
              <a:graphicData uri="http://schemas.openxmlformats.org/drawingml/2006/picture">
                <pic:pic>
                  <pic:nvPicPr>
                    <pic:cNvPr id="0" name="OE1_flexibility_kpis.png"/>
                    <pic:cNvPicPr/>
                  </pic:nvPicPr>
                  <pic:blipFill>
                    <a:blip r:embed="rId195"/>
                    <a:stretch>
                      <a:fillRect/>
                    </a:stretch>
                  </pic:blipFill>
                  <pic:spPr>
                    <a:xfrm>
                      <a:off x="0" y="0"/>
                      <a:ext cx="4968000" cy="5722515"/>
                    </a:xfrm>
                    <a:prstGeom prst="rect"/>
                  </pic:spPr>
                </pic:pic>
              </a:graphicData>
            </a:graphic>
          </wp:inline>
        </w:drawing>
      </w:r>
    </w:p>
    <w:p>
      <w:pPr>
        <w:jc w:val="center"/>
      </w:pPr>
      <w:r>
        <w:rPr>
          <w:rFonts w:ascii="Times New Roman" w:hAnsi="Times New Roman" w:cs="Times New Roman"/>
          <w:b w:val="0"/>
          <w:i/>
          <w:color w:val="555555"/>
          <w:sz w:val="18"/>
        </w:rPr>
        <w:t>Figura JOB.122. MASAC/E3 — OE1_flexibility_kpis.png — KPIs de flexibilidad (OE.1).</w:t>
      </w:r>
    </w:p>
    <w:p>
      <w:pPr>
        <w:jc w:val="center"/>
      </w:pPr>
      <w:r>
        <w:drawing>
          <wp:inline xmlns:a="http://schemas.openxmlformats.org/drawingml/2006/main" xmlns:pic="http://schemas.openxmlformats.org/drawingml/2006/picture">
            <wp:extent cx="4968000" cy="2235600"/>
            <wp:docPr id="183" name="Picture 183"/>
            <wp:cNvGraphicFramePr>
              <a:graphicFrameLocks noChangeAspect="1"/>
            </wp:cNvGraphicFramePr>
            <a:graphic>
              <a:graphicData uri="http://schemas.openxmlformats.org/drawingml/2006/picture">
                <pic:pic>
                  <pic:nvPicPr>
                    <pic:cNvPr id="0" name="OE2_co2_kpis.png"/>
                    <pic:cNvPicPr/>
                  </pic:nvPicPr>
                  <pic:blipFill>
                    <a:blip r:embed="rId196"/>
                    <a:stretch>
                      <a:fillRect/>
                    </a:stretch>
                  </pic:blipFill>
                  <pic:spPr>
                    <a:xfrm>
                      <a:off x="0" y="0"/>
                      <a:ext cx="4968000" cy="2235600"/>
                    </a:xfrm>
                    <a:prstGeom prst="rect"/>
                  </pic:spPr>
                </pic:pic>
              </a:graphicData>
            </a:graphic>
          </wp:inline>
        </w:drawing>
      </w:r>
    </w:p>
    <w:p>
      <w:pPr>
        <w:jc w:val="center"/>
      </w:pPr>
      <w:r>
        <w:rPr>
          <w:rFonts w:ascii="Times New Roman" w:hAnsi="Times New Roman" w:cs="Times New Roman"/>
          <w:b w:val="0"/>
          <w:i/>
          <w:color w:val="555555"/>
          <w:sz w:val="18"/>
        </w:rPr>
        <w:t>Figura JOB.123. MASAC/E3 — OE2_co2_kpis.png — KPIs de emisiones (OE.2).</w:t>
      </w:r>
    </w:p>
    <w:p>
      <w:pPr>
        <w:jc w:val="center"/>
      </w:pPr>
      <w:r>
        <w:drawing>
          <wp:inline xmlns:a="http://schemas.openxmlformats.org/drawingml/2006/main" xmlns:pic="http://schemas.openxmlformats.org/drawingml/2006/picture">
            <wp:extent cx="4968000" cy="2235600"/>
            <wp:docPr id="184" name="Picture 184"/>
            <wp:cNvGraphicFramePr>
              <a:graphicFrameLocks noChangeAspect="1"/>
            </wp:cNvGraphicFramePr>
            <a:graphic>
              <a:graphicData uri="http://schemas.openxmlformats.org/drawingml/2006/picture">
                <pic:pic>
                  <pic:nvPicPr>
                    <pic:cNvPr id="0" name="OE3_cost_kpis.png"/>
                    <pic:cNvPicPr/>
                  </pic:nvPicPr>
                  <pic:blipFill>
                    <a:blip r:embed="rId197"/>
                    <a:stretch>
                      <a:fillRect/>
                    </a:stretch>
                  </pic:blipFill>
                  <pic:spPr>
                    <a:xfrm>
                      <a:off x="0" y="0"/>
                      <a:ext cx="4968000" cy="2235600"/>
                    </a:xfrm>
                    <a:prstGeom prst="rect"/>
                  </pic:spPr>
                </pic:pic>
              </a:graphicData>
            </a:graphic>
          </wp:inline>
        </w:drawing>
      </w:r>
    </w:p>
    <w:p>
      <w:pPr>
        <w:jc w:val="center"/>
      </w:pPr>
      <w:r>
        <w:rPr>
          <w:rFonts w:ascii="Times New Roman" w:hAnsi="Times New Roman" w:cs="Times New Roman"/>
          <w:b w:val="0"/>
          <w:i/>
          <w:color w:val="555555"/>
          <w:sz w:val="18"/>
        </w:rPr>
        <w:t>Figura JOB.124. MASAC/E3 — OE3_cost_kpis.png — KPIs de costo (OE.3).</w:t>
      </w:r>
    </w:p>
    <w:p>
      <w:pPr>
        <w:jc w:val="center"/>
      </w:pPr>
      <w:r>
        <w:drawing>
          <wp:inline xmlns:a="http://schemas.openxmlformats.org/drawingml/2006/main" xmlns:pic="http://schemas.openxmlformats.org/drawingml/2006/picture">
            <wp:extent cx="4968000" cy="2484000"/>
            <wp:docPr id="185" name="Picture 185"/>
            <wp:cNvGraphicFramePr>
              <a:graphicFrameLocks noChangeAspect="1"/>
            </wp:cNvGraphicFramePr>
            <a:graphic>
              <a:graphicData uri="http://schemas.openxmlformats.org/drawingml/2006/picture">
                <pic:pic>
                  <pic:nvPicPr>
                    <pic:cNvPr id="0" name="axis_baseline_comparison.png"/>
                    <pic:cNvPicPr/>
                  </pic:nvPicPr>
                  <pic:blipFill>
                    <a:blip r:embed="rId171"/>
                    <a:stretch>
                      <a:fillRect/>
                    </a:stretch>
                  </pic:blipFill>
                  <pic:spPr>
                    <a:xfrm>
                      <a:off x="0" y="0"/>
                      <a:ext cx="4968000" cy="2484000"/>
                    </a:xfrm>
                    <a:prstGeom prst="rect"/>
                  </pic:spPr>
                </pic:pic>
              </a:graphicData>
            </a:graphic>
          </wp:inline>
        </w:drawing>
      </w:r>
    </w:p>
    <w:p>
      <w:pPr>
        <w:jc w:val="center"/>
      </w:pPr>
      <w:r>
        <w:rPr>
          <w:rFonts w:ascii="Times New Roman" w:hAnsi="Times New Roman" w:cs="Times New Roman"/>
          <w:b w:val="0"/>
          <w:i/>
          <w:color w:val="555555"/>
          <w:sz w:val="18"/>
        </w:rPr>
        <w:t>Figura JOB.125. MASAC/E3 — axis_baseline_comparison.png — Comparación por eje vs baseline.</w:t>
      </w:r>
    </w:p>
    <w:p>
      <w:pPr>
        <w:jc w:val="center"/>
      </w:pPr>
      <w:r>
        <w:drawing>
          <wp:inline xmlns:a="http://schemas.openxmlformats.org/drawingml/2006/main" xmlns:pic="http://schemas.openxmlformats.org/drawingml/2006/picture">
            <wp:extent cx="4968000" cy="3522764"/>
            <wp:docPr id="186" name="Picture 186"/>
            <wp:cNvGraphicFramePr>
              <a:graphicFrameLocks noChangeAspect="1"/>
            </wp:cNvGraphicFramePr>
            <a:graphic>
              <a:graphicData uri="http://schemas.openxmlformats.org/drawingml/2006/picture">
                <pic:pic>
                  <pic:nvPicPr>
                    <pic:cNvPr id="0" name="baseline_gain_by_kpi.png"/>
                    <pic:cNvPicPr/>
                  </pic:nvPicPr>
                  <pic:blipFill>
                    <a:blip r:embed="rId198"/>
                    <a:stretch>
                      <a:fillRect/>
                    </a:stretch>
                  </pic:blipFill>
                  <pic:spPr>
                    <a:xfrm>
                      <a:off x="0" y="0"/>
                      <a:ext cx="4968000" cy="3522764"/>
                    </a:xfrm>
                    <a:prstGeom prst="rect"/>
                  </pic:spPr>
                </pic:pic>
              </a:graphicData>
            </a:graphic>
          </wp:inline>
        </w:drawing>
      </w:r>
    </w:p>
    <w:p>
      <w:pPr>
        <w:jc w:val="center"/>
      </w:pPr>
      <w:r>
        <w:rPr>
          <w:rFonts w:ascii="Times New Roman" w:hAnsi="Times New Roman" w:cs="Times New Roman"/>
          <w:b w:val="0"/>
          <w:i/>
          <w:color w:val="555555"/>
          <w:sz w:val="18"/>
        </w:rPr>
        <w:t>Figura JOB.126. MASAC/E3 — baseline_gain_by_kpi.png — Ganancia/pérdida por KPI vs baseline.</w:t>
      </w:r>
    </w:p>
    <w:p>
      <w:r>
        <w:rPr>
          <w:rFonts w:ascii="Times New Roman" w:hAnsi="Times New Roman" w:cs="Times New Roman"/>
          <w:b/>
          <w:i w:val="0"/>
          <w:sz w:val="24"/>
        </w:rPr>
        <w:t>C.HAPPO — figuras de performance</w:t>
      </w:r>
    </w:p>
    <w:p>
      <w:r>
        <w:rPr>
          <w:rFonts w:ascii="Times New Roman" w:hAnsi="Times New Roman" w:cs="Times New Roman"/>
          <w:b/>
          <w:i w:val="0"/>
          <w:sz w:val="22"/>
        </w:rPr>
        <w:t>HAPPO / E1</w:t>
      </w:r>
    </w:p>
    <w:p>
      <w:pPr>
        <w:jc w:val="center"/>
      </w:pPr>
      <w:r>
        <w:drawing>
          <wp:inline xmlns:a="http://schemas.openxmlformats.org/drawingml/2006/main" xmlns:pic="http://schemas.openxmlformats.org/drawingml/2006/picture">
            <wp:extent cx="5472000" cy="2111228"/>
            <wp:docPr id="187" name="Picture 187"/>
            <wp:cNvGraphicFramePr>
              <a:graphicFrameLocks noChangeAspect="1"/>
            </wp:cNvGraphicFramePr>
            <a:graphic>
              <a:graphicData uri="http://schemas.openxmlformats.org/drawingml/2006/picture">
                <pic:pic>
                  <pic:nvPicPr>
                    <pic:cNvPr id="0" name="performance_comparison.png"/>
                    <pic:cNvPicPr/>
                  </pic:nvPicPr>
                  <pic:blipFill>
                    <a:blip r:embed="rId199"/>
                    <a:stretch>
                      <a:fillRect/>
                    </a:stretch>
                  </pic:blipFill>
                  <pic:spPr>
                    <a:xfrm>
                      <a:off x="0" y="0"/>
                      <a:ext cx="5472000" cy="2111228"/>
                    </a:xfrm>
                    <a:prstGeom prst="rect"/>
                  </pic:spPr>
                </pic:pic>
              </a:graphicData>
            </a:graphic>
          </wp:inline>
        </w:drawing>
      </w:r>
    </w:p>
    <w:p>
      <w:pPr>
        <w:jc w:val="center"/>
      </w:pPr>
      <w:r>
        <w:rPr>
          <w:rFonts w:ascii="Times New Roman" w:hAnsi="Times New Roman" w:cs="Times New Roman"/>
          <w:b w:val="0"/>
          <w:i/>
          <w:color w:val="555555"/>
          <w:sz w:val="18"/>
        </w:rPr>
        <w:t>Figura JOB.127. HAPPO/E1 — performance_comparison.png — Distrito (efecto % vs baseline de 4 MADRL) + edificio (17 edificios).</w:t>
      </w:r>
    </w:p>
    <w:p>
      <w:pPr>
        <w:jc w:val="center"/>
      </w:pPr>
      <w:r>
        <w:drawing>
          <wp:inline xmlns:a="http://schemas.openxmlformats.org/drawingml/2006/main" xmlns:pic="http://schemas.openxmlformats.org/drawingml/2006/picture">
            <wp:extent cx="4968000" cy="2980800"/>
            <wp:docPr id="188" name="Picture 188"/>
            <wp:cNvGraphicFramePr>
              <a:graphicFrameLocks noChangeAspect="1"/>
            </wp:cNvGraphicFramePr>
            <a:graphic>
              <a:graphicData uri="http://schemas.openxmlformats.org/drawingml/2006/picture">
                <pic:pic>
                  <pic:nvPicPr>
                    <pic:cNvPr id="0" name="convergence_returns.png"/>
                    <pic:cNvPicPr/>
                  </pic:nvPicPr>
                  <pic:blipFill>
                    <a:blip r:embed="rId200"/>
                    <a:stretch>
                      <a:fillRect/>
                    </a:stretch>
                  </pic:blipFill>
                  <pic:spPr>
                    <a:xfrm>
                      <a:off x="0" y="0"/>
                      <a:ext cx="4968000" cy="2980800"/>
                    </a:xfrm>
                    <a:prstGeom prst="rect"/>
                  </pic:spPr>
                </pic:pic>
              </a:graphicData>
            </a:graphic>
          </wp:inline>
        </w:drawing>
      </w:r>
    </w:p>
    <w:p>
      <w:pPr>
        <w:jc w:val="center"/>
      </w:pPr>
      <w:r>
        <w:rPr>
          <w:rFonts w:ascii="Times New Roman" w:hAnsi="Times New Roman" w:cs="Times New Roman"/>
          <w:b w:val="0"/>
          <w:i/>
          <w:color w:val="555555"/>
          <w:sz w:val="18"/>
        </w:rPr>
        <w:t>Figura JOB.128. HAPPO/E1 — convergence_returns.png — Convergencia de retornos episódicos.</w:t>
      </w:r>
    </w:p>
    <w:p>
      <w:pPr>
        <w:jc w:val="center"/>
      </w:pPr>
      <w:r>
        <w:drawing>
          <wp:inline xmlns:a="http://schemas.openxmlformats.org/drawingml/2006/main" xmlns:pic="http://schemas.openxmlformats.org/drawingml/2006/picture">
            <wp:extent cx="4968000" cy="1987200"/>
            <wp:docPr id="189" name="Picture 189"/>
            <wp:cNvGraphicFramePr>
              <a:graphicFrameLocks noChangeAspect="1"/>
            </wp:cNvGraphicFramePr>
            <a:graphic>
              <a:graphicData uri="http://schemas.openxmlformats.org/drawingml/2006/picture">
                <pic:pic>
                  <pic:nvPicPr>
                    <pic:cNvPr id="0" name="reward_timeseries.png"/>
                    <pic:cNvPicPr/>
                  </pic:nvPicPr>
                  <pic:blipFill>
                    <a:blip r:embed="rId201"/>
                    <a:stretch>
                      <a:fillRect/>
                    </a:stretch>
                  </pic:blipFill>
                  <pic:spPr>
                    <a:xfrm>
                      <a:off x="0" y="0"/>
                      <a:ext cx="4968000" cy="1987200"/>
                    </a:xfrm>
                    <a:prstGeom prst="rect"/>
                  </pic:spPr>
                </pic:pic>
              </a:graphicData>
            </a:graphic>
          </wp:inline>
        </w:drawing>
      </w:r>
    </w:p>
    <w:p>
      <w:pPr>
        <w:jc w:val="center"/>
      </w:pPr>
      <w:r>
        <w:rPr>
          <w:rFonts w:ascii="Times New Roman" w:hAnsi="Times New Roman" w:cs="Times New Roman"/>
          <w:b w:val="0"/>
          <w:i/>
          <w:color w:val="555555"/>
          <w:sz w:val="18"/>
        </w:rPr>
        <w:t>Figura JOB.129. HAPPO/E1 — reward_timeseries.png — Serie temporal de recompensa.</w:t>
      </w:r>
    </w:p>
    <w:p>
      <w:pPr>
        <w:jc w:val="center"/>
      </w:pPr>
      <w:r>
        <w:drawing>
          <wp:inline xmlns:a="http://schemas.openxmlformats.org/drawingml/2006/main" xmlns:pic="http://schemas.openxmlformats.org/drawingml/2006/picture">
            <wp:extent cx="4968000" cy="2484000"/>
            <wp:docPr id="190" name="Picture 190"/>
            <wp:cNvGraphicFramePr>
              <a:graphicFrameLocks noChangeAspect="1"/>
            </wp:cNvGraphicFramePr>
            <a:graphic>
              <a:graphicData uri="http://schemas.openxmlformats.org/drawingml/2006/picture">
                <pic:pic>
                  <pic:nvPicPr>
                    <pic:cNvPr id="0" name="episode_reward_summary.png"/>
                    <pic:cNvPicPr/>
                  </pic:nvPicPr>
                  <pic:blipFill>
                    <a:blip r:embed="rId202"/>
                    <a:stretch>
                      <a:fillRect/>
                    </a:stretch>
                  </pic:blipFill>
                  <pic:spPr>
                    <a:xfrm>
                      <a:off x="0" y="0"/>
                      <a:ext cx="4968000" cy="2484000"/>
                    </a:xfrm>
                    <a:prstGeom prst="rect"/>
                  </pic:spPr>
                </pic:pic>
              </a:graphicData>
            </a:graphic>
          </wp:inline>
        </w:drawing>
      </w:r>
    </w:p>
    <w:p>
      <w:pPr>
        <w:jc w:val="center"/>
      </w:pPr>
      <w:r>
        <w:rPr>
          <w:rFonts w:ascii="Times New Roman" w:hAnsi="Times New Roman" w:cs="Times New Roman"/>
          <w:b w:val="0"/>
          <w:i/>
          <w:color w:val="555555"/>
          <w:sz w:val="18"/>
        </w:rPr>
        <w:t>Figura JOB.130. HAPPO/E1 — episode_reward_summary.png — Resumen de recompensa por episodio.</w:t>
      </w:r>
    </w:p>
    <w:p>
      <w:pPr>
        <w:jc w:val="center"/>
      </w:pPr>
      <w:r>
        <w:drawing>
          <wp:inline xmlns:a="http://schemas.openxmlformats.org/drawingml/2006/main" xmlns:pic="http://schemas.openxmlformats.org/drawingml/2006/picture">
            <wp:extent cx="4968000" cy="2235600"/>
            <wp:docPr id="191" name="Picture 191"/>
            <wp:cNvGraphicFramePr>
              <a:graphicFrameLocks noChangeAspect="1"/>
            </wp:cNvGraphicFramePr>
            <a:graphic>
              <a:graphicData uri="http://schemas.openxmlformats.org/drawingml/2006/picture">
                <pic:pic>
                  <pic:nvPicPr>
                    <pic:cNvPr id="0" name="learning_efficiency.png"/>
                    <pic:cNvPicPr/>
                  </pic:nvPicPr>
                  <pic:blipFill>
                    <a:blip r:embed="rId203"/>
                    <a:stretch>
                      <a:fillRect/>
                    </a:stretch>
                  </pic:blipFill>
                  <pic:spPr>
                    <a:xfrm>
                      <a:off x="0" y="0"/>
                      <a:ext cx="4968000" cy="2235600"/>
                    </a:xfrm>
                    <a:prstGeom prst="rect"/>
                  </pic:spPr>
                </pic:pic>
              </a:graphicData>
            </a:graphic>
          </wp:inline>
        </w:drawing>
      </w:r>
    </w:p>
    <w:p>
      <w:pPr>
        <w:jc w:val="center"/>
      </w:pPr>
      <w:r>
        <w:rPr>
          <w:rFonts w:ascii="Times New Roman" w:hAnsi="Times New Roman" w:cs="Times New Roman"/>
          <w:b w:val="0"/>
          <w:i/>
          <w:color w:val="555555"/>
          <w:sz w:val="18"/>
        </w:rPr>
        <w:t>Figura JOB.131. HAPPO/E1 — learning_efficiency.png — Eficiencia de aprendizaje.</w:t>
      </w:r>
    </w:p>
    <w:p>
      <w:pPr>
        <w:jc w:val="center"/>
      </w:pPr>
      <w:r>
        <w:drawing>
          <wp:inline xmlns:a="http://schemas.openxmlformats.org/drawingml/2006/main" xmlns:pic="http://schemas.openxmlformats.org/drawingml/2006/picture">
            <wp:extent cx="4968000" cy="2258182"/>
            <wp:docPr id="192" name="Picture 192"/>
            <wp:cNvGraphicFramePr>
              <a:graphicFrameLocks noChangeAspect="1"/>
            </wp:cNvGraphicFramePr>
            <a:graphic>
              <a:graphicData uri="http://schemas.openxmlformats.org/drawingml/2006/picture">
                <pic:pic>
                  <pic:nvPicPr>
                    <pic:cNvPr id="0" name="agent_reward_contribution.png"/>
                    <pic:cNvPicPr/>
                  </pic:nvPicPr>
                  <pic:blipFill>
                    <a:blip r:embed="rId204"/>
                    <a:stretch>
                      <a:fillRect/>
                    </a:stretch>
                  </pic:blipFill>
                  <pic:spPr>
                    <a:xfrm>
                      <a:off x="0" y="0"/>
                      <a:ext cx="4968000" cy="2258182"/>
                    </a:xfrm>
                    <a:prstGeom prst="rect"/>
                  </pic:spPr>
                </pic:pic>
              </a:graphicData>
            </a:graphic>
          </wp:inline>
        </w:drawing>
      </w:r>
    </w:p>
    <w:p>
      <w:pPr>
        <w:jc w:val="center"/>
      </w:pPr>
      <w:r>
        <w:rPr>
          <w:rFonts w:ascii="Times New Roman" w:hAnsi="Times New Roman" w:cs="Times New Roman"/>
          <w:b w:val="0"/>
          <w:i/>
          <w:color w:val="555555"/>
          <w:sz w:val="18"/>
        </w:rPr>
        <w:t>Figura JOB.132. HAPPO/E1 — agent_reward_contribution.png — Contribución de recompensa por agente/edificio.</w:t>
      </w:r>
    </w:p>
    <w:p>
      <w:pPr>
        <w:jc w:val="center"/>
      </w:pPr>
      <w:r>
        <w:drawing>
          <wp:inline xmlns:a="http://schemas.openxmlformats.org/drawingml/2006/main" xmlns:pic="http://schemas.openxmlformats.org/drawingml/2006/picture">
            <wp:extent cx="4968000" cy="1987200"/>
            <wp:docPr id="193" name="Picture 193"/>
            <wp:cNvGraphicFramePr>
              <a:graphicFrameLocks noChangeAspect="1"/>
            </wp:cNvGraphicFramePr>
            <a:graphic>
              <a:graphicData uri="http://schemas.openxmlformats.org/drawingml/2006/picture">
                <pic:pic>
                  <pic:nvPicPr>
                    <pic:cNvPr id="0" name="exploration_action_l2.png"/>
                    <pic:cNvPicPr/>
                  </pic:nvPicPr>
                  <pic:blipFill>
                    <a:blip r:embed="rId205"/>
                    <a:stretch>
                      <a:fillRect/>
                    </a:stretch>
                  </pic:blipFill>
                  <pic:spPr>
                    <a:xfrm>
                      <a:off x="0" y="0"/>
                      <a:ext cx="4968000" cy="1987200"/>
                    </a:xfrm>
                    <a:prstGeom prst="rect"/>
                  </pic:spPr>
                </pic:pic>
              </a:graphicData>
            </a:graphic>
          </wp:inline>
        </w:drawing>
      </w:r>
    </w:p>
    <w:p>
      <w:pPr>
        <w:jc w:val="center"/>
      </w:pPr>
      <w:r>
        <w:rPr>
          <w:rFonts w:ascii="Times New Roman" w:hAnsi="Times New Roman" w:cs="Times New Roman"/>
          <w:b w:val="0"/>
          <w:i/>
          <w:color w:val="555555"/>
          <w:sz w:val="18"/>
        </w:rPr>
        <w:t>Figura JOB.133. HAPPO/E1 — exploration_action_l2.png — Exploración (norma L2 de acciones).</w:t>
      </w:r>
    </w:p>
    <w:p>
      <w:pPr>
        <w:jc w:val="center"/>
      </w:pPr>
      <w:r>
        <w:drawing>
          <wp:inline xmlns:a="http://schemas.openxmlformats.org/drawingml/2006/main" xmlns:pic="http://schemas.openxmlformats.org/drawingml/2006/picture">
            <wp:extent cx="4968000" cy="5419636"/>
            <wp:docPr id="194" name="Picture 194"/>
            <wp:cNvGraphicFramePr>
              <a:graphicFrameLocks noChangeAspect="1"/>
            </wp:cNvGraphicFramePr>
            <a:graphic>
              <a:graphicData uri="http://schemas.openxmlformats.org/drawingml/2006/picture">
                <pic:pic>
                  <pic:nvPicPr>
                    <pic:cNvPr id="0" name="citylearn_v2_district_timeseries.png"/>
                    <pic:cNvPicPr/>
                  </pic:nvPicPr>
                  <pic:blipFill>
                    <a:blip r:embed="rId206"/>
                    <a:stretch>
                      <a:fillRect/>
                    </a:stretch>
                  </pic:blipFill>
                  <pic:spPr>
                    <a:xfrm>
                      <a:off x="0" y="0"/>
                      <a:ext cx="4968000" cy="5419636"/>
                    </a:xfrm>
                    <a:prstGeom prst="rect"/>
                  </pic:spPr>
                </pic:pic>
              </a:graphicData>
            </a:graphic>
          </wp:inline>
        </w:drawing>
      </w:r>
    </w:p>
    <w:p>
      <w:pPr>
        <w:jc w:val="center"/>
      </w:pPr>
      <w:r>
        <w:rPr>
          <w:rFonts w:ascii="Times New Roman" w:hAnsi="Times New Roman" w:cs="Times New Roman"/>
          <w:b w:val="0"/>
          <w:i/>
          <w:color w:val="555555"/>
          <w:sz w:val="18"/>
        </w:rPr>
        <w:t>Figura JOB.134. HAPPO/E1 — citylearn_v2_district_timeseries.png — Series temporales distritales CityLearn.</w:t>
      </w:r>
    </w:p>
    <w:p>
      <w:r>
        <w:rPr>
          <w:rFonts w:ascii="Times New Roman" w:hAnsi="Times New Roman" w:cs="Times New Roman"/>
          <w:b/>
          <w:i w:val="0"/>
          <w:sz w:val="22"/>
        </w:rPr>
        <w:t>HAPPO / E2</w:t>
      </w:r>
    </w:p>
    <w:p>
      <w:pPr>
        <w:jc w:val="center"/>
      </w:pPr>
      <w:r>
        <w:drawing>
          <wp:inline xmlns:a="http://schemas.openxmlformats.org/drawingml/2006/main" xmlns:pic="http://schemas.openxmlformats.org/drawingml/2006/picture">
            <wp:extent cx="5472000" cy="2111228"/>
            <wp:docPr id="195" name="Picture 195"/>
            <wp:cNvGraphicFramePr>
              <a:graphicFrameLocks noChangeAspect="1"/>
            </wp:cNvGraphicFramePr>
            <a:graphic>
              <a:graphicData uri="http://schemas.openxmlformats.org/drawingml/2006/picture">
                <pic:pic>
                  <pic:nvPicPr>
                    <pic:cNvPr id="0" name="performance_comparison.png"/>
                    <pic:cNvPicPr/>
                  </pic:nvPicPr>
                  <pic:blipFill>
                    <a:blip r:embed="rId207"/>
                    <a:stretch>
                      <a:fillRect/>
                    </a:stretch>
                  </pic:blipFill>
                  <pic:spPr>
                    <a:xfrm>
                      <a:off x="0" y="0"/>
                      <a:ext cx="5472000" cy="2111228"/>
                    </a:xfrm>
                    <a:prstGeom prst="rect"/>
                  </pic:spPr>
                </pic:pic>
              </a:graphicData>
            </a:graphic>
          </wp:inline>
        </w:drawing>
      </w:r>
    </w:p>
    <w:p>
      <w:pPr>
        <w:jc w:val="center"/>
      </w:pPr>
      <w:r>
        <w:rPr>
          <w:rFonts w:ascii="Times New Roman" w:hAnsi="Times New Roman" w:cs="Times New Roman"/>
          <w:b w:val="0"/>
          <w:i/>
          <w:color w:val="555555"/>
          <w:sz w:val="18"/>
        </w:rPr>
        <w:t>Figura JOB.135. HAPPO/E2 — performance_comparison.png — Distrito (efecto % vs baseline de 4 MADRL) + edificio (17 edificios).</w:t>
      </w:r>
    </w:p>
    <w:p>
      <w:pPr>
        <w:jc w:val="center"/>
      </w:pPr>
      <w:r>
        <w:drawing>
          <wp:inline xmlns:a="http://schemas.openxmlformats.org/drawingml/2006/main" xmlns:pic="http://schemas.openxmlformats.org/drawingml/2006/picture">
            <wp:extent cx="4968000" cy="2980800"/>
            <wp:docPr id="196" name="Picture 196"/>
            <wp:cNvGraphicFramePr>
              <a:graphicFrameLocks noChangeAspect="1"/>
            </wp:cNvGraphicFramePr>
            <a:graphic>
              <a:graphicData uri="http://schemas.openxmlformats.org/drawingml/2006/picture">
                <pic:pic>
                  <pic:nvPicPr>
                    <pic:cNvPr id="0" name="convergence_returns.png"/>
                    <pic:cNvPicPr/>
                  </pic:nvPicPr>
                  <pic:blipFill>
                    <a:blip r:embed="rId208"/>
                    <a:stretch>
                      <a:fillRect/>
                    </a:stretch>
                  </pic:blipFill>
                  <pic:spPr>
                    <a:xfrm>
                      <a:off x="0" y="0"/>
                      <a:ext cx="4968000" cy="2980800"/>
                    </a:xfrm>
                    <a:prstGeom prst="rect"/>
                  </pic:spPr>
                </pic:pic>
              </a:graphicData>
            </a:graphic>
          </wp:inline>
        </w:drawing>
      </w:r>
    </w:p>
    <w:p>
      <w:pPr>
        <w:jc w:val="center"/>
      </w:pPr>
      <w:r>
        <w:rPr>
          <w:rFonts w:ascii="Times New Roman" w:hAnsi="Times New Roman" w:cs="Times New Roman"/>
          <w:b w:val="0"/>
          <w:i/>
          <w:color w:val="555555"/>
          <w:sz w:val="18"/>
        </w:rPr>
        <w:t>Figura JOB.136. HAPPO/E2 — convergence_returns.png — Convergencia de retornos episódicos.</w:t>
      </w:r>
    </w:p>
    <w:p>
      <w:pPr>
        <w:jc w:val="center"/>
      </w:pPr>
      <w:r>
        <w:drawing>
          <wp:inline xmlns:a="http://schemas.openxmlformats.org/drawingml/2006/main" xmlns:pic="http://schemas.openxmlformats.org/drawingml/2006/picture">
            <wp:extent cx="4968000" cy="1987200"/>
            <wp:docPr id="197" name="Picture 197"/>
            <wp:cNvGraphicFramePr>
              <a:graphicFrameLocks noChangeAspect="1"/>
            </wp:cNvGraphicFramePr>
            <a:graphic>
              <a:graphicData uri="http://schemas.openxmlformats.org/drawingml/2006/picture">
                <pic:pic>
                  <pic:nvPicPr>
                    <pic:cNvPr id="0" name="reward_timeseries.png"/>
                    <pic:cNvPicPr/>
                  </pic:nvPicPr>
                  <pic:blipFill>
                    <a:blip r:embed="rId209"/>
                    <a:stretch>
                      <a:fillRect/>
                    </a:stretch>
                  </pic:blipFill>
                  <pic:spPr>
                    <a:xfrm>
                      <a:off x="0" y="0"/>
                      <a:ext cx="4968000" cy="1987200"/>
                    </a:xfrm>
                    <a:prstGeom prst="rect"/>
                  </pic:spPr>
                </pic:pic>
              </a:graphicData>
            </a:graphic>
          </wp:inline>
        </w:drawing>
      </w:r>
    </w:p>
    <w:p>
      <w:pPr>
        <w:jc w:val="center"/>
      </w:pPr>
      <w:r>
        <w:rPr>
          <w:rFonts w:ascii="Times New Roman" w:hAnsi="Times New Roman" w:cs="Times New Roman"/>
          <w:b w:val="0"/>
          <w:i/>
          <w:color w:val="555555"/>
          <w:sz w:val="18"/>
        </w:rPr>
        <w:t>Figura JOB.137. HAPPO/E2 — reward_timeseries.png — Serie temporal de recompensa.</w:t>
      </w:r>
    </w:p>
    <w:p>
      <w:pPr>
        <w:jc w:val="center"/>
      </w:pPr>
      <w:r>
        <w:drawing>
          <wp:inline xmlns:a="http://schemas.openxmlformats.org/drawingml/2006/main" xmlns:pic="http://schemas.openxmlformats.org/drawingml/2006/picture">
            <wp:extent cx="4968000" cy="2484000"/>
            <wp:docPr id="198" name="Picture 198"/>
            <wp:cNvGraphicFramePr>
              <a:graphicFrameLocks noChangeAspect="1"/>
            </wp:cNvGraphicFramePr>
            <a:graphic>
              <a:graphicData uri="http://schemas.openxmlformats.org/drawingml/2006/picture">
                <pic:pic>
                  <pic:nvPicPr>
                    <pic:cNvPr id="0" name="episode_reward_summary.png"/>
                    <pic:cNvPicPr/>
                  </pic:nvPicPr>
                  <pic:blipFill>
                    <a:blip r:embed="rId210"/>
                    <a:stretch>
                      <a:fillRect/>
                    </a:stretch>
                  </pic:blipFill>
                  <pic:spPr>
                    <a:xfrm>
                      <a:off x="0" y="0"/>
                      <a:ext cx="4968000" cy="2484000"/>
                    </a:xfrm>
                    <a:prstGeom prst="rect"/>
                  </pic:spPr>
                </pic:pic>
              </a:graphicData>
            </a:graphic>
          </wp:inline>
        </w:drawing>
      </w:r>
    </w:p>
    <w:p>
      <w:pPr>
        <w:jc w:val="center"/>
      </w:pPr>
      <w:r>
        <w:rPr>
          <w:rFonts w:ascii="Times New Roman" w:hAnsi="Times New Roman" w:cs="Times New Roman"/>
          <w:b w:val="0"/>
          <w:i/>
          <w:color w:val="555555"/>
          <w:sz w:val="18"/>
        </w:rPr>
        <w:t>Figura JOB.138. HAPPO/E2 — episode_reward_summary.png — Resumen de recompensa por episodio.</w:t>
      </w:r>
    </w:p>
    <w:p>
      <w:pPr>
        <w:jc w:val="center"/>
      </w:pPr>
      <w:r>
        <w:drawing>
          <wp:inline xmlns:a="http://schemas.openxmlformats.org/drawingml/2006/main" xmlns:pic="http://schemas.openxmlformats.org/drawingml/2006/picture">
            <wp:extent cx="4968000" cy="2235600"/>
            <wp:docPr id="199" name="Picture 199"/>
            <wp:cNvGraphicFramePr>
              <a:graphicFrameLocks noChangeAspect="1"/>
            </wp:cNvGraphicFramePr>
            <a:graphic>
              <a:graphicData uri="http://schemas.openxmlformats.org/drawingml/2006/picture">
                <pic:pic>
                  <pic:nvPicPr>
                    <pic:cNvPr id="0" name="learning_efficiency.png"/>
                    <pic:cNvPicPr/>
                  </pic:nvPicPr>
                  <pic:blipFill>
                    <a:blip r:embed="rId211"/>
                    <a:stretch>
                      <a:fillRect/>
                    </a:stretch>
                  </pic:blipFill>
                  <pic:spPr>
                    <a:xfrm>
                      <a:off x="0" y="0"/>
                      <a:ext cx="4968000" cy="2235600"/>
                    </a:xfrm>
                    <a:prstGeom prst="rect"/>
                  </pic:spPr>
                </pic:pic>
              </a:graphicData>
            </a:graphic>
          </wp:inline>
        </w:drawing>
      </w:r>
    </w:p>
    <w:p>
      <w:pPr>
        <w:jc w:val="center"/>
      </w:pPr>
      <w:r>
        <w:rPr>
          <w:rFonts w:ascii="Times New Roman" w:hAnsi="Times New Roman" w:cs="Times New Roman"/>
          <w:b w:val="0"/>
          <w:i/>
          <w:color w:val="555555"/>
          <w:sz w:val="18"/>
        </w:rPr>
        <w:t>Figura JOB.139. HAPPO/E2 — learning_efficiency.png — Eficiencia de aprendizaje.</w:t>
      </w:r>
    </w:p>
    <w:p>
      <w:pPr>
        <w:jc w:val="center"/>
      </w:pPr>
      <w:r>
        <w:drawing>
          <wp:inline xmlns:a="http://schemas.openxmlformats.org/drawingml/2006/main" xmlns:pic="http://schemas.openxmlformats.org/drawingml/2006/picture">
            <wp:extent cx="4968000" cy="2258182"/>
            <wp:docPr id="200" name="Picture 200"/>
            <wp:cNvGraphicFramePr>
              <a:graphicFrameLocks noChangeAspect="1"/>
            </wp:cNvGraphicFramePr>
            <a:graphic>
              <a:graphicData uri="http://schemas.openxmlformats.org/drawingml/2006/picture">
                <pic:pic>
                  <pic:nvPicPr>
                    <pic:cNvPr id="0" name="agent_reward_contribution.png"/>
                    <pic:cNvPicPr/>
                  </pic:nvPicPr>
                  <pic:blipFill>
                    <a:blip r:embed="rId212"/>
                    <a:stretch>
                      <a:fillRect/>
                    </a:stretch>
                  </pic:blipFill>
                  <pic:spPr>
                    <a:xfrm>
                      <a:off x="0" y="0"/>
                      <a:ext cx="4968000" cy="2258182"/>
                    </a:xfrm>
                    <a:prstGeom prst="rect"/>
                  </pic:spPr>
                </pic:pic>
              </a:graphicData>
            </a:graphic>
          </wp:inline>
        </w:drawing>
      </w:r>
    </w:p>
    <w:p>
      <w:pPr>
        <w:jc w:val="center"/>
      </w:pPr>
      <w:r>
        <w:rPr>
          <w:rFonts w:ascii="Times New Roman" w:hAnsi="Times New Roman" w:cs="Times New Roman"/>
          <w:b w:val="0"/>
          <w:i/>
          <w:color w:val="555555"/>
          <w:sz w:val="18"/>
        </w:rPr>
        <w:t>Figura JOB.140. HAPPO/E2 — agent_reward_contribution.png — Contribución de recompensa por agente/edificio.</w:t>
      </w:r>
    </w:p>
    <w:p>
      <w:pPr>
        <w:jc w:val="center"/>
      </w:pPr>
      <w:r>
        <w:drawing>
          <wp:inline xmlns:a="http://schemas.openxmlformats.org/drawingml/2006/main" xmlns:pic="http://schemas.openxmlformats.org/drawingml/2006/picture">
            <wp:extent cx="4968000" cy="1987200"/>
            <wp:docPr id="201" name="Picture 201"/>
            <wp:cNvGraphicFramePr>
              <a:graphicFrameLocks noChangeAspect="1"/>
            </wp:cNvGraphicFramePr>
            <a:graphic>
              <a:graphicData uri="http://schemas.openxmlformats.org/drawingml/2006/picture">
                <pic:pic>
                  <pic:nvPicPr>
                    <pic:cNvPr id="0" name="exploration_action_l2.png"/>
                    <pic:cNvPicPr/>
                  </pic:nvPicPr>
                  <pic:blipFill>
                    <a:blip r:embed="rId213"/>
                    <a:stretch>
                      <a:fillRect/>
                    </a:stretch>
                  </pic:blipFill>
                  <pic:spPr>
                    <a:xfrm>
                      <a:off x="0" y="0"/>
                      <a:ext cx="4968000" cy="1987200"/>
                    </a:xfrm>
                    <a:prstGeom prst="rect"/>
                  </pic:spPr>
                </pic:pic>
              </a:graphicData>
            </a:graphic>
          </wp:inline>
        </w:drawing>
      </w:r>
    </w:p>
    <w:p>
      <w:pPr>
        <w:jc w:val="center"/>
      </w:pPr>
      <w:r>
        <w:rPr>
          <w:rFonts w:ascii="Times New Roman" w:hAnsi="Times New Roman" w:cs="Times New Roman"/>
          <w:b w:val="0"/>
          <w:i/>
          <w:color w:val="555555"/>
          <w:sz w:val="18"/>
        </w:rPr>
        <w:t>Figura JOB.141. HAPPO/E2 — exploration_action_l2.png — Exploración (norma L2 de acciones).</w:t>
      </w:r>
    </w:p>
    <w:p>
      <w:pPr>
        <w:jc w:val="center"/>
      </w:pPr>
      <w:r>
        <w:drawing>
          <wp:inline xmlns:a="http://schemas.openxmlformats.org/drawingml/2006/main" xmlns:pic="http://schemas.openxmlformats.org/drawingml/2006/picture">
            <wp:extent cx="4968000" cy="5419636"/>
            <wp:docPr id="202" name="Picture 202"/>
            <wp:cNvGraphicFramePr>
              <a:graphicFrameLocks noChangeAspect="1"/>
            </wp:cNvGraphicFramePr>
            <a:graphic>
              <a:graphicData uri="http://schemas.openxmlformats.org/drawingml/2006/picture">
                <pic:pic>
                  <pic:nvPicPr>
                    <pic:cNvPr id="0" name="citylearn_v2_district_timeseries.png"/>
                    <pic:cNvPicPr/>
                  </pic:nvPicPr>
                  <pic:blipFill>
                    <a:blip r:embed="rId214"/>
                    <a:stretch>
                      <a:fillRect/>
                    </a:stretch>
                  </pic:blipFill>
                  <pic:spPr>
                    <a:xfrm>
                      <a:off x="0" y="0"/>
                      <a:ext cx="4968000" cy="5419636"/>
                    </a:xfrm>
                    <a:prstGeom prst="rect"/>
                  </pic:spPr>
                </pic:pic>
              </a:graphicData>
            </a:graphic>
          </wp:inline>
        </w:drawing>
      </w:r>
    </w:p>
    <w:p>
      <w:pPr>
        <w:jc w:val="center"/>
      </w:pPr>
      <w:r>
        <w:rPr>
          <w:rFonts w:ascii="Times New Roman" w:hAnsi="Times New Roman" w:cs="Times New Roman"/>
          <w:b w:val="0"/>
          <w:i/>
          <w:color w:val="555555"/>
          <w:sz w:val="18"/>
        </w:rPr>
        <w:t>Figura JOB.142. HAPPO/E2 — citylearn_v2_district_timeseries.png — Series temporales distritales CityLearn.</w:t>
      </w:r>
    </w:p>
    <w:p>
      <w:r>
        <w:rPr>
          <w:rFonts w:ascii="Times New Roman" w:hAnsi="Times New Roman" w:cs="Times New Roman"/>
          <w:b/>
          <w:i w:val="0"/>
          <w:sz w:val="22"/>
        </w:rPr>
        <w:t>HAPPO / E3</w:t>
      </w:r>
    </w:p>
    <w:p>
      <w:pPr>
        <w:jc w:val="center"/>
      </w:pPr>
      <w:r>
        <w:drawing>
          <wp:inline xmlns:a="http://schemas.openxmlformats.org/drawingml/2006/main" xmlns:pic="http://schemas.openxmlformats.org/drawingml/2006/picture">
            <wp:extent cx="5472000" cy="2111228"/>
            <wp:docPr id="203" name="Picture 203"/>
            <wp:cNvGraphicFramePr>
              <a:graphicFrameLocks noChangeAspect="1"/>
            </wp:cNvGraphicFramePr>
            <a:graphic>
              <a:graphicData uri="http://schemas.openxmlformats.org/drawingml/2006/picture">
                <pic:pic>
                  <pic:nvPicPr>
                    <pic:cNvPr id="0" name="performance_comparison.png"/>
                    <pic:cNvPicPr/>
                  </pic:nvPicPr>
                  <pic:blipFill>
                    <a:blip r:embed="rId215"/>
                    <a:stretch>
                      <a:fillRect/>
                    </a:stretch>
                  </pic:blipFill>
                  <pic:spPr>
                    <a:xfrm>
                      <a:off x="0" y="0"/>
                      <a:ext cx="5472000" cy="2111228"/>
                    </a:xfrm>
                    <a:prstGeom prst="rect"/>
                  </pic:spPr>
                </pic:pic>
              </a:graphicData>
            </a:graphic>
          </wp:inline>
        </w:drawing>
      </w:r>
    </w:p>
    <w:p>
      <w:pPr>
        <w:jc w:val="center"/>
      </w:pPr>
      <w:r>
        <w:rPr>
          <w:rFonts w:ascii="Times New Roman" w:hAnsi="Times New Roman" w:cs="Times New Roman"/>
          <w:b w:val="0"/>
          <w:i/>
          <w:color w:val="555555"/>
          <w:sz w:val="18"/>
        </w:rPr>
        <w:t>Figura JOB.143. HAPPO/E3 — performance_comparison.png — Distrito (efecto % vs baseline de 4 MADRL) + edificio (17 edificios).</w:t>
      </w:r>
    </w:p>
    <w:p>
      <w:pPr>
        <w:jc w:val="center"/>
      </w:pPr>
      <w:r>
        <w:drawing>
          <wp:inline xmlns:a="http://schemas.openxmlformats.org/drawingml/2006/main" xmlns:pic="http://schemas.openxmlformats.org/drawingml/2006/picture">
            <wp:extent cx="4968000" cy="2980800"/>
            <wp:docPr id="204" name="Picture 204"/>
            <wp:cNvGraphicFramePr>
              <a:graphicFrameLocks noChangeAspect="1"/>
            </wp:cNvGraphicFramePr>
            <a:graphic>
              <a:graphicData uri="http://schemas.openxmlformats.org/drawingml/2006/picture">
                <pic:pic>
                  <pic:nvPicPr>
                    <pic:cNvPr id="0" name="convergence_returns.png"/>
                    <pic:cNvPicPr/>
                  </pic:nvPicPr>
                  <pic:blipFill>
                    <a:blip r:embed="rId216"/>
                    <a:stretch>
                      <a:fillRect/>
                    </a:stretch>
                  </pic:blipFill>
                  <pic:spPr>
                    <a:xfrm>
                      <a:off x="0" y="0"/>
                      <a:ext cx="4968000" cy="2980800"/>
                    </a:xfrm>
                    <a:prstGeom prst="rect"/>
                  </pic:spPr>
                </pic:pic>
              </a:graphicData>
            </a:graphic>
          </wp:inline>
        </w:drawing>
      </w:r>
    </w:p>
    <w:p>
      <w:pPr>
        <w:jc w:val="center"/>
      </w:pPr>
      <w:r>
        <w:rPr>
          <w:rFonts w:ascii="Times New Roman" w:hAnsi="Times New Roman" w:cs="Times New Roman"/>
          <w:b w:val="0"/>
          <w:i/>
          <w:color w:val="555555"/>
          <w:sz w:val="18"/>
        </w:rPr>
        <w:t>Figura JOB.144. HAPPO/E3 — convergence_returns.png — Convergencia de retornos episódicos.</w:t>
      </w:r>
    </w:p>
    <w:p>
      <w:pPr>
        <w:jc w:val="center"/>
      </w:pPr>
      <w:r>
        <w:drawing>
          <wp:inline xmlns:a="http://schemas.openxmlformats.org/drawingml/2006/main" xmlns:pic="http://schemas.openxmlformats.org/drawingml/2006/picture">
            <wp:extent cx="4968000" cy="1987200"/>
            <wp:docPr id="205" name="Picture 205"/>
            <wp:cNvGraphicFramePr>
              <a:graphicFrameLocks noChangeAspect="1"/>
            </wp:cNvGraphicFramePr>
            <a:graphic>
              <a:graphicData uri="http://schemas.openxmlformats.org/drawingml/2006/picture">
                <pic:pic>
                  <pic:nvPicPr>
                    <pic:cNvPr id="0" name="reward_timeseries.png"/>
                    <pic:cNvPicPr/>
                  </pic:nvPicPr>
                  <pic:blipFill>
                    <a:blip r:embed="rId217"/>
                    <a:stretch>
                      <a:fillRect/>
                    </a:stretch>
                  </pic:blipFill>
                  <pic:spPr>
                    <a:xfrm>
                      <a:off x="0" y="0"/>
                      <a:ext cx="4968000" cy="1987200"/>
                    </a:xfrm>
                    <a:prstGeom prst="rect"/>
                  </pic:spPr>
                </pic:pic>
              </a:graphicData>
            </a:graphic>
          </wp:inline>
        </w:drawing>
      </w:r>
    </w:p>
    <w:p>
      <w:pPr>
        <w:jc w:val="center"/>
      </w:pPr>
      <w:r>
        <w:rPr>
          <w:rFonts w:ascii="Times New Roman" w:hAnsi="Times New Roman" w:cs="Times New Roman"/>
          <w:b w:val="0"/>
          <w:i/>
          <w:color w:val="555555"/>
          <w:sz w:val="18"/>
        </w:rPr>
        <w:t>Figura JOB.145. HAPPO/E3 — reward_timeseries.png — Serie temporal de recompensa.</w:t>
      </w:r>
    </w:p>
    <w:p>
      <w:pPr>
        <w:jc w:val="center"/>
      </w:pPr>
      <w:r>
        <w:drawing>
          <wp:inline xmlns:a="http://schemas.openxmlformats.org/drawingml/2006/main" xmlns:pic="http://schemas.openxmlformats.org/drawingml/2006/picture">
            <wp:extent cx="4968000" cy="2484000"/>
            <wp:docPr id="206" name="Picture 206"/>
            <wp:cNvGraphicFramePr>
              <a:graphicFrameLocks noChangeAspect="1"/>
            </wp:cNvGraphicFramePr>
            <a:graphic>
              <a:graphicData uri="http://schemas.openxmlformats.org/drawingml/2006/picture">
                <pic:pic>
                  <pic:nvPicPr>
                    <pic:cNvPr id="0" name="episode_reward_summary.png"/>
                    <pic:cNvPicPr/>
                  </pic:nvPicPr>
                  <pic:blipFill>
                    <a:blip r:embed="rId218"/>
                    <a:stretch>
                      <a:fillRect/>
                    </a:stretch>
                  </pic:blipFill>
                  <pic:spPr>
                    <a:xfrm>
                      <a:off x="0" y="0"/>
                      <a:ext cx="4968000" cy="2484000"/>
                    </a:xfrm>
                    <a:prstGeom prst="rect"/>
                  </pic:spPr>
                </pic:pic>
              </a:graphicData>
            </a:graphic>
          </wp:inline>
        </w:drawing>
      </w:r>
    </w:p>
    <w:p>
      <w:pPr>
        <w:jc w:val="center"/>
      </w:pPr>
      <w:r>
        <w:rPr>
          <w:rFonts w:ascii="Times New Roman" w:hAnsi="Times New Roman" w:cs="Times New Roman"/>
          <w:b w:val="0"/>
          <w:i/>
          <w:color w:val="555555"/>
          <w:sz w:val="18"/>
        </w:rPr>
        <w:t>Figura JOB.146. HAPPO/E3 — episode_reward_summary.png — Resumen de recompensa por episodio.</w:t>
      </w:r>
    </w:p>
    <w:p>
      <w:pPr>
        <w:jc w:val="center"/>
      </w:pPr>
      <w:r>
        <w:drawing>
          <wp:inline xmlns:a="http://schemas.openxmlformats.org/drawingml/2006/main" xmlns:pic="http://schemas.openxmlformats.org/drawingml/2006/picture">
            <wp:extent cx="4968000" cy="2235600"/>
            <wp:docPr id="207" name="Picture 207"/>
            <wp:cNvGraphicFramePr>
              <a:graphicFrameLocks noChangeAspect="1"/>
            </wp:cNvGraphicFramePr>
            <a:graphic>
              <a:graphicData uri="http://schemas.openxmlformats.org/drawingml/2006/picture">
                <pic:pic>
                  <pic:nvPicPr>
                    <pic:cNvPr id="0" name="learning_efficiency.png"/>
                    <pic:cNvPicPr/>
                  </pic:nvPicPr>
                  <pic:blipFill>
                    <a:blip r:embed="rId219"/>
                    <a:stretch>
                      <a:fillRect/>
                    </a:stretch>
                  </pic:blipFill>
                  <pic:spPr>
                    <a:xfrm>
                      <a:off x="0" y="0"/>
                      <a:ext cx="4968000" cy="2235600"/>
                    </a:xfrm>
                    <a:prstGeom prst="rect"/>
                  </pic:spPr>
                </pic:pic>
              </a:graphicData>
            </a:graphic>
          </wp:inline>
        </w:drawing>
      </w:r>
    </w:p>
    <w:p>
      <w:pPr>
        <w:jc w:val="center"/>
      </w:pPr>
      <w:r>
        <w:rPr>
          <w:rFonts w:ascii="Times New Roman" w:hAnsi="Times New Roman" w:cs="Times New Roman"/>
          <w:b w:val="0"/>
          <w:i/>
          <w:color w:val="555555"/>
          <w:sz w:val="18"/>
        </w:rPr>
        <w:t>Figura JOB.147. HAPPO/E3 — learning_efficiency.png — Eficiencia de aprendizaje.</w:t>
      </w:r>
    </w:p>
    <w:p>
      <w:pPr>
        <w:jc w:val="center"/>
      </w:pPr>
      <w:r>
        <w:drawing>
          <wp:inline xmlns:a="http://schemas.openxmlformats.org/drawingml/2006/main" xmlns:pic="http://schemas.openxmlformats.org/drawingml/2006/picture">
            <wp:extent cx="4968000" cy="2258182"/>
            <wp:docPr id="208" name="Picture 208"/>
            <wp:cNvGraphicFramePr>
              <a:graphicFrameLocks noChangeAspect="1"/>
            </wp:cNvGraphicFramePr>
            <a:graphic>
              <a:graphicData uri="http://schemas.openxmlformats.org/drawingml/2006/picture">
                <pic:pic>
                  <pic:nvPicPr>
                    <pic:cNvPr id="0" name="agent_reward_contribution.png"/>
                    <pic:cNvPicPr/>
                  </pic:nvPicPr>
                  <pic:blipFill>
                    <a:blip r:embed="rId220"/>
                    <a:stretch>
                      <a:fillRect/>
                    </a:stretch>
                  </pic:blipFill>
                  <pic:spPr>
                    <a:xfrm>
                      <a:off x="0" y="0"/>
                      <a:ext cx="4968000" cy="2258182"/>
                    </a:xfrm>
                    <a:prstGeom prst="rect"/>
                  </pic:spPr>
                </pic:pic>
              </a:graphicData>
            </a:graphic>
          </wp:inline>
        </w:drawing>
      </w:r>
    </w:p>
    <w:p>
      <w:pPr>
        <w:jc w:val="center"/>
      </w:pPr>
      <w:r>
        <w:rPr>
          <w:rFonts w:ascii="Times New Roman" w:hAnsi="Times New Roman" w:cs="Times New Roman"/>
          <w:b w:val="0"/>
          <w:i/>
          <w:color w:val="555555"/>
          <w:sz w:val="18"/>
        </w:rPr>
        <w:t>Figura JOB.148. HAPPO/E3 — agent_reward_contribution.png — Contribución de recompensa por agente/edificio.</w:t>
      </w:r>
    </w:p>
    <w:p>
      <w:pPr>
        <w:jc w:val="center"/>
      </w:pPr>
      <w:r>
        <w:drawing>
          <wp:inline xmlns:a="http://schemas.openxmlformats.org/drawingml/2006/main" xmlns:pic="http://schemas.openxmlformats.org/drawingml/2006/picture">
            <wp:extent cx="4968000" cy="1987200"/>
            <wp:docPr id="209" name="Picture 209"/>
            <wp:cNvGraphicFramePr>
              <a:graphicFrameLocks noChangeAspect="1"/>
            </wp:cNvGraphicFramePr>
            <a:graphic>
              <a:graphicData uri="http://schemas.openxmlformats.org/drawingml/2006/picture">
                <pic:pic>
                  <pic:nvPicPr>
                    <pic:cNvPr id="0" name="exploration_action_l2.png"/>
                    <pic:cNvPicPr/>
                  </pic:nvPicPr>
                  <pic:blipFill>
                    <a:blip r:embed="rId221"/>
                    <a:stretch>
                      <a:fillRect/>
                    </a:stretch>
                  </pic:blipFill>
                  <pic:spPr>
                    <a:xfrm>
                      <a:off x="0" y="0"/>
                      <a:ext cx="4968000" cy="1987200"/>
                    </a:xfrm>
                    <a:prstGeom prst="rect"/>
                  </pic:spPr>
                </pic:pic>
              </a:graphicData>
            </a:graphic>
          </wp:inline>
        </w:drawing>
      </w:r>
    </w:p>
    <w:p>
      <w:pPr>
        <w:jc w:val="center"/>
      </w:pPr>
      <w:r>
        <w:rPr>
          <w:rFonts w:ascii="Times New Roman" w:hAnsi="Times New Roman" w:cs="Times New Roman"/>
          <w:b w:val="0"/>
          <w:i/>
          <w:color w:val="555555"/>
          <w:sz w:val="18"/>
        </w:rPr>
        <w:t>Figura JOB.149. HAPPO/E3 — exploration_action_l2.png — Exploración (norma L2 de acciones).</w:t>
      </w:r>
    </w:p>
    <w:p>
      <w:pPr>
        <w:jc w:val="center"/>
      </w:pPr>
      <w:r>
        <w:drawing>
          <wp:inline xmlns:a="http://schemas.openxmlformats.org/drawingml/2006/main" xmlns:pic="http://schemas.openxmlformats.org/drawingml/2006/picture">
            <wp:extent cx="4968000" cy="5419636"/>
            <wp:docPr id="210" name="Picture 210"/>
            <wp:cNvGraphicFramePr>
              <a:graphicFrameLocks noChangeAspect="1"/>
            </wp:cNvGraphicFramePr>
            <a:graphic>
              <a:graphicData uri="http://schemas.openxmlformats.org/drawingml/2006/picture">
                <pic:pic>
                  <pic:nvPicPr>
                    <pic:cNvPr id="0" name="citylearn_v2_district_timeseries.png"/>
                    <pic:cNvPicPr/>
                  </pic:nvPicPr>
                  <pic:blipFill>
                    <a:blip r:embed="rId222"/>
                    <a:stretch>
                      <a:fillRect/>
                    </a:stretch>
                  </pic:blipFill>
                  <pic:spPr>
                    <a:xfrm>
                      <a:off x="0" y="0"/>
                      <a:ext cx="4968000" cy="5419636"/>
                    </a:xfrm>
                    <a:prstGeom prst="rect"/>
                  </pic:spPr>
                </pic:pic>
              </a:graphicData>
            </a:graphic>
          </wp:inline>
        </w:drawing>
      </w:r>
    </w:p>
    <w:p>
      <w:pPr>
        <w:jc w:val="center"/>
      </w:pPr>
      <w:r>
        <w:rPr>
          <w:rFonts w:ascii="Times New Roman" w:hAnsi="Times New Roman" w:cs="Times New Roman"/>
          <w:b w:val="0"/>
          <w:i/>
          <w:color w:val="555555"/>
          <w:sz w:val="18"/>
        </w:rPr>
        <w:t>Figura JOB.150. HAPPO/E3 — citylearn_v2_district_timeseries.png — Series temporales distritales CityLearn.</w:t>
      </w:r>
    </w:p>
    <w:p>
      <w:r>
        <w:rPr>
          <w:rFonts w:ascii="Times New Roman" w:hAnsi="Times New Roman" w:cs="Times New Roman"/>
          <w:b w:val="0"/>
          <w:i/>
          <w:color w:val="555555"/>
          <w:sz w:val="18"/>
        </w:rPr>
        <w:t>Nota. Catálogo completo integrado. Fuentes: madrl_multicriteria_selection/figures/, resumen_comparativo/performance_comparison/, y {ALGO}/{E}/figures/ bajo outputs/madrl_v3_20260627_164047/. Mapping: performance_comparison_mapping.md.</w:t>
      </w:r>
    </w:p>
    <w:p>
      <w:pPr>
        <w:pStyle w:val="Heading3"/>
      </w:pPr>
      <w:r>
        <w:t>5.4.2 OE.1 — otros resultados (flexibilidad energetica)</w:t>
      </w:r>
    </w:p>
    <w:p>
      <w:pPr>
        <w:jc w:val="both"/>
      </w:pPr>
      <w:r>
        <w:rPr>
          <w:b w:val="0"/>
          <w:i w:val="0"/>
        </w:rPr>
        <w:t>Complementos de OE.1 en E1: convergencia, KPI comparativo Drive, desagregacion por edificio (C4) y contraste vs baseline CityLearn v2. No sustituyen §5.2–§5.3 ni §5.5. Control de recursos (C5) en §5.4.5.</w:t>
      </w:r>
    </w:p>
    <w:p>
      <w:r>
        <w:drawing>
          <wp:inline xmlns:a="http://schemas.openxmlformats.org/drawingml/2006/main" xmlns:pic="http://schemas.openxmlformats.org/drawingml/2006/picture">
            <wp:extent cx="6300000" cy="2698713"/>
            <wp:docPr id="11" name="Picture 11"/>
            <wp:cNvGraphicFramePr>
              <a:graphicFrameLocks noChangeAspect="1"/>
            </wp:cNvGraphicFramePr>
            <a:graphic>
              <a:graphicData uri="http://schemas.openxmlformats.org/drawingml/2006/picture">
                <pic:pic>
                  <pic:nvPicPr>
                    <pic:cNvPr id="0" name="comparativo_E1_convergence_reward_mean.png"/>
                    <pic:cNvPicPr/>
                  </pic:nvPicPr>
                  <pic:blipFill>
                    <a:blip r:embed="rId18"/>
                    <a:stretch>
                      <a:fillRect/>
                    </a:stretch>
                  </pic:blipFill>
                  <pic:spPr>
                    <a:xfrm>
                      <a:off x="0" y="0"/>
                      <a:ext cx="6300000" cy="2698713"/>
                    </a:xfrm>
                    <a:prstGeom prst="rect"/>
                  </pic:spPr>
                </pic:pic>
              </a:graphicData>
            </a:graphic>
          </wp:inline>
        </w:drawing>
      </w:r>
    </w:p>
    <w:p>
      <w:pPr>
        <w:jc w:val="center"/>
      </w:pPr>
      <w:r>
        <w:rPr>
          <w:i/>
          <w:color w:val="595959"/>
          <w:sz w:val="18"/>
        </w:rPr>
        <w:t>Figura 5.11. Convergencia reward_mean E1.</w:t>
      </w:r>
    </w:p>
    <w:p/>
    <w:p>
      <w:r>
        <w:drawing>
          <wp:inline xmlns:a="http://schemas.openxmlformats.org/drawingml/2006/main" xmlns:pic="http://schemas.openxmlformats.org/drawingml/2006/picture">
            <wp:extent cx="6300000" cy="3937500"/>
            <wp:docPr id="12" name="Picture 12"/>
            <wp:cNvGraphicFramePr>
              <a:graphicFrameLocks noChangeAspect="1"/>
            </wp:cNvGraphicFramePr>
            <a:graphic>
              <a:graphicData uri="http://schemas.openxmlformats.org/drawingml/2006/picture">
                <pic:pic>
                  <pic:nvPicPr>
                    <pic:cNvPr id="0" name="comparativo_E1_OE1_kpi.png"/>
                    <pic:cNvPicPr/>
                  </pic:nvPicPr>
                  <pic:blipFill>
                    <a:blip r:embed="rId19"/>
                    <a:stretch>
                      <a:fillRect/>
                    </a:stretch>
                  </pic:blipFill>
                  <pic:spPr>
                    <a:xfrm>
                      <a:off x="0" y="0"/>
                      <a:ext cx="6300000" cy="3937500"/>
                    </a:xfrm>
                    <a:prstGeom prst="rect"/>
                  </pic:spPr>
                </pic:pic>
              </a:graphicData>
            </a:graphic>
          </wp:inline>
        </w:drawing>
      </w:r>
    </w:p>
    <w:p>
      <w:pPr>
        <w:jc w:val="center"/>
      </w:pPr>
      <w:r>
        <w:rPr>
          <w:i/>
          <w:color w:val="595959"/>
          <w:sz w:val="18"/>
        </w:rPr>
        <w:t>Figura 5.12. KPI comparativo OE.1.</w:t>
      </w:r>
    </w:p>
    <w:p/>
    <w:p>
      <w:r>
        <w:drawing>
          <wp:inline xmlns:a="http://schemas.openxmlformats.org/drawingml/2006/main" xmlns:pic="http://schemas.openxmlformats.org/drawingml/2006/picture">
            <wp:extent cx="5940000" cy="7425000"/>
            <wp:docPr id="13" name="Picture 13"/>
            <wp:cNvGraphicFramePr>
              <a:graphicFrameLocks noChangeAspect="1"/>
            </wp:cNvGraphicFramePr>
            <a:graphic>
              <a:graphicData uri="http://schemas.openxmlformats.org/drawingml/2006/picture">
                <pic:pic>
                  <pic:nvPicPr>
                    <pic:cNvPr id="0" name="drive_building_E1_flex_composite_proxy.png"/>
                    <pic:cNvPicPr/>
                  </pic:nvPicPr>
                  <pic:blipFill>
                    <a:blip r:embed="rId10"/>
                    <a:stretch>
                      <a:fillRect/>
                    </a:stretch>
                  </pic:blipFill>
                  <pic:spPr>
                    <a:xfrm>
                      <a:off x="0" y="0"/>
                      <a:ext cx="5940000" cy="7425000"/>
                    </a:xfrm>
                    <a:prstGeom prst="rect"/>
                  </pic:spPr>
                </pic:pic>
              </a:graphicData>
            </a:graphic>
          </wp:inline>
        </w:drawing>
      </w:r>
    </w:p>
    <w:p>
      <w:pPr>
        <w:jc w:val="center"/>
      </w:pPr>
      <w:r>
        <w:rPr>
          <w:i/>
          <w:color w:val="595959"/>
          <w:sz w:val="18"/>
        </w:rPr>
        <w:t>Figura 5.13. Objetivo por edificio OE.1 (C4).</w:t>
      </w:r>
    </w:p>
    <w:p/>
    <w:p>
      <w:r>
        <w:drawing>
          <wp:inline xmlns:a="http://schemas.openxmlformats.org/drawingml/2006/main" xmlns:pic="http://schemas.openxmlformats.org/drawingml/2006/picture">
            <wp:extent cx="6300000" cy="2625000"/>
            <wp:docPr id="14" name="Picture 14"/>
            <wp:cNvGraphicFramePr>
              <a:graphicFrameLocks noChangeAspect="1"/>
            </wp:cNvGraphicFramePr>
            <a:graphic>
              <a:graphicData uri="http://schemas.openxmlformats.org/drawingml/2006/picture">
                <pic:pic>
                  <pic:nvPicPr>
                    <pic:cNvPr id="0" name="comparativo_E1_control_trace.png"/>
                    <pic:cNvPicPr/>
                  </pic:nvPicPr>
                  <pic:blipFill>
                    <a:blip r:embed="rId20"/>
                    <a:stretch>
                      <a:fillRect/>
                    </a:stretch>
                  </pic:blipFill>
                  <pic:spPr>
                    <a:xfrm>
                      <a:off x="0" y="0"/>
                      <a:ext cx="6300000" cy="2625000"/>
                    </a:xfrm>
                    <a:prstGeom prst="rect"/>
                  </pic:spPr>
                </pic:pic>
              </a:graphicData>
            </a:graphic>
          </wp:inline>
        </w:drawing>
      </w:r>
    </w:p>
    <w:p>
      <w:pPr>
        <w:jc w:val="center"/>
      </w:pPr>
      <w:r>
        <w:rPr>
          <w:i/>
          <w:color w:val="595959"/>
          <w:sz w:val="18"/>
        </w:rPr>
        <w:t>Figura 5.14. Traza de control de recursos E1 (C5).</w:t>
      </w:r>
    </w:p>
    <w:p/>
    <w:p>
      <w:r>
        <w:drawing>
          <wp:inline xmlns:a="http://schemas.openxmlformats.org/drawingml/2006/main" xmlns:pic="http://schemas.openxmlformats.org/drawingml/2006/picture">
            <wp:extent cx="6120000" cy="2185714"/>
            <wp:docPr id="15" name="Picture 15"/>
            <wp:cNvGraphicFramePr>
              <a:graphicFrameLocks noChangeAspect="1"/>
            </wp:cNvGraphicFramePr>
            <a:graphic>
              <a:graphicData uri="http://schemas.openxmlformats.org/drawingml/2006/picture">
                <pic:pic>
                  <pic:nvPicPr>
                    <pic:cNvPr id="0" name="baseline_gain_heatmap.png"/>
                    <pic:cNvPicPr/>
                  </pic:nvPicPr>
                  <pic:blipFill>
                    <a:blip r:embed="rId21"/>
                    <a:stretch>
                      <a:fillRect/>
                    </a:stretch>
                  </pic:blipFill>
                  <pic:spPr>
                    <a:xfrm>
                      <a:off x="0" y="0"/>
                      <a:ext cx="6120000" cy="2185714"/>
                    </a:xfrm>
                    <a:prstGeom prst="rect"/>
                  </pic:spPr>
                </pic:pic>
              </a:graphicData>
            </a:graphic>
          </wp:inline>
        </w:drawing>
      </w:r>
    </w:p>
    <w:p>
      <w:pPr>
        <w:jc w:val="center"/>
      </w:pPr>
      <w:r>
        <w:rPr>
          <w:i/>
          <w:color w:val="595959"/>
          <w:sz w:val="18"/>
        </w:rPr>
        <w:t>Figura 5.15. Ganancia vs baseline CityLearn v2 — E1 (OE.1).</w:t>
      </w:r>
    </w:p>
    <w:p/>
    <w:p>
      <w:pPr>
        <w:pStyle w:val="Heading3"/>
      </w:pPr>
      <w:r>
        <w:t>5.4.3 OE.2 — otros resultados (emisiones de CO2)</w:t>
      </w:r>
    </w:p>
    <w:p>
      <w:pPr>
        <w:jc w:val="both"/>
      </w:pPr>
      <w:r>
        <w:rPr>
          <w:b w:val="0"/>
          <w:i w:val="0"/>
        </w:rPr>
        <w:t>Complementos de OE.2 en E2: convergencia, KPI comparativo Drive, desagregacion por edificio (C4) y contraste vs baseline CityLearn v2. No sustituyen §5.2–§5.3 ni §5.5. Control de recursos (C5) en §5.4.5.</w:t>
      </w:r>
    </w:p>
    <w:p>
      <w:r>
        <w:drawing>
          <wp:inline xmlns:a="http://schemas.openxmlformats.org/drawingml/2006/main" xmlns:pic="http://schemas.openxmlformats.org/drawingml/2006/picture">
            <wp:extent cx="6300000" cy="2698070"/>
            <wp:docPr id="16" name="Picture 16"/>
            <wp:cNvGraphicFramePr>
              <a:graphicFrameLocks noChangeAspect="1"/>
            </wp:cNvGraphicFramePr>
            <a:graphic>
              <a:graphicData uri="http://schemas.openxmlformats.org/drawingml/2006/picture">
                <pic:pic>
                  <pic:nvPicPr>
                    <pic:cNvPr id="0" name="comparativo_E2_convergence_reward_mean.png"/>
                    <pic:cNvPicPr/>
                  </pic:nvPicPr>
                  <pic:blipFill>
                    <a:blip r:embed="rId22"/>
                    <a:stretch>
                      <a:fillRect/>
                    </a:stretch>
                  </pic:blipFill>
                  <pic:spPr>
                    <a:xfrm>
                      <a:off x="0" y="0"/>
                      <a:ext cx="6300000" cy="2698070"/>
                    </a:xfrm>
                    <a:prstGeom prst="rect"/>
                  </pic:spPr>
                </pic:pic>
              </a:graphicData>
            </a:graphic>
          </wp:inline>
        </w:drawing>
      </w:r>
    </w:p>
    <w:p>
      <w:pPr>
        <w:jc w:val="center"/>
      </w:pPr>
      <w:r>
        <w:rPr>
          <w:i/>
          <w:color w:val="595959"/>
          <w:sz w:val="18"/>
        </w:rPr>
        <w:t>Figura 5.16. Convergencia reward_mean E2.</w:t>
      </w:r>
    </w:p>
    <w:p/>
    <w:p>
      <w:r>
        <w:drawing>
          <wp:inline xmlns:a="http://schemas.openxmlformats.org/drawingml/2006/main" xmlns:pic="http://schemas.openxmlformats.org/drawingml/2006/picture">
            <wp:extent cx="6300000" cy="3937500"/>
            <wp:docPr id="17" name="Picture 17"/>
            <wp:cNvGraphicFramePr>
              <a:graphicFrameLocks noChangeAspect="1"/>
            </wp:cNvGraphicFramePr>
            <a:graphic>
              <a:graphicData uri="http://schemas.openxmlformats.org/drawingml/2006/picture">
                <pic:pic>
                  <pic:nvPicPr>
                    <pic:cNvPr id="0" name="comparativo_E2_OE2_kpi.png"/>
                    <pic:cNvPicPr/>
                  </pic:nvPicPr>
                  <pic:blipFill>
                    <a:blip r:embed="rId23"/>
                    <a:stretch>
                      <a:fillRect/>
                    </a:stretch>
                  </pic:blipFill>
                  <pic:spPr>
                    <a:xfrm>
                      <a:off x="0" y="0"/>
                      <a:ext cx="6300000" cy="3937500"/>
                    </a:xfrm>
                    <a:prstGeom prst="rect"/>
                  </pic:spPr>
                </pic:pic>
              </a:graphicData>
            </a:graphic>
          </wp:inline>
        </w:drawing>
      </w:r>
    </w:p>
    <w:p>
      <w:pPr>
        <w:jc w:val="center"/>
      </w:pPr>
      <w:r>
        <w:rPr>
          <w:i/>
          <w:color w:val="595959"/>
          <w:sz w:val="18"/>
        </w:rPr>
        <w:t>Figura 5.17. KPI comparativo OE.2.</w:t>
      </w:r>
    </w:p>
    <w:p/>
    <w:p>
      <w:r>
        <w:drawing>
          <wp:inline xmlns:a="http://schemas.openxmlformats.org/drawingml/2006/main" xmlns:pic="http://schemas.openxmlformats.org/drawingml/2006/picture">
            <wp:extent cx="5940000" cy="7425000"/>
            <wp:docPr id="18" name="Picture 18"/>
            <wp:cNvGraphicFramePr>
              <a:graphicFrameLocks noChangeAspect="1"/>
            </wp:cNvGraphicFramePr>
            <a:graphic>
              <a:graphicData uri="http://schemas.openxmlformats.org/drawingml/2006/picture">
                <pic:pic>
                  <pic:nvPicPr>
                    <pic:cNvPr id="0" name="drive_building_E2_carbon_emissions_delta_kgco2.png"/>
                    <pic:cNvPicPr/>
                  </pic:nvPicPr>
                  <pic:blipFill>
                    <a:blip r:embed="rId11"/>
                    <a:stretch>
                      <a:fillRect/>
                    </a:stretch>
                  </pic:blipFill>
                  <pic:spPr>
                    <a:xfrm>
                      <a:off x="0" y="0"/>
                      <a:ext cx="5940000" cy="7425000"/>
                    </a:xfrm>
                    <a:prstGeom prst="rect"/>
                  </pic:spPr>
                </pic:pic>
              </a:graphicData>
            </a:graphic>
          </wp:inline>
        </w:drawing>
      </w:r>
    </w:p>
    <w:p>
      <w:pPr>
        <w:jc w:val="center"/>
      </w:pPr>
      <w:r>
        <w:rPr>
          <w:i/>
          <w:color w:val="595959"/>
          <w:sz w:val="18"/>
        </w:rPr>
        <w:t>Figura 5.18. Objetivo por edificio OE.2 (C4).</w:t>
      </w:r>
    </w:p>
    <w:p/>
    <w:p>
      <w:r>
        <w:drawing>
          <wp:inline xmlns:a="http://schemas.openxmlformats.org/drawingml/2006/main" xmlns:pic="http://schemas.openxmlformats.org/drawingml/2006/picture">
            <wp:extent cx="6300000" cy="2625000"/>
            <wp:docPr id="19" name="Picture 19"/>
            <wp:cNvGraphicFramePr>
              <a:graphicFrameLocks noChangeAspect="1"/>
            </wp:cNvGraphicFramePr>
            <a:graphic>
              <a:graphicData uri="http://schemas.openxmlformats.org/drawingml/2006/picture">
                <pic:pic>
                  <pic:nvPicPr>
                    <pic:cNvPr id="0" name="comparativo_E2_control_trace.png"/>
                    <pic:cNvPicPr/>
                  </pic:nvPicPr>
                  <pic:blipFill>
                    <a:blip r:embed="rId24"/>
                    <a:stretch>
                      <a:fillRect/>
                    </a:stretch>
                  </pic:blipFill>
                  <pic:spPr>
                    <a:xfrm>
                      <a:off x="0" y="0"/>
                      <a:ext cx="6300000" cy="2625000"/>
                    </a:xfrm>
                    <a:prstGeom prst="rect"/>
                  </pic:spPr>
                </pic:pic>
              </a:graphicData>
            </a:graphic>
          </wp:inline>
        </w:drawing>
      </w:r>
    </w:p>
    <w:p>
      <w:pPr>
        <w:jc w:val="center"/>
      </w:pPr>
      <w:r>
        <w:rPr>
          <w:i/>
          <w:color w:val="595959"/>
          <w:sz w:val="18"/>
        </w:rPr>
        <w:t>Figura 5.19. Traza de control de recursos E2 (C5).</w:t>
      </w:r>
    </w:p>
    <w:p/>
    <w:p>
      <w:r>
        <w:drawing>
          <wp:inline xmlns:a="http://schemas.openxmlformats.org/drawingml/2006/main" xmlns:pic="http://schemas.openxmlformats.org/drawingml/2006/picture">
            <wp:extent cx="6120000" cy="2185714"/>
            <wp:docPr id="20" name="Picture 20"/>
            <wp:cNvGraphicFramePr>
              <a:graphicFrameLocks noChangeAspect="1"/>
            </wp:cNvGraphicFramePr>
            <a:graphic>
              <a:graphicData uri="http://schemas.openxmlformats.org/drawingml/2006/picture">
                <pic:pic>
                  <pic:nvPicPr>
                    <pic:cNvPr id="0" name="baseline_gain_heatmap.png"/>
                    <pic:cNvPicPr/>
                  </pic:nvPicPr>
                  <pic:blipFill>
                    <a:blip r:embed="rId25"/>
                    <a:stretch>
                      <a:fillRect/>
                    </a:stretch>
                  </pic:blipFill>
                  <pic:spPr>
                    <a:xfrm>
                      <a:off x="0" y="0"/>
                      <a:ext cx="6120000" cy="2185714"/>
                    </a:xfrm>
                    <a:prstGeom prst="rect"/>
                  </pic:spPr>
                </pic:pic>
              </a:graphicData>
            </a:graphic>
          </wp:inline>
        </w:drawing>
      </w:r>
    </w:p>
    <w:p>
      <w:pPr>
        <w:jc w:val="center"/>
      </w:pPr>
      <w:r>
        <w:rPr>
          <w:i/>
          <w:color w:val="595959"/>
          <w:sz w:val="18"/>
        </w:rPr>
        <w:t>Figura 5.20. Ganancia vs baseline CityLearn v2 — E2 (OE.2).</w:t>
      </w:r>
    </w:p>
    <w:p/>
    <w:p>
      <w:pPr>
        <w:pStyle w:val="Heading3"/>
      </w:pPr>
      <w:r>
        <w:t>5.4.4 OE.3 — otros resultados (costos energeticos)</w:t>
      </w:r>
    </w:p>
    <w:p>
      <w:pPr>
        <w:jc w:val="both"/>
      </w:pPr>
      <w:r>
        <w:rPr>
          <w:b w:val="0"/>
          <w:i w:val="0"/>
        </w:rPr>
        <w:t>Complementos de OE.3 en E3: convergencia, KPI comparativo Drive, desagregacion por edificio (C4) y contraste vs baseline CityLearn v2. No sustituyen §5.2–§5.3 ni §5.5. Control de recursos (C5) en §5.4.5.</w:t>
      </w:r>
    </w:p>
    <w:p>
      <w:r>
        <w:drawing>
          <wp:inline xmlns:a="http://schemas.openxmlformats.org/drawingml/2006/main" xmlns:pic="http://schemas.openxmlformats.org/drawingml/2006/picture">
            <wp:extent cx="6300000" cy="2698070"/>
            <wp:docPr id="21" name="Picture 21"/>
            <wp:cNvGraphicFramePr>
              <a:graphicFrameLocks noChangeAspect="1"/>
            </wp:cNvGraphicFramePr>
            <a:graphic>
              <a:graphicData uri="http://schemas.openxmlformats.org/drawingml/2006/picture">
                <pic:pic>
                  <pic:nvPicPr>
                    <pic:cNvPr id="0" name="comparativo_E3_convergence_reward_mean.png"/>
                    <pic:cNvPicPr/>
                  </pic:nvPicPr>
                  <pic:blipFill>
                    <a:blip r:embed="rId26"/>
                    <a:stretch>
                      <a:fillRect/>
                    </a:stretch>
                  </pic:blipFill>
                  <pic:spPr>
                    <a:xfrm>
                      <a:off x="0" y="0"/>
                      <a:ext cx="6300000" cy="2698070"/>
                    </a:xfrm>
                    <a:prstGeom prst="rect"/>
                  </pic:spPr>
                </pic:pic>
              </a:graphicData>
            </a:graphic>
          </wp:inline>
        </w:drawing>
      </w:r>
    </w:p>
    <w:p>
      <w:pPr>
        <w:jc w:val="center"/>
      </w:pPr>
      <w:r>
        <w:rPr>
          <w:i/>
          <w:color w:val="595959"/>
          <w:sz w:val="18"/>
        </w:rPr>
        <w:t>Figura 5.21. Convergencia reward_mean E3.</w:t>
      </w:r>
    </w:p>
    <w:p/>
    <w:p>
      <w:r>
        <w:drawing>
          <wp:inline xmlns:a="http://schemas.openxmlformats.org/drawingml/2006/main" xmlns:pic="http://schemas.openxmlformats.org/drawingml/2006/picture">
            <wp:extent cx="6300000" cy="3937500"/>
            <wp:docPr id="22" name="Picture 22"/>
            <wp:cNvGraphicFramePr>
              <a:graphicFrameLocks noChangeAspect="1"/>
            </wp:cNvGraphicFramePr>
            <a:graphic>
              <a:graphicData uri="http://schemas.openxmlformats.org/drawingml/2006/picture">
                <pic:pic>
                  <pic:nvPicPr>
                    <pic:cNvPr id="0" name="comparativo_E3_OE3_kpi.png"/>
                    <pic:cNvPicPr/>
                  </pic:nvPicPr>
                  <pic:blipFill>
                    <a:blip r:embed="rId27"/>
                    <a:stretch>
                      <a:fillRect/>
                    </a:stretch>
                  </pic:blipFill>
                  <pic:spPr>
                    <a:xfrm>
                      <a:off x="0" y="0"/>
                      <a:ext cx="6300000" cy="3937500"/>
                    </a:xfrm>
                    <a:prstGeom prst="rect"/>
                  </pic:spPr>
                </pic:pic>
              </a:graphicData>
            </a:graphic>
          </wp:inline>
        </w:drawing>
      </w:r>
    </w:p>
    <w:p>
      <w:pPr>
        <w:jc w:val="center"/>
      </w:pPr>
      <w:r>
        <w:rPr>
          <w:i/>
          <w:color w:val="595959"/>
          <w:sz w:val="18"/>
        </w:rPr>
        <w:t>Figura 5.22. KPI comparativo OE.3.</w:t>
      </w:r>
    </w:p>
    <w:p/>
    <w:p>
      <w:r>
        <w:drawing>
          <wp:inline xmlns:a="http://schemas.openxmlformats.org/drawingml/2006/main" xmlns:pic="http://schemas.openxmlformats.org/drawingml/2006/picture">
            <wp:extent cx="5940000" cy="7425000"/>
            <wp:docPr id="23" name="Picture 23"/>
            <wp:cNvGraphicFramePr>
              <a:graphicFrameLocks noChangeAspect="1"/>
            </wp:cNvGraphicFramePr>
            <a:graphic>
              <a:graphicData uri="http://schemas.openxmlformats.org/drawingml/2006/picture">
                <pic:pic>
                  <pic:nvPicPr>
                    <pic:cNvPr id="0" name="drive_building_E3_electricity_cost_delta_eur.png"/>
                    <pic:cNvPicPr/>
                  </pic:nvPicPr>
                  <pic:blipFill>
                    <a:blip r:embed="rId12"/>
                    <a:stretch>
                      <a:fillRect/>
                    </a:stretch>
                  </pic:blipFill>
                  <pic:spPr>
                    <a:xfrm>
                      <a:off x="0" y="0"/>
                      <a:ext cx="5940000" cy="7425000"/>
                    </a:xfrm>
                    <a:prstGeom prst="rect"/>
                  </pic:spPr>
                </pic:pic>
              </a:graphicData>
            </a:graphic>
          </wp:inline>
        </w:drawing>
      </w:r>
    </w:p>
    <w:p>
      <w:pPr>
        <w:jc w:val="center"/>
      </w:pPr>
      <w:r>
        <w:rPr>
          <w:i/>
          <w:color w:val="595959"/>
          <w:sz w:val="18"/>
        </w:rPr>
        <w:t>Figura 5.23. Objetivo por edificio OE.3 (C4).</w:t>
      </w:r>
    </w:p>
    <w:p/>
    <w:p>
      <w:r>
        <w:drawing>
          <wp:inline xmlns:a="http://schemas.openxmlformats.org/drawingml/2006/main" xmlns:pic="http://schemas.openxmlformats.org/drawingml/2006/picture">
            <wp:extent cx="6300000" cy="2625000"/>
            <wp:docPr id="24" name="Picture 24"/>
            <wp:cNvGraphicFramePr>
              <a:graphicFrameLocks noChangeAspect="1"/>
            </wp:cNvGraphicFramePr>
            <a:graphic>
              <a:graphicData uri="http://schemas.openxmlformats.org/drawingml/2006/picture">
                <pic:pic>
                  <pic:nvPicPr>
                    <pic:cNvPr id="0" name="comparativo_E3_control_trace.png"/>
                    <pic:cNvPicPr/>
                  </pic:nvPicPr>
                  <pic:blipFill>
                    <a:blip r:embed="rId28"/>
                    <a:stretch>
                      <a:fillRect/>
                    </a:stretch>
                  </pic:blipFill>
                  <pic:spPr>
                    <a:xfrm>
                      <a:off x="0" y="0"/>
                      <a:ext cx="6300000" cy="2625000"/>
                    </a:xfrm>
                    <a:prstGeom prst="rect"/>
                  </pic:spPr>
                </pic:pic>
              </a:graphicData>
            </a:graphic>
          </wp:inline>
        </w:drawing>
      </w:r>
    </w:p>
    <w:p>
      <w:pPr>
        <w:jc w:val="center"/>
      </w:pPr>
      <w:r>
        <w:rPr>
          <w:i/>
          <w:color w:val="595959"/>
          <w:sz w:val="18"/>
        </w:rPr>
        <w:t>Figura 5.24. Traza de control de recursos E3 (C5).</w:t>
      </w:r>
    </w:p>
    <w:p/>
    <w:p>
      <w:r>
        <w:drawing>
          <wp:inline xmlns:a="http://schemas.openxmlformats.org/drawingml/2006/main" xmlns:pic="http://schemas.openxmlformats.org/drawingml/2006/picture">
            <wp:extent cx="6120000" cy="2185714"/>
            <wp:docPr id="25" name="Picture 25"/>
            <wp:cNvGraphicFramePr>
              <a:graphicFrameLocks noChangeAspect="1"/>
            </wp:cNvGraphicFramePr>
            <a:graphic>
              <a:graphicData uri="http://schemas.openxmlformats.org/drawingml/2006/picture">
                <pic:pic>
                  <pic:nvPicPr>
                    <pic:cNvPr id="0" name="baseline_gain_heatmap.png"/>
                    <pic:cNvPicPr/>
                  </pic:nvPicPr>
                  <pic:blipFill>
                    <a:blip r:embed="rId29"/>
                    <a:stretch>
                      <a:fillRect/>
                    </a:stretch>
                  </pic:blipFill>
                  <pic:spPr>
                    <a:xfrm>
                      <a:off x="0" y="0"/>
                      <a:ext cx="6120000" cy="2185714"/>
                    </a:xfrm>
                    <a:prstGeom prst="rect"/>
                  </pic:spPr>
                </pic:pic>
              </a:graphicData>
            </a:graphic>
          </wp:inline>
        </w:drawing>
      </w:r>
    </w:p>
    <w:p>
      <w:pPr>
        <w:jc w:val="center"/>
      </w:pPr>
      <w:r>
        <w:rPr>
          <w:i/>
          <w:color w:val="595959"/>
          <w:sz w:val="18"/>
        </w:rPr>
        <w:t>Figura 5.25. Ganancia vs baseline CityLearn v2 — E3 (OE.3).</w:t>
      </w:r>
    </w:p>
    <w:p/>
    <w:p>
      <w:pPr>
        <w:pStyle w:val="Heading3"/>
      </w:pPr>
      <w:r>
        <w:t>5.4.5 Control de recursos (criterio C5 de impacto)</w:t>
      </w:r>
    </w:p>
    <w:p>
      <w:pPr>
        <w:jc w:val="both"/>
      </w:pPr>
      <w:r>
        <w:rPr>
          <w:b w:val="0"/>
          <w:i w:val="0"/>
        </w:rPr>
        <w:t>Criterio obligatorio de determinacion del impacto: el efecto MADRL sobre OE.1–OE.3 solo es atribuible si los agentes controlan recursos energeticos (DER). Recursos controlados: BESS (electrical_storage), cargadores EV/V2G y carga desplazable (washing_machine). Recursos no controlados: non_shiftable_load, refrigeracion/ACS modeladas y generacion FV fija. Inventario: 17 edificios, 185 cargadores EV.</w:t>
      </w:r>
    </w:p>
    <w:p>
      <w:r>
        <w:rPr>
          <w:b/>
          <w:color w:val="595959"/>
          <w:sz w:val="19"/>
        </w:rPr>
        <w:t>Tabla 5.4.5. Inventario de control de recursos por edificio (building_inventory_multiobjective.csv).</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737"/>
            <w:shd w:val="clear" w:color="auto" w:fill="1F4E79"/>
          </w:tcPr>
          <w:p>
            <w:r/>
            <w:r>
              <w:rPr>
                <w:b/>
                <w:color w:val="FFFFFF"/>
                <w:sz w:val="18"/>
              </w:rPr>
              <w:t>Edif.</w:t>
            </w:r>
          </w:p>
        </w:tc>
        <w:tc>
          <w:tcPr>
            <w:tcW w:type="dxa" w:w="2551"/>
            <w:shd w:val="clear" w:color="auto" w:fill="1F4E79"/>
          </w:tcPr>
          <w:p>
            <w:r/>
            <w:r>
              <w:rPr>
                <w:b/>
                <w:color w:val="FFFFFF"/>
                <w:sz w:val="18"/>
              </w:rPr>
              <w:t>Nombre</w:t>
            </w:r>
          </w:p>
        </w:tc>
        <w:tc>
          <w:tcPr>
            <w:tcW w:type="dxa" w:w="680"/>
            <w:shd w:val="clear" w:color="auto" w:fill="1F4E79"/>
          </w:tcPr>
          <w:p>
            <w:r/>
            <w:r>
              <w:rPr>
                <w:b/>
                <w:color w:val="FFFFFF"/>
                <w:sz w:val="18"/>
              </w:rPr>
              <w:t>EV</w:t>
            </w:r>
          </w:p>
        </w:tc>
        <w:tc>
          <w:tcPr>
            <w:tcW w:type="dxa" w:w="3118"/>
            <w:shd w:val="clear" w:color="auto" w:fill="1F4E79"/>
          </w:tcPr>
          <w:p>
            <w:r/>
            <w:r>
              <w:rPr>
                <w:b/>
                <w:color w:val="FFFFFF"/>
                <w:sz w:val="18"/>
              </w:rPr>
              <w:t>Elementos controlados</w:t>
            </w:r>
          </w:p>
        </w:tc>
        <w:tc>
          <w:tcPr>
            <w:tcW w:type="dxa" w:w="1020"/>
            <w:shd w:val="clear" w:color="auto" w:fill="1F4E79"/>
          </w:tcPr>
          <w:p>
            <w:r/>
            <w:r>
              <w:rPr>
                <w:b/>
                <w:color w:val="FFFFFF"/>
                <w:sz w:val="18"/>
              </w:rPr>
              <w:t>Acciones</w:t>
            </w:r>
          </w:p>
        </w:tc>
      </w:tr>
      <w:tr>
        <w:tc>
          <w:tcPr>
            <w:tcW w:type="dxa" w:w="737"/>
          </w:tcPr>
          <w:p>
            <w:r/>
            <w:r>
              <w:rPr>
                <w:sz w:val="18"/>
              </w:rPr>
              <w:t>B01</w:t>
            </w:r>
          </w:p>
        </w:tc>
        <w:tc>
          <w:tcPr>
            <w:tcW w:type="dxa" w:w="2551"/>
          </w:tcPr>
          <w:p>
            <w:r/>
            <w:r>
              <w:rPr>
                <w:sz w:val="18"/>
              </w:rPr>
              <w:t>ELECTRO ORIENTE S.A.</w:t>
            </w:r>
          </w:p>
        </w:tc>
        <w:tc>
          <w:tcPr>
            <w:tcW w:type="dxa" w:w="680"/>
          </w:tcPr>
          <w:p>
            <w:r/>
            <w:r>
              <w:rPr>
                <w:sz w:val="18"/>
              </w:rPr>
              <w:t>4</w:t>
            </w:r>
          </w:p>
        </w:tc>
        <w:tc>
          <w:tcPr>
            <w:tcW w:type="dxa" w:w="3118"/>
          </w:tcPr>
          <w:p>
            <w:r/>
            <w:r>
              <w:rPr>
                <w:sz w:val="18"/>
              </w:rPr>
              <w:t>BESS+WM+EV charger x4</w:t>
            </w:r>
          </w:p>
        </w:tc>
        <w:tc>
          <w:tcPr>
            <w:tcW w:type="dxa" w:w="1020"/>
          </w:tcPr>
          <w:p>
            <w:r/>
            <w:r>
              <w:rPr>
                <w:sz w:val="18"/>
              </w:rPr>
              <w:t>6</w:t>
            </w:r>
          </w:p>
        </w:tc>
      </w:tr>
      <w:tr>
        <w:tc>
          <w:tcPr>
            <w:tcW w:type="dxa" w:w="737"/>
          </w:tcPr>
          <w:p>
            <w:r/>
            <w:r>
              <w:rPr>
                <w:sz w:val="18"/>
              </w:rPr>
              <w:t>B02</w:t>
            </w:r>
          </w:p>
        </w:tc>
        <w:tc>
          <w:tcPr>
            <w:tcW w:type="dxa" w:w="2551"/>
          </w:tcPr>
          <w:p>
            <w:r/>
            <w:r>
              <w:rPr>
                <w:sz w:val="18"/>
              </w:rPr>
              <w:t>MUNICIPALIDAD DISTRITAL DE SAN JUAN BAUTIS</w:t>
            </w:r>
          </w:p>
        </w:tc>
        <w:tc>
          <w:tcPr>
            <w:tcW w:type="dxa" w:w="680"/>
          </w:tcPr>
          <w:p>
            <w:r/>
            <w:r>
              <w:rPr>
                <w:sz w:val="18"/>
              </w:rPr>
              <w:t>6</w:t>
            </w:r>
          </w:p>
        </w:tc>
        <w:tc>
          <w:tcPr>
            <w:tcW w:type="dxa" w:w="3118"/>
          </w:tcPr>
          <w:p>
            <w:r/>
            <w:r>
              <w:rPr>
                <w:sz w:val="18"/>
              </w:rPr>
              <w:t>BESS+WM+EV charger x6</w:t>
            </w:r>
          </w:p>
        </w:tc>
        <w:tc>
          <w:tcPr>
            <w:tcW w:type="dxa" w:w="1020"/>
          </w:tcPr>
          <w:p>
            <w:r/>
            <w:r>
              <w:rPr>
                <w:sz w:val="18"/>
              </w:rPr>
              <w:t>8</w:t>
            </w:r>
          </w:p>
        </w:tc>
      </w:tr>
      <w:tr>
        <w:tc>
          <w:tcPr>
            <w:tcW w:type="dxa" w:w="737"/>
          </w:tcPr>
          <w:p>
            <w:r/>
            <w:r>
              <w:rPr>
                <w:sz w:val="18"/>
              </w:rPr>
              <w:t>B03</w:t>
            </w:r>
          </w:p>
        </w:tc>
        <w:tc>
          <w:tcPr>
            <w:tcW w:type="dxa" w:w="2551"/>
          </w:tcPr>
          <w:p>
            <w:r/>
            <w:r>
              <w:rPr>
                <w:sz w:val="18"/>
              </w:rPr>
              <w:t>AEROPUERTO INTERNACIONAL</w:t>
            </w:r>
          </w:p>
        </w:tc>
        <w:tc>
          <w:tcPr>
            <w:tcW w:type="dxa" w:w="680"/>
          </w:tcPr>
          <w:p>
            <w:r/>
            <w:r>
              <w:rPr>
                <w:sz w:val="18"/>
              </w:rPr>
              <w:t>8</w:t>
            </w:r>
          </w:p>
        </w:tc>
        <w:tc>
          <w:tcPr>
            <w:tcW w:type="dxa" w:w="3118"/>
          </w:tcPr>
          <w:p>
            <w:r/>
            <w:r>
              <w:rPr>
                <w:sz w:val="18"/>
              </w:rPr>
              <w:t>BESS+WM+EV charger x8</w:t>
            </w:r>
          </w:p>
        </w:tc>
        <w:tc>
          <w:tcPr>
            <w:tcW w:type="dxa" w:w="1020"/>
          </w:tcPr>
          <w:p>
            <w:r/>
            <w:r>
              <w:rPr>
                <w:sz w:val="18"/>
              </w:rPr>
              <w:t>10</w:t>
            </w:r>
          </w:p>
        </w:tc>
      </w:tr>
      <w:tr>
        <w:tc>
          <w:tcPr>
            <w:tcW w:type="dxa" w:w="737"/>
          </w:tcPr>
          <w:p>
            <w:r/>
            <w:r>
              <w:rPr>
                <w:sz w:val="18"/>
              </w:rPr>
              <w:t>B04</w:t>
            </w:r>
          </w:p>
        </w:tc>
        <w:tc>
          <w:tcPr>
            <w:tcW w:type="dxa" w:w="2551"/>
          </w:tcPr>
          <w:p>
            <w:r/>
            <w:r>
              <w:rPr>
                <w:sz w:val="18"/>
              </w:rPr>
              <w:t>HIPERMERCADOS TOTTUS ORIENTE SAC</w:t>
            </w:r>
          </w:p>
        </w:tc>
        <w:tc>
          <w:tcPr>
            <w:tcW w:type="dxa" w:w="680"/>
          </w:tcPr>
          <w:p>
            <w:r/>
            <w:r>
              <w:rPr>
                <w:sz w:val="18"/>
              </w:rPr>
              <w:t>6</w:t>
            </w:r>
          </w:p>
        </w:tc>
        <w:tc>
          <w:tcPr>
            <w:tcW w:type="dxa" w:w="3118"/>
          </w:tcPr>
          <w:p>
            <w:r/>
            <w:r>
              <w:rPr>
                <w:sz w:val="18"/>
              </w:rPr>
              <w:t>BESS+WM+EV charger x6</w:t>
            </w:r>
          </w:p>
        </w:tc>
        <w:tc>
          <w:tcPr>
            <w:tcW w:type="dxa" w:w="1020"/>
          </w:tcPr>
          <w:p>
            <w:r/>
            <w:r>
              <w:rPr>
                <w:sz w:val="18"/>
              </w:rPr>
              <w:t>8</w:t>
            </w:r>
          </w:p>
        </w:tc>
      </w:tr>
      <w:tr>
        <w:tc>
          <w:tcPr>
            <w:tcW w:type="dxa" w:w="737"/>
          </w:tcPr>
          <w:p>
            <w:r/>
            <w:r>
              <w:rPr>
                <w:sz w:val="18"/>
              </w:rPr>
              <w:t>B05</w:t>
            </w:r>
          </w:p>
        </w:tc>
        <w:tc>
          <w:tcPr>
            <w:tcW w:type="dxa" w:w="2551"/>
          </w:tcPr>
          <w:p>
            <w:r/>
            <w:r>
              <w:rPr>
                <w:sz w:val="18"/>
              </w:rPr>
              <w:t>HOTEL PLAZA S.A.</w:t>
            </w:r>
          </w:p>
        </w:tc>
        <w:tc>
          <w:tcPr>
            <w:tcW w:type="dxa" w:w="680"/>
          </w:tcPr>
          <w:p>
            <w:r/>
            <w:r>
              <w:rPr>
                <w:sz w:val="18"/>
              </w:rPr>
              <w:t>3</w:t>
            </w:r>
          </w:p>
        </w:tc>
        <w:tc>
          <w:tcPr>
            <w:tcW w:type="dxa" w:w="3118"/>
          </w:tcPr>
          <w:p>
            <w:r/>
            <w:r>
              <w:rPr>
                <w:sz w:val="18"/>
              </w:rPr>
              <w:t>BESS+WM+EV charger x3</w:t>
            </w:r>
          </w:p>
        </w:tc>
        <w:tc>
          <w:tcPr>
            <w:tcW w:type="dxa" w:w="1020"/>
          </w:tcPr>
          <w:p>
            <w:r/>
            <w:r>
              <w:rPr>
                <w:sz w:val="18"/>
              </w:rPr>
              <w:t>5</w:t>
            </w:r>
          </w:p>
        </w:tc>
      </w:tr>
      <w:tr>
        <w:tc>
          <w:tcPr>
            <w:tcW w:type="dxa" w:w="737"/>
          </w:tcPr>
          <w:p>
            <w:r/>
            <w:r>
              <w:rPr>
                <w:sz w:val="18"/>
              </w:rPr>
              <w:t>B06</w:t>
            </w:r>
          </w:p>
        </w:tc>
        <w:tc>
          <w:tcPr>
            <w:tcW w:type="dxa" w:w="2551"/>
          </w:tcPr>
          <w:p>
            <w:r/>
            <w:r>
              <w:rPr>
                <w:sz w:val="18"/>
              </w:rPr>
              <w:t>MALL AVENTURA S.A.</w:t>
            </w:r>
          </w:p>
        </w:tc>
        <w:tc>
          <w:tcPr>
            <w:tcW w:type="dxa" w:w="680"/>
          </w:tcPr>
          <w:p>
            <w:r/>
            <w:r>
              <w:rPr>
                <w:sz w:val="18"/>
              </w:rPr>
              <w:t>32</w:t>
            </w:r>
          </w:p>
        </w:tc>
        <w:tc>
          <w:tcPr>
            <w:tcW w:type="dxa" w:w="3118"/>
          </w:tcPr>
          <w:p>
            <w:r/>
            <w:r>
              <w:rPr>
                <w:sz w:val="18"/>
              </w:rPr>
              <w:t>BESS+WM+EV charger x32</w:t>
            </w:r>
          </w:p>
        </w:tc>
        <w:tc>
          <w:tcPr>
            <w:tcW w:type="dxa" w:w="1020"/>
          </w:tcPr>
          <w:p>
            <w:r/>
            <w:r>
              <w:rPr>
                <w:sz w:val="18"/>
              </w:rPr>
              <w:t>34</w:t>
            </w:r>
          </w:p>
        </w:tc>
      </w:tr>
      <w:tr>
        <w:tc>
          <w:tcPr>
            <w:tcW w:type="dxa" w:w="737"/>
          </w:tcPr>
          <w:p>
            <w:r/>
            <w:r>
              <w:rPr>
                <w:sz w:val="18"/>
              </w:rPr>
              <w:t>B07</w:t>
            </w:r>
          </w:p>
        </w:tc>
        <w:tc>
          <w:tcPr>
            <w:tcW w:type="dxa" w:w="2551"/>
          </w:tcPr>
          <w:p>
            <w:r/>
            <w:r>
              <w:rPr>
                <w:sz w:val="18"/>
              </w:rPr>
              <w:t>UNAP-FACULTAD DE BIOLOGIA-AULAS</w:t>
            </w:r>
          </w:p>
        </w:tc>
        <w:tc>
          <w:tcPr>
            <w:tcW w:type="dxa" w:w="680"/>
          </w:tcPr>
          <w:p>
            <w:r/>
            <w:r>
              <w:rPr>
                <w:sz w:val="18"/>
              </w:rPr>
              <w:t>42</w:t>
            </w:r>
          </w:p>
        </w:tc>
        <w:tc>
          <w:tcPr>
            <w:tcW w:type="dxa" w:w="3118"/>
          </w:tcPr>
          <w:p>
            <w:r/>
            <w:r>
              <w:rPr>
                <w:sz w:val="18"/>
              </w:rPr>
              <w:t>BESS+WM+EV charger x42</w:t>
            </w:r>
          </w:p>
        </w:tc>
        <w:tc>
          <w:tcPr>
            <w:tcW w:type="dxa" w:w="1020"/>
          </w:tcPr>
          <w:p>
            <w:r/>
            <w:r>
              <w:rPr>
                <w:sz w:val="18"/>
              </w:rPr>
              <w:t>44</w:t>
            </w:r>
          </w:p>
        </w:tc>
      </w:tr>
      <w:tr>
        <w:tc>
          <w:tcPr>
            <w:tcW w:type="dxa" w:w="737"/>
          </w:tcPr>
          <w:p>
            <w:r/>
            <w:r>
              <w:rPr>
                <w:sz w:val="18"/>
              </w:rPr>
              <w:t>B08</w:t>
            </w:r>
          </w:p>
        </w:tc>
        <w:tc>
          <w:tcPr>
            <w:tcW w:type="dxa" w:w="2551"/>
          </w:tcPr>
          <w:p>
            <w:r/>
            <w:r>
              <w:rPr>
                <w:sz w:val="18"/>
              </w:rPr>
              <w:t>PNP- ESCUELA TECNICA SUPERIOR-IQUITOS</w:t>
            </w:r>
          </w:p>
        </w:tc>
        <w:tc>
          <w:tcPr>
            <w:tcW w:type="dxa" w:w="680"/>
          </w:tcPr>
          <w:p>
            <w:r/>
            <w:r>
              <w:rPr>
                <w:sz w:val="18"/>
              </w:rPr>
              <w:t>17</w:t>
            </w:r>
          </w:p>
        </w:tc>
        <w:tc>
          <w:tcPr>
            <w:tcW w:type="dxa" w:w="3118"/>
          </w:tcPr>
          <w:p>
            <w:r/>
            <w:r>
              <w:rPr>
                <w:sz w:val="18"/>
              </w:rPr>
              <w:t>BESS+WM+EV charger x17</w:t>
            </w:r>
          </w:p>
        </w:tc>
        <w:tc>
          <w:tcPr>
            <w:tcW w:type="dxa" w:w="1020"/>
          </w:tcPr>
          <w:p>
            <w:r/>
            <w:r>
              <w:rPr>
                <w:sz w:val="18"/>
              </w:rPr>
              <w:t>19</w:t>
            </w:r>
          </w:p>
        </w:tc>
      </w:tr>
      <w:tr>
        <w:tc>
          <w:tcPr>
            <w:tcW w:type="dxa" w:w="737"/>
          </w:tcPr>
          <w:p>
            <w:r/>
            <w:r>
              <w:rPr>
                <w:sz w:val="18"/>
              </w:rPr>
              <w:t>B09</w:t>
            </w:r>
          </w:p>
        </w:tc>
        <w:tc>
          <w:tcPr>
            <w:tcW w:type="dxa" w:w="2551"/>
          </w:tcPr>
          <w:p>
            <w:r/>
            <w:r>
              <w:rPr>
                <w:sz w:val="18"/>
              </w:rPr>
              <w:t>GOBIERNO REGIONAL DE LORETO - COER</w:t>
            </w:r>
          </w:p>
        </w:tc>
        <w:tc>
          <w:tcPr>
            <w:tcW w:type="dxa" w:w="680"/>
          </w:tcPr>
          <w:p>
            <w:r/>
            <w:r>
              <w:rPr>
                <w:sz w:val="18"/>
              </w:rPr>
              <w:t>10</w:t>
            </w:r>
          </w:p>
        </w:tc>
        <w:tc>
          <w:tcPr>
            <w:tcW w:type="dxa" w:w="3118"/>
          </w:tcPr>
          <w:p>
            <w:r/>
            <w:r>
              <w:rPr>
                <w:sz w:val="18"/>
              </w:rPr>
              <w:t>BESS+WM+EV charger x10</w:t>
            </w:r>
          </w:p>
        </w:tc>
        <w:tc>
          <w:tcPr>
            <w:tcW w:type="dxa" w:w="1020"/>
          </w:tcPr>
          <w:p>
            <w:r/>
            <w:r>
              <w:rPr>
                <w:sz w:val="18"/>
              </w:rPr>
              <w:t>12</w:t>
            </w:r>
          </w:p>
        </w:tc>
      </w:tr>
      <w:tr>
        <w:tc>
          <w:tcPr>
            <w:tcW w:type="dxa" w:w="737"/>
          </w:tcPr>
          <w:p>
            <w:r/>
            <w:r>
              <w:rPr>
                <w:sz w:val="18"/>
              </w:rPr>
              <w:t>B10</w:t>
            </w:r>
          </w:p>
        </w:tc>
        <w:tc>
          <w:tcPr>
            <w:tcW w:type="dxa" w:w="2551"/>
          </w:tcPr>
          <w:p>
            <w:r/>
            <w:r>
              <w:rPr>
                <w:sz w:val="18"/>
              </w:rPr>
              <w:t>GOBIERNO REGIONAL DE LORETO</w:t>
            </w:r>
          </w:p>
        </w:tc>
        <w:tc>
          <w:tcPr>
            <w:tcW w:type="dxa" w:w="680"/>
          </w:tcPr>
          <w:p>
            <w:r/>
            <w:r>
              <w:rPr>
                <w:sz w:val="18"/>
              </w:rPr>
              <w:t>6</w:t>
            </w:r>
          </w:p>
        </w:tc>
        <w:tc>
          <w:tcPr>
            <w:tcW w:type="dxa" w:w="3118"/>
          </w:tcPr>
          <w:p>
            <w:r/>
            <w:r>
              <w:rPr>
                <w:sz w:val="18"/>
              </w:rPr>
              <w:t>BESS+WM+EV charger x6</w:t>
            </w:r>
          </w:p>
        </w:tc>
        <w:tc>
          <w:tcPr>
            <w:tcW w:type="dxa" w:w="1020"/>
          </w:tcPr>
          <w:p>
            <w:r/>
            <w:r>
              <w:rPr>
                <w:sz w:val="18"/>
              </w:rPr>
              <w:t>8</w:t>
            </w:r>
          </w:p>
        </w:tc>
      </w:tr>
      <w:tr>
        <w:tc>
          <w:tcPr>
            <w:tcW w:type="dxa" w:w="737"/>
          </w:tcPr>
          <w:p>
            <w:r/>
            <w:r>
              <w:rPr>
                <w:sz w:val="18"/>
              </w:rPr>
              <w:t>B11</w:t>
            </w:r>
          </w:p>
        </w:tc>
        <w:tc>
          <w:tcPr>
            <w:tcW w:type="dxa" w:w="2551"/>
          </w:tcPr>
          <w:p>
            <w:r/>
            <w:r>
              <w:rPr>
                <w:sz w:val="18"/>
              </w:rPr>
              <w:t>HOSPITAL REGIONAL DE LORETO</w:t>
            </w:r>
          </w:p>
        </w:tc>
        <w:tc>
          <w:tcPr>
            <w:tcW w:type="dxa" w:w="680"/>
          </w:tcPr>
          <w:p>
            <w:r/>
            <w:r>
              <w:rPr>
                <w:sz w:val="18"/>
              </w:rPr>
              <w:t>3</w:t>
            </w:r>
          </w:p>
        </w:tc>
        <w:tc>
          <w:tcPr>
            <w:tcW w:type="dxa" w:w="3118"/>
          </w:tcPr>
          <w:p>
            <w:r/>
            <w:r>
              <w:rPr>
                <w:sz w:val="18"/>
              </w:rPr>
              <w:t>BESS+WM+EV charger x3</w:t>
            </w:r>
          </w:p>
        </w:tc>
        <w:tc>
          <w:tcPr>
            <w:tcW w:type="dxa" w:w="1020"/>
          </w:tcPr>
          <w:p>
            <w:r/>
            <w:r>
              <w:rPr>
                <w:sz w:val="18"/>
              </w:rPr>
              <w:t>5</w:t>
            </w:r>
          </w:p>
        </w:tc>
      </w:tr>
      <w:tr>
        <w:tc>
          <w:tcPr>
            <w:tcW w:type="dxa" w:w="737"/>
          </w:tcPr>
          <w:p>
            <w:r/>
            <w:r>
              <w:rPr>
                <w:sz w:val="18"/>
              </w:rPr>
              <w:t>B12</w:t>
            </w:r>
          </w:p>
        </w:tc>
        <w:tc>
          <w:tcPr>
            <w:tcW w:type="dxa" w:w="2551"/>
          </w:tcPr>
          <w:p>
            <w:r/>
            <w:r>
              <w:rPr>
                <w:sz w:val="18"/>
              </w:rPr>
              <w:t>SEGURO SOCIAL DE SALUD - ESSALUD</w:t>
            </w:r>
          </w:p>
        </w:tc>
        <w:tc>
          <w:tcPr>
            <w:tcW w:type="dxa" w:w="680"/>
          </w:tcPr>
          <w:p>
            <w:r/>
            <w:r>
              <w:rPr>
                <w:sz w:val="18"/>
              </w:rPr>
              <w:t>3</w:t>
            </w:r>
          </w:p>
        </w:tc>
        <w:tc>
          <w:tcPr>
            <w:tcW w:type="dxa" w:w="3118"/>
          </w:tcPr>
          <w:p>
            <w:r/>
            <w:r>
              <w:rPr>
                <w:sz w:val="18"/>
              </w:rPr>
              <w:t>BESS+WM+EV charger x3</w:t>
            </w:r>
          </w:p>
        </w:tc>
        <w:tc>
          <w:tcPr>
            <w:tcW w:type="dxa" w:w="1020"/>
          </w:tcPr>
          <w:p>
            <w:r/>
            <w:r>
              <w:rPr>
                <w:sz w:val="18"/>
              </w:rPr>
              <w:t>5</w:t>
            </w:r>
          </w:p>
        </w:tc>
      </w:tr>
      <w:tr>
        <w:tc>
          <w:tcPr>
            <w:tcW w:type="dxa" w:w="737"/>
          </w:tcPr>
          <w:p>
            <w:r/>
            <w:r>
              <w:rPr>
                <w:sz w:val="18"/>
              </w:rPr>
              <w:t>B13</w:t>
            </w:r>
          </w:p>
        </w:tc>
        <w:tc>
          <w:tcPr>
            <w:tcW w:type="dxa" w:w="2551"/>
          </w:tcPr>
          <w:p>
            <w:r/>
            <w:r>
              <w:rPr>
                <w:sz w:val="18"/>
              </w:rPr>
              <w:t xml:space="preserve">UNAP-FACULTAD DE CIENCIAS AD..CONTABLES Y </w:t>
            </w:r>
          </w:p>
        </w:tc>
        <w:tc>
          <w:tcPr>
            <w:tcW w:type="dxa" w:w="680"/>
          </w:tcPr>
          <w:p>
            <w:r/>
            <w:r>
              <w:rPr>
                <w:sz w:val="18"/>
              </w:rPr>
              <w:t>11</w:t>
            </w:r>
          </w:p>
        </w:tc>
        <w:tc>
          <w:tcPr>
            <w:tcW w:type="dxa" w:w="3118"/>
          </w:tcPr>
          <w:p>
            <w:r/>
            <w:r>
              <w:rPr>
                <w:sz w:val="18"/>
              </w:rPr>
              <w:t>BESS+WM+EV charger x11</w:t>
            </w:r>
          </w:p>
        </w:tc>
        <w:tc>
          <w:tcPr>
            <w:tcW w:type="dxa" w:w="1020"/>
          </w:tcPr>
          <w:p>
            <w:r/>
            <w:r>
              <w:rPr>
                <w:sz w:val="18"/>
              </w:rPr>
              <w:t>13</w:t>
            </w:r>
          </w:p>
        </w:tc>
      </w:tr>
      <w:tr>
        <w:tc>
          <w:tcPr>
            <w:tcW w:type="dxa" w:w="737"/>
          </w:tcPr>
          <w:p>
            <w:r/>
            <w:r>
              <w:rPr>
                <w:sz w:val="18"/>
              </w:rPr>
              <w:t>B14</w:t>
            </w:r>
          </w:p>
        </w:tc>
        <w:tc>
          <w:tcPr>
            <w:tcW w:type="dxa" w:w="2551"/>
          </w:tcPr>
          <w:p>
            <w:r/>
            <w:r>
              <w:rPr>
                <w:sz w:val="18"/>
              </w:rPr>
              <w:t>AUTORIDAD PORTUARIA NACIONAL</w:t>
            </w:r>
          </w:p>
        </w:tc>
        <w:tc>
          <w:tcPr>
            <w:tcW w:type="dxa" w:w="680"/>
          </w:tcPr>
          <w:p>
            <w:r/>
            <w:r>
              <w:rPr>
                <w:sz w:val="18"/>
              </w:rPr>
              <w:t>4</w:t>
            </w:r>
          </w:p>
        </w:tc>
        <w:tc>
          <w:tcPr>
            <w:tcW w:type="dxa" w:w="3118"/>
          </w:tcPr>
          <w:p>
            <w:r/>
            <w:r>
              <w:rPr>
                <w:sz w:val="18"/>
              </w:rPr>
              <w:t>BESS+WM+EV charger x4</w:t>
            </w:r>
          </w:p>
        </w:tc>
        <w:tc>
          <w:tcPr>
            <w:tcW w:type="dxa" w:w="1020"/>
          </w:tcPr>
          <w:p>
            <w:r/>
            <w:r>
              <w:rPr>
                <w:sz w:val="18"/>
              </w:rPr>
              <w:t>6</w:t>
            </w:r>
          </w:p>
        </w:tc>
      </w:tr>
      <w:tr>
        <w:tc>
          <w:tcPr>
            <w:tcW w:type="dxa" w:w="737"/>
          </w:tcPr>
          <w:p>
            <w:r/>
            <w:r>
              <w:rPr>
                <w:sz w:val="18"/>
              </w:rPr>
              <w:t>B15</w:t>
            </w:r>
          </w:p>
        </w:tc>
        <w:tc>
          <w:tcPr>
            <w:tcW w:type="dxa" w:w="2551"/>
          </w:tcPr>
          <w:p>
            <w:r/>
            <w:r>
              <w:rPr>
                <w:sz w:val="18"/>
              </w:rPr>
              <w:t>DREL- COLEGIO NACIONAL DE IQUITOS</w:t>
            </w:r>
          </w:p>
        </w:tc>
        <w:tc>
          <w:tcPr>
            <w:tcW w:type="dxa" w:w="680"/>
          </w:tcPr>
          <w:p>
            <w:r/>
            <w:r>
              <w:rPr>
                <w:sz w:val="18"/>
              </w:rPr>
              <w:t>8</w:t>
            </w:r>
          </w:p>
        </w:tc>
        <w:tc>
          <w:tcPr>
            <w:tcW w:type="dxa" w:w="3118"/>
          </w:tcPr>
          <w:p>
            <w:r/>
            <w:r>
              <w:rPr>
                <w:sz w:val="18"/>
              </w:rPr>
              <w:t>BESS+WM+EV charger x8</w:t>
            </w:r>
          </w:p>
        </w:tc>
        <w:tc>
          <w:tcPr>
            <w:tcW w:type="dxa" w:w="1020"/>
          </w:tcPr>
          <w:p>
            <w:r/>
            <w:r>
              <w:rPr>
                <w:sz w:val="18"/>
              </w:rPr>
              <w:t>10</w:t>
            </w:r>
          </w:p>
        </w:tc>
      </w:tr>
      <w:tr>
        <w:tc>
          <w:tcPr>
            <w:tcW w:type="dxa" w:w="737"/>
          </w:tcPr>
          <w:p>
            <w:r/>
            <w:r>
              <w:rPr>
                <w:sz w:val="18"/>
              </w:rPr>
              <w:t>B16</w:t>
            </w:r>
          </w:p>
        </w:tc>
        <w:tc>
          <w:tcPr>
            <w:tcW w:type="dxa" w:w="2551"/>
          </w:tcPr>
          <w:p>
            <w:r/>
            <w:r>
              <w:rPr>
                <w:sz w:val="18"/>
              </w:rPr>
              <w:t>SIMA - IQUITOS S.R.LTDA</w:t>
            </w:r>
          </w:p>
        </w:tc>
        <w:tc>
          <w:tcPr>
            <w:tcW w:type="dxa" w:w="680"/>
          </w:tcPr>
          <w:p>
            <w:r/>
            <w:r>
              <w:rPr>
                <w:sz w:val="18"/>
              </w:rPr>
              <w:t>11</w:t>
            </w:r>
          </w:p>
        </w:tc>
        <w:tc>
          <w:tcPr>
            <w:tcW w:type="dxa" w:w="3118"/>
          </w:tcPr>
          <w:p>
            <w:r/>
            <w:r>
              <w:rPr>
                <w:sz w:val="18"/>
              </w:rPr>
              <w:t>BESS+WM+EV charger x11</w:t>
            </w:r>
          </w:p>
        </w:tc>
        <w:tc>
          <w:tcPr>
            <w:tcW w:type="dxa" w:w="1020"/>
          </w:tcPr>
          <w:p>
            <w:r/>
            <w:r>
              <w:rPr>
                <w:sz w:val="18"/>
              </w:rPr>
              <w:t>13</w:t>
            </w:r>
          </w:p>
        </w:tc>
      </w:tr>
      <w:tr>
        <w:tc>
          <w:tcPr>
            <w:tcW w:type="dxa" w:w="737"/>
          </w:tcPr>
          <w:p>
            <w:r/>
            <w:r>
              <w:rPr>
                <w:sz w:val="18"/>
              </w:rPr>
              <w:t>B17</w:t>
            </w:r>
          </w:p>
        </w:tc>
        <w:tc>
          <w:tcPr>
            <w:tcW w:type="dxa" w:w="2551"/>
          </w:tcPr>
          <w:p>
            <w:r/>
            <w:r>
              <w:rPr>
                <w:sz w:val="18"/>
              </w:rPr>
              <w:t>ASOCIACION CIVIL SELVA AMAZONICA</w:t>
            </w:r>
          </w:p>
        </w:tc>
        <w:tc>
          <w:tcPr>
            <w:tcW w:type="dxa" w:w="680"/>
          </w:tcPr>
          <w:p>
            <w:r/>
            <w:r>
              <w:rPr>
                <w:sz w:val="18"/>
              </w:rPr>
              <w:t>11</w:t>
            </w:r>
          </w:p>
        </w:tc>
        <w:tc>
          <w:tcPr>
            <w:tcW w:type="dxa" w:w="3118"/>
          </w:tcPr>
          <w:p>
            <w:r/>
            <w:r>
              <w:rPr>
                <w:sz w:val="18"/>
              </w:rPr>
              <w:t>BESS+WM+EV charger x11</w:t>
            </w:r>
          </w:p>
        </w:tc>
        <w:tc>
          <w:tcPr>
            <w:tcW w:type="dxa" w:w="1020"/>
          </w:tcPr>
          <w:p>
            <w:r/>
            <w:r>
              <w:rPr>
                <w:sz w:val="18"/>
              </w:rPr>
              <w:t>13</w:t>
            </w:r>
          </w:p>
        </w:tc>
      </w:tr>
    </w:tbl>
    <w:p/>
    <w:p>
      <w:r>
        <w:drawing>
          <wp:inline xmlns:a="http://schemas.openxmlformats.org/drawingml/2006/main" xmlns:pic="http://schemas.openxmlformats.org/drawingml/2006/picture">
            <wp:extent cx="6300000" cy="2250000"/>
            <wp:docPr id="26" name="Picture 26"/>
            <wp:cNvGraphicFramePr>
              <a:graphicFrameLocks noChangeAspect="1"/>
            </wp:cNvGraphicFramePr>
            <a:graphic>
              <a:graphicData uri="http://schemas.openxmlformats.org/drawingml/2006/picture">
                <pic:pic>
                  <pic:nvPicPr>
                    <pic:cNvPr id="0" name="drive_building_ev_inventory.png"/>
                    <pic:cNvPicPr/>
                  </pic:nvPicPr>
                  <pic:blipFill>
                    <a:blip r:embed="rId30"/>
                    <a:stretch>
                      <a:fillRect/>
                    </a:stretch>
                  </pic:blipFill>
                  <pic:spPr>
                    <a:xfrm>
                      <a:off x="0" y="0"/>
                      <a:ext cx="6300000" cy="2250000"/>
                    </a:xfrm>
                    <a:prstGeom prst="rect"/>
                  </pic:spPr>
                </pic:pic>
              </a:graphicData>
            </a:graphic>
          </wp:inline>
        </w:drawing>
      </w:r>
    </w:p>
    <w:p>
      <w:pPr>
        <w:jc w:val="center"/>
      </w:pPr>
      <w:r>
        <w:rPr>
          <w:i/>
          <w:color w:val="595959"/>
          <w:sz w:val="18"/>
        </w:rPr>
        <w:t>Figura 5.26. Inventario EV por edificio (control de recursos C5).</w:t>
      </w:r>
    </w:p>
    <w:p/>
    <w:p>
      <w:r>
        <w:drawing>
          <wp:inline xmlns:a="http://schemas.openxmlformats.org/drawingml/2006/main" xmlns:pic="http://schemas.openxmlformats.org/drawingml/2006/picture">
            <wp:extent cx="6300000" cy="2250000"/>
            <wp:docPr id="27" name="Picture 27"/>
            <wp:cNvGraphicFramePr>
              <a:graphicFrameLocks noChangeAspect="1"/>
            </wp:cNvGraphicFramePr>
            <a:graphic>
              <a:graphicData uri="http://schemas.openxmlformats.org/drawingml/2006/picture">
                <pic:pic>
                  <pic:nvPicPr>
                    <pic:cNvPr id="0" name="drive_building_ev_success_matd3_e2.png"/>
                    <pic:cNvPicPr/>
                  </pic:nvPicPr>
                  <pic:blipFill>
                    <a:blip r:embed="rId31"/>
                    <a:stretch>
                      <a:fillRect/>
                    </a:stretch>
                  </pic:blipFill>
                  <pic:spPr>
                    <a:xfrm>
                      <a:off x="0" y="0"/>
                      <a:ext cx="6300000" cy="2250000"/>
                    </a:xfrm>
                    <a:prstGeom prst="rect"/>
                  </pic:spPr>
                </pic:pic>
              </a:graphicData>
            </a:graphic>
          </wp:inline>
        </w:drawing>
      </w:r>
    </w:p>
    <w:p>
      <w:pPr>
        <w:jc w:val="center"/>
      </w:pPr>
      <w:r>
        <w:rPr>
          <w:i/>
          <w:color w:val="595959"/>
          <w:sz w:val="18"/>
        </w:rPr>
        <w:t>Figura 5.27. Exito de salida EV — MATD3/E2 (control de recursos C5).</w:t>
      </w:r>
    </w:p>
    <w:p/>
    <w:p>
      <w:pPr>
        <w:jc w:val="both"/>
      </w:pPr>
      <w:r>
        <w:rPr>
          <w:b w:val="0"/>
          <w:i w:val="0"/>
        </w:rPr>
        <w:t>Desagregacion completa por edificio de los tres ejes (OE.1 flexibilidad, OE.2 CO2, OE.3 costo) en las 17 tarjetas siguientes. Cumple C4+C5 de forma conjunta.</w:t>
      </w:r>
    </w:p>
    <w:p>
      <w:r>
        <w:drawing>
          <wp:inline xmlns:a="http://schemas.openxmlformats.org/drawingml/2006/main" xmlns:pic="http://schemas.openxmlformats.org/drawingml/2006/picture">
            <wp:extent cx="6300000" cy="2100000"/>
            <wp:docPr id="28" name="Picture 28"/>
            <wp:cNvGraphicFramePr>
              <a:graphicFrameLocks noChangeAspect="1"/>
            </wp:cNvGraphicFramePr>
            <a:graphic>
              <a:graphicData uri="http://schemas.openxmlformats.org/drawingml/2006/picture">
                <pic:pic>
                  <pic:nvPicPr>
                    <pic:cNvPr id="0" name="drive_building_B01_objectives.png"/>
                    <pic:cNvPicPr/>
                  </pic:nvPicPr>
                  <pic:blipFill>
                    <a:blip r:embed="rId32"/>
                    <a:stretch>
                      <a:fillRect/>
                    </a:stretch>
                  </pic:blipFill>
                  <pic:spPr>
                    <a:xfrm>
                      <a:off x="0" y="0"/>
                      <a:ext cx="6300000" cy="2100000"/>
                    </a:xfrm>
                    <a:prstGeom prst="rect"/>
                  </pic:spPr>
                </pic:pic>
              </a:graphicData>
            </a:graphic>
          </wp:inline>
        </w:drawing>
      </w:r>
    </w:p>
    <w:p>
      <w:pPr>
        <w:jc w:val="center"/>
      </w:pPr>
      <w:r>
        <w:rPr>
          <w:i/>
          <w:color w:val="595959"/>
          <w:sz w:val="18"/>
        </w:rPr>
        <w:t>Figura 5.28. Edificio B01 — objetivos OE.1/OE.2/OE.3 (distrito→edificio; C4+C5).</w:t>
      </w:r>
    </w:p>
    <w:p/>
    <w:p>
      <w:r>
        <w:drawing>
          <wp:inline xmlns:a="http://schemas.openxmlformats.org/drawingml/2006/main" xmlns:pic="http://schemas.openxmlformats.org/drawingml/2006/picture">
            <wp:extent cx="6300000" cy="2100000"/>
            <wp:docPr id="29" name="Picture 29"/>
            <wp:cNvGraphicFramePr>
              <a:graphicFrameLocks noChangeAspect="1"/>
            </wp:cNvGraphicFramePr>
            <a:graphic>
              <a:graphicData uri="http://schemas.openxmlformats.org/drawingml/2006/picture">
                <pic:pic>
                  <pic:nvPicPr>
                    <pic:cNvPr id="0" name="drive_building_B02_objectives.png"/>
                    <pic:cNvPicPr/>
                  </pic:nvPicPr>
                  <pic:blipFill>
                    <a:blip r:embed="rId33"/>
                    <a:stretch>
                      <a:fillRect/>
                    </a:stretch>
                  </pic:blipFill>
                  <pic:spPr>
                    <a:xfrm>
                      <a:off x="0" y="0"/>
                      <a:ext cx="6300000" cy="2100000"/>
                    </a:xfrm>
                    <a:prstGeom prst="rect"/>
                  </pic:spPr>
                </pic:pic>
              </a:graphicData>
            </a:graphic>
          </wp:inline>
        </w:drawing>
      </w:r>
    </w:p>
    <w:p>
      <w:pPr>
        <w:jc w:val="center"/>
      </w:pPr>
      <w:r>
        <w:rPr>
          <w:i/>
          <w:color w:val="595959"/>
          <w:sz w:val="18"/>
        </w:rPr>
        <w:t>Figura 5.29. Edificio B02 — objetivos OE.1/OE.2/OE.3 (distrito→edificio; C4+C5).</w:t>
      </w:r>
    </w:p>
    <w:p/>
    <w:p>
      <w:r>
        <w:drawing>
          <wp:inline xmlns:a="http://schemas.openxmlformats.org/drawingml/2006/main" xmlns:pic="http://schemas.openxmlformats.org/drawingml/2006/picture">
            <wp:extent cx="6300000" cy="2100000"/>
            <wp:docPr id="30" name="Picture 30"/>
            <wp:cNvGraphicFramePr>
              <a:graphicFrameLocks noChangeAspect="1"/>
            </wp:cNvGraphicFramePr>
            <a:graphic>
              <a:graphicData uri="http://schemas.openxmlformats.org/drawingml/2006/picture">
                <pic:pic>
                  <pic:nvPicPr>
                    <pic:cNvPr id="0" name="drive_building_B03_objectives.png"/>
                    <pic:cNvPicPr/>
                  </pic:nvPicPr>
                  <pic:blipFill>
                    <a:blip r:embed="rId34"/>
                    <a:stretch>
                      <a:fillRect/>
                    </a:stretch>
                  </pic:blipFill>
                  <pic:spPr>
                    <a:xfrm>
                      <a:off x="0" y="0"/>
                      <a:ext cx="6300000" cy="2100000"/>
                    </a:xfrm>
                    <a:prstGeom prst="rect"/>
                  </pic:spPr>
                </pic:pic>
              </a:graphicData>
            </a:graphic>
          </wp:inline>
        </w:drawing>
      </w:r>
    </w:p>
    <w:p>
      <w:pPr>
        <w:jc w:val="center"/>
      </w:pPr>
      <w:r>
        <w:rPr>
          <w:i/>
          <w:color w:val="595959"/>
          <w:sz w:val="18"/>
        </w:rPr>
        <w:t>Figura 5.30. Edificio B03 — objetivos OE.1/OE.2/OE.3 (distrito→edificio; C4+C5).</w:t>
      </w:r>
    </w:p>
    <w:p/>
    <w:p>
      <w:r>
        <w:drawing>
          <wp:inline xmlns:a="http://schemas.openxmlformats.org/drawingml/2006/main" xmlns:pic="http://schemas.openxmlformats.org/drawingml/2006/picture">
            <wp:extent cx="6300000" cy="2100000"/>
            <wp:docPr id="31" name="Picture 31"/>
            <wp:cNvGraphicFramePr>
              <a:graphicFrameLocks noChangeAspect="1"/>
            </wp:cNvGraphicFramePr>
            <a:graphic>
              <a:graphicData uri="http://schemas.openxmlformats.org/drawingml/2006/picture">
                <pic:pic>
                  <pic:nvPicPr>
                    <pic:cNvPr id="0" name="drive_building_B04_objectives.png"/>
                    <pic:cNvPicPr/>
                  </pic:nvPicPr>
                  <pic:blipFill>
                    <a:blip r:embed="rId35"/>
                    <a:stretch>
                      <a:fillRect/>
                    </a:stretch>
                  </pic:blipFill>
                  <pic:spPr>
                    <a:xfrm>
                      <a:off x="0" y="0"/>
                      <a:ext cx="6300000" cy="2100000"/>
                    </a:xfrm>
                    <a:prstGeom prst="rect"/>
                  </pic:spPr>
                </pic:pic>
              </a:graphicData>
            </a:graphic>
          </wp:inline>
        </w:drawing>
      </w:r>
    </w:p>
    <w:p>
      <w:pPr>
        <w:jc w:val="center"/>
      </w:pPr>
      <w:r>
        <w:rPr>
          <w:i/>
          <w:color w:val="595959"/>
          <w:sz w:val="18"/>
        </w:rPr>
        <w:t>Figura 5.31. Edificio B04 — objetivos OE.1/OE.2/OE.3 (distrito→edificio; C4+C5).</w:t>
      </w:r>
    </w:p>
    <w:p/>
    <w:p>
      <w:r>
        <w:drawing>
          <wp:inline xmlns:a="http://schemas.openxmlformats.org/drawingml/2006/main" xmlns:pic="http://schemas.openxmlformats.org/drawingml/2006/picture">
            <wp:extent cx="6300000" cy="2100000"/>
            <wp:docPr id="32" name="Picture 32"/>
            <wp:cNvGraphicFramePr>
              <a:graphicFrameLocks noChangeAspect="1"/>
            </wp:cNvGraphicFramePr>
            <a:graphic>
              <a:graphicData uri="http://schemas.openxmlformats.org/drawingml/2006/picture">
                <pic:pic>
                  <pic:nvPicPr>
                    <pic:cNvPr id="0" name="drive_building_B05_objectives.png"/>
                    <pic:cNvPicPr/>
                  </pic:nvPicPr>
                  <pic:blipFill>
                    <a:blip r:embed="rId36"/>
                    <a:stretch>
                      <a:fillRect/>
                    </a:stretch>
                  </pic:blipFill>
                  <pic:spPr>
                    <a:xfrm>
                      <a:off x="0" y="0"/>
                      <a:ext cx="6300000" cy="2100000"/>
                    </a:xfrm>
                    <a:prstGeom prst="rect"/>
                  </pic:spPr>
                </pic:pic>
              </a:graphicData>
            </a:graphic>
          </wp:inline>
        </w:drawing>
      </w:r>
    </w:p>
    <w:p>
      <w:pPr>
        <w:jc w:val="center"/>
      </w:pPr>
      <w:r>
        <w:rPr>
          <w:i/>
          <w:color w:val="595959"/>
          <w:sz w:val="18"/>
        </w:rPr>
        <w:t>Figura 5.32. Edificio B05 — objetivos OE.1/OE.2/OE.3 (distrito→edificio; C4+C5).</w:t>
      </w:r>
    </w:p>
    <w:p/>
    <w:p>
      <w:r>
        <w:drawing>
          <wp:inline xmlns:a="http://schemas.openxmlformats.org/drawingml/2006/main" xmlns:pic="http://schemas.openxmlformats.org/drawingml/2006/picture">
            <wp:extent cx="6300000" cy="2100000"/>
            <wp:docPr id="33" name="Picture 33"/>
            <wp:cNvGraphicFramePr>
              <a:graphicFrameLocks noChangeAspect="1"/>
            </wp:cNvGraphicFramePr>
            <a:graphic>
              <a:graphicData uri="http://schemas.openxmlformats.org/drawingml/2006/picture">
                <pic:pic>
                  <pic:nvPicPr>
                    <pic:cNvPr id="0" name="drive_building_B06_objectives.png"/>
                    <pic:cNvPicPr/>
                  </pic:nvPicPr>
                  <pic:blipFill>
                    <a:blip r:embed="rId37"/>
                    <a:stretch>
                      <a:fillRect/>
                    </a:stretch>
                  </pic:blipFill>
                  <pic:spPr>
                    <a:xfrm>
                      <a:off x="0" y="0"/>
                      <a:ext cx="6300000" cy="2100000"/>
                    </a:xfrm>
                    <a:prstGeom prst="rect"/>
                  </pic:spPr>
                </pic:pic>
              </a:graphicData>
            </a:graphic>
          </wp:inline>
        </w:drawing>
      </w:r>
    </w:p>
    <w:p>
      <w:pPr>
        <w:jc w:val="center"/>
      </w:pPr>
      <w:r>
        <w:rPr>
          <w:i/>
          <w:color w:val="595959"/>
          <w:sz w:val="18"/>
        </w:rPr>
        <w:t>Figura 5.33. Edificio B06 — objetivos OE.1/OE.2/OE.3 (distrito→edificio; C4+C5).</w:t>
      </w:r>
    </w:p>
    <w:p/>
    <w:p>
      <w:r>
        <w:drawing>
          <wp:inline xmlns:a="http://schemas.openxmlformats.org/drawingml/2006/main" xmlns:pic="http://schemas.openxmlformats.org/drawingml/2006/picture">
            <wp:extent cx="6300000" cy="2100000"/>
            <wp:docPr id="34" name="Picture 34"/>
            <wp:cNvGraphicFramePr>
              <a:graphicFrameLocks noChangeAspect="1"/>
            </wp:cNvGraphicFramePr>
            <a:graphic>
              <a:graphicData uri="http://schemas.openxmlformats.org/drawingml/2006/picture">
                <pic:pic>
                  <pic:nvPicPr>
                    <pic:cNvPr id="0" name="drive_building_B07_objectives.png"/>
                    <pic:cNvPicPr/>
                  </pic:nvPicPr>
                  <pic:blipFill>
                    <a:blip r:embed="rId38"/>
                    <a:stretch>
                      <a:fillRect/>
                    </a:stretch>
                  </pic:blipFill>
                  <pic:spPr>
                    <a:xfrm>
                      <a:off x="0" y="0"/>
                      <a:ext cx="6300000" cy="2100000"/>
                    </a:xfrm>
                    <a:prstGeom prst="rect"/>
                  </pic:spPr>
                </pic:pic>
              </a:graphicData>
            </a:graphic>
          </wp:inline>
        </w:drawing>
      </w:r>
    </w:p>
    <w:p>
      <w:pPr>
        <w:jc w:val="center"/>
      </w:pPr>
      <w:r>
        <w:rPr>
          <w:i/>
          <w:color w:val="595959"/>
          <w:sz w:val="18"/>
        </w:rPr>
        <w:t>Figura 5.34. Edificio B07 — objetivos OE.1/OE.2/OE.3 (distrito→edificio; C4+C5).</w:t>
      </w:r>
    </w:p>
    <w:p/>
    <w:p>
      <w:r>
        <w:drawing>
          <wp:inline xmlns:a="http://schemas.openxmlformats.org/drawingml/2006/main" xmlns:pic="http://schemas.openxmlformats.org/drawingml/2006/picture">
            <wp:extent cx="6300000" cy="2100000"/>
            <wp:docPr id="35" name="Picture 35"/>
            <wp:cNvGraphicFramePr>
              <a:graphicFrameLocks noChangeAspect="1"/>
            </wp:cNvGraphicFramePr>
            <a:graphic>
              <a:graphicData uri="http://schemas.openxmlformats.org/drawingml/2006/picture">
                <pic:pic>
                  <pic:nvPicPr>
                    <pic:cNvPr id="0" name="drive_building_B08_objectives.png"/>
                    <pic:cNvPicPr/>
                  </pic:nvPicPr>
                  <pic:blipFill>
                    <a:blip r:embed="rId39"/>
                    <a:stretch>
                      <a:fillRect/>
                    </a:stretch>
                  </pic:blipFill>
                  <pic:spPr>
                    <a:xfrm>
                      <a:off x="0" y="0"/>
                      <a:ext cx="6300000" cy="2100000"/>
                    </a:xfrm>
                    <a:prstGeom prst="rect"/>
                  </pic:spPr>
                </pic:pic>
              </a:graphicData>
            </a:graphic>
          </wp:inline>
        </w:drawing>
      </w:r>
    </w:p>
    <w:p>
      <w:pPr>
        <w:jc w:val="center"/>
      </w:pPr>
      <w:r>
        <w:rPr>
          <w:i/>
          <w:color w:val="595959"/>
          <w:sz w:val="18"/>
        </w:rPr>
        <w:t>Figura 5.35. Edificio B08 — objetivos OE.1/OE.2/OE.3 (distrito→edificio; C4+C5).</w:t>
      </w:r>
    </w:p>
    <w:p/>
    <w:p>
      <w:r>
        <w:drawing>
          <wp:inline xmlns:a="http://schemas.openxmlformats.org/drawingml/2006/main" xmlns:pic="http://schemas.openxmlformats.org/drawingml/2006/picture">
            <wp:extent cx="6300000" cy="2100000"/>
            <wp:docPr id="36" name="Picture 36"/>
            <wp:cNvGraphicFramePr>
              <a:graphicFrameLocks noChangeAspect="1"/>
            </wp:cNvGraphicFramePr>
            <a:graphic>
              <a:graphicData uri="http://schemas.openxmlformats.org/drawingml/2006/picture">
                <pic:pic>
                  <pic:nvPicPr>
                    <pic:cNvPr id="0" name="drive_building_B09_objectives.png"/>
                    <pic:cNvPicPr/>
                  </pic:nvPicPr>
                  <pic:blipFill>
                    <a:blip r:embed="rId40"/>
                    <a:stretch>
                      <a:fillRect/>
                    </a:stretch>
                  </pic:blipFill>
                  <pic:spPr>
                    <a:xfrm>
                      <a:off x="0" y="0"/>
                      <a:ext cx="6300000" cy="2100000"/>
                    </a:xfrm>
                    <a:prstGeom prst="rect"/>
                  </pic:spPr>
                </pic:pic>
              </a:graphicData>
            </a:graphic>
          </wp:inline>
        </w:drawing>
      </w:r>
    </w:p>
    <w:p>
      <w:pPr>
        <w:jc w:val="center"/>
      </w:pPr>
      <w:r>
        <w:rPr>
          <w:i/>
          <w:color w:val="595959"/>
          <w:sz w:val="18"/>
        </w:rPr>
        <w:t>Figura 5.36. Edificio B09 — objetivos OE.1/OE.2/OE.3 (distrito→edificio; C4+C5).</w:t>
      </w:r>
    </w:p>
    <w:p/>
    <w:p>
      <w:r>
        <w:drawing>
          <wp:inline xmlns:a="http://schemas.openxmlformats.org/drawingml/2006/main" xmlns:pic="http://schemas.openxmlformats.org/drawingml/2006/picture">
            <wp:extent cx="6300000" cy="2100000"/>
            <wp:docPr id="37" name="Picture 37"/>
            <wp:cNvGraphicFramePr>
              <a:graphicFrameLocks noChangeAspect="1"/>
            </wp:cNvGraphicFramePr>
            <a:graphic>
              <a:graphicData uri="http://schemas.openxmlformats.org/drawingml/2006/picture">
                <pic:pic>
                  <pic:nvPicPr>
                    <pic:cNvPr id="0" name="drive_building_B10_objectives.png"/>
                    <pic:cNvPicPr/>
                  </pic:nvPicPr>
                  <pic:blipFill>
                    <a:blip r:embed="rId41"/>
                    <a:stretch>
                      <a:fillRect/>
                    </a:stretch>
                  </pic:blipFill>
                  <pic:spPr>
                    <a:xfrm>
                      <a:off x="0" y="0"/>
                      <a:ext cx="6300000" cy="2100000"/>
                    </a:xfrm>
                    <a:prstGeom prst="rect"/>
                  </pic:spPr>
                </pic:pic>
              </a:graphicData>
            </a:graphic>
          </wp:inline>
        </w:drawing>
      </w:r>
    </w:p>
    <w:p>
      <w:pPr>
        <w:jc w:val="center"/>
      </w:pPr>
      <w:r>
        <w:rPr>
          <w:i/>
          <w:color w:val="595959"/>
          <w:sz w:val="18"/>
        </w:rPr>
        <w:t>Figura 5.37. Edificio B10 — objetivos OE.1/OE.2/OE.3 (distrito→edificio; C4+C5).</w:t>
      </w:r>
    </w:p>
    <w:p/>
    <w:p>
      <w:r>
        <w:drawing>
          <wp:inline xmlns:a="http://schemas.openxmlformats.org/drawingml/2006/main" xmlns:pic="http://schemas.openxmlformats.org/drawingml/2006/picture">
            <wp:extent cx="6300000" cy="2100000"/>
            <wp:docPr id="38" name="Picture 38"/>
            <wp:cNvGraphicFramePr>
              <a:graphicFrameLocks noChangeAspect="1"/>
            </wp:cNvGraphicFramePr>
            <a:graphic>
              <a:graphicData uri="http://schemas.openxmlformats.org/drawingml/2006/picture">
                <pic:pic>
                  <pic:nvPicPr>
                    <pic:cNvPr id="0" name="drive_building_B11_objectives.png"/>
                    <pic:cNvPicPr/>
                  </pic:nvPicPr>
                  <pic:blipFill>
                    <a:blip r:embed="rId42"/>
                    <a:stretch>
                      <a:fillRect/>
                    </a:stretch>
                  </pic:blipFill>
                  <pic:spPr>
                    <a:xfrm>
                      <a:off x="0" y="0"/>
                      <a:ext cx="6300000" cy="2100000"/>
                    </a:xfrm>
                    <a:prstGeom prst="rect"/>
                  </pic:spPr>
                </pic:pic>
              </a:graphicData>
            </a:graphic>
          </wp:inline>
        </w:drawing>
      </w:r>
    </w:p>
    <w:p>
      <w:pPr>
        <w:jc w:val="center"/>
      </w:pPr>
      <w:r>
        <w:rPr>
          <w:i/>
          <w:color w:val="595959"/>
          <w:sz w:val="18"/>
        </w:rPr>
        <w:t>Figura 5.38. Edificio B11 — objetivos OE.1/OE.2/OE.3 (distrito→edificio; C4+C5).</w:t>
      </w:r>
    </w:p>
    <w:p/>
    <w:p>
      <w:r>
        <w:drawing>
          <wp:inline xmlns:a="http://schemas.openxmlformats.org/drawingml/2006/main" xmlns:pic="http://schemas.openxmlformats.org/drawingml/2006/picture">
            <wp:extent cx="6300000" cy="2100000"/>
            <wp:docPr id="39" name="Picture 39"/>
            <wp:cNvGraphicFramePr>
              <a:graphicFrameLocks noChangeAspect="1"/>
            </wp:cNvGraphicFramePr>
            <a:graphic>
              <a:graphicData uri="http://schemas.openxmlformats.org/drawingml/2006/picture">
                <pic:pic>
                  <pic:nvPicPr>
                    <pic:cNvPr id="0" name="drive_building_B12_objectives.png"/>
                    <pic:cNvPicPr/>
                  </pic:nvPicPr>
                  <pic:blipFill>
                    <a:blip r:embed="rId43"/>
                    <a:stretch>
                      <a:fillRect/>
                    </a:stretch>
                  </pic:blipFill>
                  <pic:spPr>
                    <a:xfrm>
                      <a:off x="0" y="0"/>
                      <a:ext cx="6300000" cy="2100000"/>
                    </a:xfrm>
                    <a:prstGeom prst="rect"/>
                  </pic:spPr>
                </pic:pic>
              </a:graphicData>
            </a:graphic>
          </wp:inline>
        </w:drawing>
      </w:r>
    </w:p>
    <w:p>
      <w:pPr>
        <w:jc w:val="center"/>
      </w:pPr>
      <w:r>
        <w:rPr>
          <w:i/>
          <w:color w:val="595959"/>
          <w:sz w:val="18"/>
        </w:rPr>
        <w:t>Figura 5.39. Edificio B12 — objetivos OE.1/OE.2/OE.3 (distrito→edificio; C4+C5).</w:t>
      </w:r>
    </w:p>
    <w:p/>
    <w:p>
      <w:r>
        <w:drawing>
          <wp:inline xmlns:a="http://schemas.openxmlformats.org/drawingml/2006/main" xmlns:pic="http://schemas.openxmlformats.org/drawingml/2006/picture">
            <wp:extent cx="6300000" cy="2100000"/>
            <wp:docPr id="40" name="Picture 40"/>
            <wp:cNvGraphicFramePr>
              <a:graphicFrameLocks noChangeAspect="1"/>
            </wp:cNvGraphicFramePr>
            <a:graphic>
              <a:graphicData uri="http://schemas.openxmlformats.org/drawingml/2006/picture">
                <pic:pic>
                  <pic:nvPicPr>
                    <pic:cNvPr id="0" name="drive_building_B13_objectives.png"/>
                    <pic:cNvPicPr/>
                  </pic:nvPicPr>
                  <pic:blipFill>
                    <a:blip r:embed="rId44"/>
                    <a:stretch>
                      <a:fillRect/>
                    </a:stretch>
                  </pic:blipFill>
                  <pic:spPr>
                    <a:xfrm>
                      <a:off x="0" y="0"/>
                      <a:ext cx="6300000" cy="2100000"/>
                    </a:xfrm>
                    <a:prstGeom prst="rect"/>
                  </pic:spPr>
                </pic:pic>
              </a:graphicData>
            </a:graphic>
          </wp:inline>
        </w:drawing>
      </w:r>
    </w:p>
    <w:p>
      <w:pPr>
        <w:jc w:val="center"/>
      </w:pPr>
      <w:r>
        <w:rPr>
          <w:i/>
          <w:color w:val="595959"/>
          <w:sz w:val="18"/>
        </w:rPr>
        <w:t>Figura 5.40. Edificio B13 — objetivos OE.1/OE.2/OE.3 (distrito→edificio; C4+C5).</w:t>
      </w:r>
    </w:p>
    <w:p/>
    <w:p>
      <w:r>
        <w:drawing>
          <wp:inline xmlns:a="http://schemas.openxmlformats.org/drawingml/2006/main" xmlns:pic="http://schemas.openxmlformats.org/drawingml/2006/picture">
            <wp:extent cx="6300000" cy="2100000"/>
            <wp:docPr id="41" name="Picture 41"/>
            <wp:cNvGraphicFramePr>
              <a:graphicFrameLocks noChangeAspect="1"/>
            </wp:cNvGraphicFramePr>
            <a:graphic>
              <a:graphicData uri="http://schemas.openxmlformats.org/drawingml/2006/picture">
                <pic:pic>
                  <pic:nvPicPr>
                    <pic:cNvPr id="0" name="drive_building_B14_objectives.png"/>
                    <pic:cNvPicPr/>
                  </pic:nvPicPr>
                  <pic:blipFill>
                    <a:blip r:embed="rId45"/>
                    <a:stretch>
                      <a:fillRect/>
                    </a:stretch>
                  </pic:blipFill>
                  <pic:spPr>
                    <a:xfrm>
                      <a:off x="0" y="0"/>
                      <a:ext cx="6300000" cy="2100000"/>
                    </a:xfrm>
                    <a:prstGeom prst="rect"/>
                  </pic:spPr>
                </pic:pic>
              </a:graphicData>
            </a:graphic>
          </wp:inline>
        </w:drawing>
      </w:r>
    </w:p>
    <w:p>
      <w:pPr>
        <w:jc w:val="center"/>
      </w:pPr>
      <w:r>
        <w:rPr>
          <w:i/>
          <w:color w:val="595959"/>
          <w:sz w:val="18"/>
        </w:rPr>
        <w:t>Figura 5.41. Edificio B14 — objetivos OE.1/OE.2/OE.3 (distrito→edificio; C4+C5).</w:t>
      </w:r>
    </w:p>
    <w:p/>
    <w:p>
      <w:r>
        <w:drawing>
          <wp:inline xmlns:a="http://schemas.openxmlformats.org/drawingml/2006/main" xmlns:pic="http://schemas.openxmlformats.org/drawingml/2006/picture">
            <wp:extent cx="6300000" cy="2100000"/>
            <wp:docPr id="42" name="Picture 42"/>
            <wp:cNvGraphicFramePr>
              <a:graphicFrameLocks noChangeAspect="1"/>
            </wp:cNvGraphicFramePr>
            <a:graphic>
              <a:graphicData uri="http://schemas.openxmlformats.org/drawingml/2006/picture">
                <pic:pic>
                  <pic:nvPicPr>
                    <pic:cNvPr id="0" name="drive_building_B15_objectives.png"/>
                    <pic:cNvPicPr/>
                  </pic:nvPicPr>
                  <pic:blipFill>
                    <a:blip r:embed="rId46"/>
                    <a:stretch>
                      <a:fillRect/>
                    </a:stretch>
                  </pic:blipFill>
                  <pic:spPr>
                    <a:xfrm>
                      <a:off x="0" y="0"/>
                      <a:ext cx="6300000" cy="2100000"/>
                    </a:xfrm>
                    <a:prstGeom prst="rect"/>
                  </pic:spPr>
                </pic:pic>
              </a:graphicData>
            </a:graphic>
          </wp:inline>
        </w:drawing>
      </w:r>
    </w:p>
    <w:p>
      <w:pPr>
        <w:jc w:val="center"/>
      </w:pPr>
      <w:r>
        <w:rPr>
          <w:i/>
          <w:color w:val="595959"/>
          <w:sz w:val="18"/>
        </w:rPr>
        <w:t>Figura 5.42. Edificio B15 — objetivos OE.1/OE.2/OE.3 (distrito→edificio; C4+C5).</w:t>
      </w:r>
    </w:p>
    <w:p/>
    <w:p>
      <w:r>
        <w:drawing>
          <wp:inline xmlns:a="http://schemas.openxmlformats.org/drawingml/2006/main" xmlns:pic="http://schemas.openxmlformats.org/drawingml/2006/picture">
            <wp:extent cx="6300000" cy="2100000"/>
            <wp:docPr id="43" name="Picture 43"/>
            <wp:cNvGraphicFramePr>
              <a:graphicFrameLocks noChangeAspect="1"/>
            </wp:cNvGraphicFramePr>
            <a:graphic>
              <a:graphicData uri="http://schemas.openxmlformats.org/drawingml/2006/picture">
                <pic:pic>
                  <pic:nvPicPr>
                    <pic:cNvPr id="0" name="drive_building_B16_objectives.png"/>
                    <pic:cNvPicPr/>
                  </pic:nvPicPr>
                  <pic:blipFill>
                    <a:blip r:embed="rId47"/>
                    <a:stretch>
                      <a:fillRect/>
                    </a:stretch>
                  </pic:blipFill>
                  <pic:spPr>
                    <a:xfrm>
                      <a:off x="0" y="0"/>
                      <a:ext cx="6300000" cy="2100000"/>
                    </a:xfrm>
                    <a:prstGeom prst="rect"/>
                  </pic:spPr>
                </pic:pic>
              </a:graphicData>
            </a:graphic>
          </wp:inline>
        </w:drawing>
      </w:r>
    </w:p>
    <w:p>
      <w:pPr>
        <w:jc w:val="center"/>
      </w:pPr>
      <w:r>
        <w:rPr>
          <w:i/>
          <w:color w:val="595959"/>
          <w:sz w:val="18"/>
        </w:rPr>
        <w:t>Figura 5.43. Edificio B16 — objetivos OE.1/OE.2/OE.3 (distrito→edificio; C4+C5).</w:t>
      </w:r>
    </w:p>
    <w:p/>
    <w:p>
      <w:r>
        <w:drawing>
          <wp:inline xmlns:a="http://schemas.openxmlformats.org/drawingml/2006/main" xmlns:pic="http://schemas.openxmlformats.org/drawingml/2006/picture">
            <wp:extent cx="6300000" cy="2100000"/>
            <wp:docPr id="44" name="Picture 44"/>
            <wp:cNvGraphicFramePr>
              <a:graphicFrameLocks noChangeAspect="1"/>
            </wp:cNvGraphicFramePr>
            <a:graphic>
              <a:graphicData uri="http://schemas.openxmlformats.org/drawingml/2006/picture">
                <pic:pic>
                  <pic:nvPicPr>
                    <pic:cNvPr id="0" name="drive_building_B17_objectives.png"/>
                    <pic:cNvPicPr/>
                  </pic:nvPicPr>
                  <pic:blipFill>
                    <a:blip r:embed="rId48"/>
                    <a:stretch>
                      <a:fillRect/>
                    </a:stretch>
                  </pic:blipFill>
                  <pic:spPr>
                    <a:xfrm>
                      <a:off x="0" y="0"/>
                      <a:ext cx="6300000" cy="2100000"/>
                    </a:xfrm>
                    <a:prstGeom prst="rect"/>
                  </pic:spPr>
                </pic:pic>
              </a:graphicData>
            </a:graphic>
          </wp:inline>
        </w:drawing>
      </w:r>
    </w:p>
    <w:p>
      <w:pPr>
        <w:jc w:val="center"/>
      </w:pPr>
      <w:r>
        <w:rPr>
          <w:i/>
          <w:color w:val="595959"/>
          <w:sz w:val="18"/>
        </w:rPr>
        <w:t>Figura 5.44. Edificio B17 — objetivos OE.1/OE.2/OE.3 (distrito→edificio; C4+C5).</w:t>
      </w:r>
    </w:p>
    <w:p/>
    <w:p>
      <w:pPr>
        <w:jc w:val="both"/>
      </w:pPr>
      <w:r>
        <w:rPr>
          <w:b w:val="0"/>
          <w:i w:val="0"/>
        </w:rPr>
        <w:t>Veredicto C5: el control de recursos esta documentado a nivel distrito (trazas E1–E3) y a nivel edificio (inventario BESS/EV/carga flexible + 17 tarjetas multiobjetivo). Sin C5 no se declara cumplimiento completo de OG/OE ni demostracion de HE.</w:t>
      </w:r>
    </w:p>
    <w:p>
      <w:pPr>
        <w:pStyle w:val="Heading3"/>
      </w:pPr>
      <w:r>
        <w:rPr>
          <w:rFonts w:ascii="Times New Roman" w:hAnsi="Times New Roman" w:cs="Times New Roman"/>
          <w:b/>
          <w:i w:val="0"/>
          <w:sz w:val="24"/>
        </w:rPr>
        <w:t>5.4.5 KPIs distrito y edificio (rankings Drive 50 episodios)</w:t>
      </w:r>
    </w:p>
    <w:p>
      <w:r>
        <w:rPr>
          <w:rFonts w:ascii="Times New Roman" w:hAnsi="Times New Roman" w:cs="Times New Roman"/>
          <w:b w:val="0"/>
          <w:i w:val="0"/>
          <w:sz w:val="24"/>
        </w:rPr>
        <w:t>Cálculo descriptivo sobre artefactos reales de la corrida canónica madrl_v3_20260627_164047 (4 MADRL × 3 escenarios × 50 episodios). Fuente: kpi_recalc_20260728 (distrito y building_kpis) y building_behavior_summary.csv (comportamiento BESS/EV por edificio). No es caja negra: cada edificio reporta ganancia de flexibilidad (1 − ratio de importación vs baseline), reducción de CO₂ (−Δ emisiones) y reducción de costo (−Δ costo), junto con throughput BESS, carga EV, éxito de salida EV y rol de red.</w:t>
      </w:r>
    </w:p>
    <w:p>
      <w:r>
        <w:rPr>
          <w:rFonts w:ascii="Times New Roman" w:hAnsi="Times New Roman" w:cs="Times New Roman"/>
          <w:b w:val="0"/>
          <w:i/>
          <w:sz w:val="22"/>
        </w:rPr>
        <w:t>Tabla 5.4.5a. Ranking distrital por escenario (menor KPI primario = mejor).</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
              <w:rPr>
                <w:rFonts w:ascii="Times New Roman" w:hAnsi="Times New Roman" w:cs="Times New Roman"/>
                <w:b/>
                <w:i w:val="0"/>
                <w:sz w:val="16"/>
              </w:rPr>
              <w:t>Escenario</w:t>
            </w:r>
          </w:p>
        </w:tc>
        <w:tc>
          <w:tcPr>
            <w:tcW w:type="dxa" w:w="1872"/>
          </w:tcPr>
          <w:p>
            <w:r/>
            <w:r>
              <w:rPr>
                <w:rFonts w:ascii="Times New Roman" w:hAnsi="Times New Roman" w:cs="Times New Roman"/>
                <w:b/>
                <w:i w:val="0"/>
                <w:sz w:val="16"/>
              </w:rPr>
              <w:t>1.º</w:t>
            </w:r>
          </w:p>
        </w:tc>
        <w:tc>
          <w:tcPr>
            <w:tcW w:type="dxa" w:w="1872"/>
          </w:tcPr>
          <w:p>
            <w:r/>
            <w:r>
              <w:rPr>
                <w:rFonts w:ascii="Times New Roman" w:hAnsi="Times New Roman" w:cs="Times New Roman"/>
                <w:b/>
                <w:i w:val="0"/>
                <w:sz w:val="16"/>
              </w:rPr>
              <w:t>2.º</w:t>
            </w:r>
          </w:p>
        </w:tc>
        <w:tc>
          <w:tcPr>
            <w:tcW w:type="dxa" w:w="1872"/>
          </w:tcPr>
          <w:p>
            <w:r/>
            <w:r>
              <w:rPr>
                <w:rFonts w:ascii="Times New Roman" w:hAnsi="Times New Roman" w:cs="Times New Roman"/>
                <w:b/>
                <w:i w:val="0"/>
                <w:sz w:val="16"/>
              </w:rPr>
              <w:t>3.º</w:t>
            </w:r>
          </w:p>
        </w:tc>
        <w:tc>
          <w:tcPr>
            <w:tcW w:type="dxa" w:w="1872"/>
          </w:tcPr>
          <w:p>
            <w:r/>
            <w:r>
              <w:rPr>
                <w:rFonts w:ascii="Times New Roman" w:hAnsi="Times New Roman" w:cs="Times New Roman"/>
                <w:b/>
                <w:i w:val="0"/>
                <w:sz w:val="16"/>
              </w:rPr>
              <w:t>4.º</w:t>
            </w:r>
          </w:p>
        </w:tc>
      </w:tr>
      <w:tr>
        <w:tc>
          <w:tcPr>
            <w:tcW w:type="dxa" w:w="1872"/>
          </w:tcPr>
          <w:p>
            <w:r/>
            <w:r>
              <w:rPr>
                <w:rFonts w:ascii="Times New Roman" w:hAnsi="Times New Roman" w:cs="Times New Roman"/>
                <w:b w:val="0"/>
                <w:i w:val="0"/>
                <w:sz w:val="16"/>
              </w:rPr>
              <w:t>OE.1 flex</w:t>
            </w:r>
          </w:p>
        </w:tc>
        <w:tc>
          <w:tcPr>
            <w:tcW w:type="dxa" w:w="1872"/>
          </w:tcPr>
          <w:p>
            <w:r/>
            <w:r>
              <w:rPr>
                <w:rFonts w:ascii="Times New Roman" w:hAnsi="Times New Roman" w:cs="Times New Roman"/>
                <w:b w:val="0"/>
                <w:i w:val="0"/>
                <w:sz w:val="16"/>
              </w:rPr>
              <w:t>#1 MATD3 (1.0009)</w:t>
            </w:r>
          </w:p>
        </w:tc>
        <w:tc>
          <w:tcPr>
            <w:tcW w:type="dxa" w:w="1872"/>
          </w:tcPr>
          <w:p>
            <w:r/>
            <w:r>
              <w:rPr>
                <w:rFonts w:ascii="Times New Roman" w:hAnsi="Times New Roman" w:cs="Times New Roman"/>
                <w:b w:val="0"/>
                <w:i w:val="0"/>
                <w:sz w:val="16"/>
              </w:rPr>
              <w:t>#2 MAAC (1.0124)</w:t>
            </w:r>
          </w:p>
        </w:tc>
        <w:tc>
          <w:tcPr>
            <w:tcW w:type="dxa" w:w="1872"/>
          </w:tcPr>
          <w:p>
            <w:r/>
            <w:r>
              <w:rPr>
                <w:rFonts w:ascii="Times New Roman" w:hAnsi="Times New Roman" w:cs="Times New Roman"/>
                <w:b w:val="0"/>
                <w:i w:val="0"/>
                <w:sz w:val="16"/>
              </w:rPr>
              <w:t>#3 MASAC (1.0286)</w:t>
            </w:r>
          </w:p>
        </w:tc>
        <w:tc>
          <w:tcPr>
            <w:tcW w:type="dxa" w:w="1872"/>
          </w:tcPr>
          <w:p>
            <w:r/>
            <w:r>
              <w:rPr>
                <w:rFonts w:ascii="Times New Roman" w:hAnsi="Times New Roman" w:cs="Times New Roman"/>
                <w:b w:val="0"/>
                <w:i w:val="0"/>
                <w:sz w:val="16"/>
              </w:rPr>
              <w:t>#4 HAPPO (1.1105)</w:t>
            </w:r>
          </w:p>
        </w:tc>
      </w:tr>
      <w:tr>
        <w:tc>
          <w:tcPr>
            <w:tcW w:type="dxa" w:w="1872"/>
          </w:tcPr>
          <w:p>
            <w:r/>
            <w:r>
              <w:rPr>
                <w:rFonts w:ascii="Times New Roman" w:hAnsi="Times New Roman" w:cs="Times New Roman"/>
                <w:b w:val="0"/>
                <w:i w:val="0"/>
                <w:sz w:val="16"/>
              </w:rPr>
              <w:t>OE.2 CO2</w:t>
            </w:r>
          </w:p>
        </w:tc>
        <w:tc>
          <w:tcPr>
            <w:tcW w:type="dxa" w:w="1872"/>
          </w:tcPr>
          <w:p>
            <w:r/>
            <w:r>
              <w:rPr>
                <w:rFonts w:ascii="Times New Roman" w:hAnsi="Times New Roman" w:cs="Times New Roman"/>
                <w:b w:val="0"/>
                <w:i w:val="0"/>
                <w:sz w:val="16"/>
              </w:rPr>
              <w:t>#1 MATD3 (23,070)</w:t>
            </w:r>
          </w:p>
        </w:tc>
        <w:tc>
          <w:tcPr>
            <w:tcW w:type="dxa" w:w="1872"/>
          </w:tcPr>
          <w:p>
            <w:r/>
            <w:r>
              <w:rPr>
                <w:rFonts w:ascii="Times New Roman" w:hAnsi="Times New Roman" w:cs="Times New Roman"/>
                <w:b w:val="0"/>
                <w:i w:val="0"/>
                <w:sz w:val="16"/>
              </w:rPr>
              <w:t>#2 MAAC (70,654)</w:t>
            </w:r>
          </w:p>
        </w:tc>
        <w:tc>
          <w:tcPr>
            <w:tcW w:type="dxa" w:w="1872"/>
          </w:tcPr>
          <w:p>
            <w:r/>
            <w:r>
              <w:rPr>
                <w:rFonts w:ascii="Times New Roman" w:hAnsi="Times New Roman" w:cs="Times New Roman"/>
                <w:b w:val="0"/>
                <w:i w:val="0"/>
                <w:sz w:val="16"/>
              </w:rPr>
              <w:t>#3 MASAC (77,649)</w:t>
            </w:r>
          </w:p>
        </w:tc>
        <w:tc>
          <w:tcPr>
            <w:tcW w:type="dxa" w:w="1872"/>
          </w:tcPr>
          <w:p>
            <w:r/>
            <w:r>
              <w:rPr>
                <w:rFonts w:ascii="Times New Roman" w:hAnsi="Times New Roman" w:cs="Times New Roman"/>
                <w:b w:val="0"/>
                <w:i w:val="0"/>
                <w:sz w:val="16"/>
              </w:rPr>
              <w:t>#4 HAPPO (1,431,341)</w:t>
            </w:r>
          </w:p>
        </w:tc>
      </w:tr>
      <w:tr>
        <w:tc>
          <w:tcPr>
            <w:tcW w:type="dxa" w:w="1872"/>
          </w:tcPr>
          <w:p>
            <w:r/>
            <w:r>
              <w:rPr>
                <w:rFonts w:ascii="Times New Roman" w:hAnsi="Times New Roman" w:cs="Times New Roman"/>
                <w:b w:val="0"/>
                <w:i w:val="0"/>
                <w:sz w:val="16"/>
              </w:rPr>
              <w:t>OE.3 costo</w:t>
            </w:r>
          </w:p>
        </w:tc>
        <w:tc>
          <w:tcPr>
            <w:tcW w:type="dxa" w:w="1872"/>
          </w:tcPr>
          <w:p>
            <w:r/>
            <w:r>
              <w:rPr>
                <w:rFonts w:ascii="Times New Roman" w:hAnsi="Times New Roman" w:cs="Times New Roman"/>
                <w:b w:val="0"/>
                <w:i w:val="0"/>
                <w:sz w:val="16"/>
              </w:rPr>
              <w:t>#1 MAAC (9,515)</w:t>
            </w:r>
          </w:p>
        </w:tc>
        <w:tc>
          <w:tcPr>
            <w:tcW w:type="dxa" w:w="1872"/>
          </w:tcPr>
          <w:p>
            <w:r/>
            <w:r>
              <w:rPr>
                <w:rFonts w:ascii="Times New Roman" w:hAnsi="Times New Roman" w:cs="Times New Roman"/>
                <w:b w:val="0"/>
                <w:i w:val="0"/>
                <w:sz w:val="16"/>
              </w:rPr>
              <w:t>#2 MASAC (19,793)</w:t>
            </w:r>
          </w:p>
        </w:tc>
        <w:tc>
          <w:tcPr>
            <w:tcW w:type="dxa" w:w="1872"/>
          </w:tcPr>
          <w:p>
            <w:r/>
            <w:r>
              <w:rPr>
                <w:rFonts w:ascii="Times New Roman" w:hAnsi="Times New Roman" w:cs="Times New Roman"/>
                <w:b w:val="0"/>
                <w:i w:val="0"/>
                <w:sz w:val="16"/>
              </w:rPr>
              <w:t>#3 MATD3 (44,399)</w:t>
            </w:r>
          </w:p>
        </w:tc>
        <w:tc>
          <w:tcPr>
            <w:tcW w:type="dxa" w:w="1872"/>
          </w:tcPr>
          <w:p>
            <w:r/>
            <w:r>
              <w:rPr>
                <w:rFonts w:ascii="Times New Roman" w:hAnsi="Times New Roman" w:cs="Times New Roman"/>
                <w:b w:val="0"/>
                <w:i w:val="0"/>
                <w:sz w:val="16"/>
              </w:rPr>
              <w:t>#4 HAPPO (106,828)</w:t>
            </w:r>
          </w:p>
        </w:tc>
      </w:tr>
    </w:tbl>
    <w:p>
      <w:r>
        <w:rPr>
          <w:rFonts w:ascii="Times New Roman" w:hAnsi="Times New Roman" w:cs="Times New Roman"/>
          <w:b w:val="0"/>
          <w:i/>
          <w:sz w:val="20"/>
        </w:rPr>
        <w:t>Nota. E1: flex_composite; E2: carbon_emissions_delta (kg); E3: electricity_cost_delta (EUR). Fuente: all_core_kpis_wide.csv.</w:t>
      </w:r>
    </w:p>
    <w:p>
      <w:r>
        <w:rPr>
          <w:rFonts w:ascii="Times New Roman" w:hAnsi="Times New Roman" w:cs="Times New Roman"/>
          <w:b w:val="0"/>
          <w:i/>
          <w:sz w:val="22"/>
        </w:rPr>
        <w:t>Tabla 5.4.5b. Mejor edificio por algoritmo × escenario (17 edificios).</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
              <w:rPr>
                <w:rFonts w:ascii="Times New Roman" w:hAnsi="Times New Roman" w:cs="Times New Roman"/>
                <w:b/>
                <w:i w:val="0"/>
                <w:sz w:val="15"/>
              </w:rPr>
              <w:t>Algo</w:t>
            </w:r>
          </w:p>
        </w:tc>
        <w:tc>
          <w:tcPr>
            <w:tcW w:type="dxa" w:w="1170"/>
          </w:tcPr>
          <w:p>
            <w:r/>
            <w:r>
              <w:rPr>
                <w:rFonts w:ascii="Times New Roman" w:hAnsi="Times New Roman" w:cs="Times New Roman"/>
                <w:b/>
                <w:i w:val="0"/>
                <w:sz w:val="15"/>
              </w:rPr>
              <w:t>Esc.</w:t>
            </w:r>
          </w:p>
        </w:tc>
        <w:tc>
          <w:tcPr>
            <w:tcW w:type="dxa" w:w="1170"/>
          </w:tcPr>
          <w:p>
            <w:r/>
            <w:r>
              <w:rPr>
                <w:rFonts w:ascii="Times New Roman" w:hAnsi="Times New Roman" w:cs="Times New Roman"/>
                <w:b/>
                <w:i w:val="0"/>
                <w:sz w:val="15"/>
              </w:rPr>
              <w:t>OE</w:t>
            </w:r>
          </w:p>
        </w:tc>
        <w:tc>
          <w:tcPr>
            <w:tcW w:type="dxa" w:w="1170"/>
          </w:tcPr>
          <w:p>
            <w:r/>
            <w:r>
              <w:rPr>
                <w:rFonts w:ascii="Times New Roman" w:hAnsi="Times New Roman" w:cs="Times New Roman"/>
                <w:b/>
                <w:i w:val="0"/>
                <w:sz w:val="15"/>
              </w:rPr>
              <w:t>Mejor edif.</w:t>
            </w:r>
          </w:p>
        </w:tc>
        <w:tc>
          <w:tcPr>
            <w:tcW w:type="dxa" w:w="1170"/>
          </w:tcPr>
          <w:p>
            <w:r/>
            <w:r>
              <w:rPr>
                <w:rFonts w:ascii="Times New Roman" w:hAnsi="Times New Roman" w:cs="Times New Roman"/>
                <w:b/>
                <w:i w:val="0"/>
                <w:sz w:val="15"/>
              </w:rPr>
              <w:t>Nombre</w:t>
            </w:r>
          </w:p>
        </w:tc>
        <w:tc>
          <w:tcPr>
            <w:tcW w:type="dxa" w:w="1170"/>
          </w:tcPr>
          <w:p>
            <w:r/>
            <w:r>
              <w:rPr>
                <w:rFonts w:ascii="Times New Roman" w:hAnsi="Times New Roman" w:cs="Times New Roman"/>
                <w:b/>
                <w:i w:val="0"/>
                <w:sz w:val="15"/>
              </w:rPr>
              <w:t>Valor</w:t>
            </w:r>
          </w:p>
        </w:tc>
        <w:tc>
          <w:tcPr>
            <w:tcW w:type="dxa" w:w="1170"/>
          </w:tcPr>
          <w:p>
            <w:r/>
            <w:r>
              <w:rPr>
                <w:rFonts w:ascii="Times New Roman" w:hAnsi="Times New Roman" w:cs="Times New Roman"/>
                <w:b/>
                <w:i w:val="0"/>
                <w:sz w:val="15"/>
              </w:rPr>
              <w:t>BESS thr.</w:t>
            </w:r>
          </w:p>
        </w:tc>
        <w:tc>
          <w:tcPr>
            <w:tcW w:type="dxa" w:w="1170"/>
          </w:tcPr>
          <w:p>
            <w:r/>
            <w:r>
              <w:rPr>
                <w:rFonts w:ascii="Times New Roman" w:hAnsi="Times New Roman" w:cs="Times New Roman"/>
                <w:b/>
                <w:i w:val="0"/>
                <w:sz w:val="15"/>
              </w:rPr>
              <w:t>EV éxito</w:t>
            </w:r>
          </w:p>
        </w:tc>
      </w:tr>
      <w:tr>
        <w:tc>
          <w:tcPr>
            <w:tcW w:type="dxa" w:w="1170"/>
          </w:tcPr>
          <w:p>
            <w:r/>
            <w:r>
              <w:rPr>
                <w:rFonts w:ascii="Times New Roman" w:hAnsi="Times New Roman" w:cs="Times New Roman"/>
                <w:b w:val="0"/>
                <w:i w:val="0"/>
                <w:sz w:val="15"/>
              </w:rPr>
              <w:t>HAPPO</w:t>
            </w:r>
          </w:p>
        </w:tc>
        <w:tc>
          <w:tcPr>
            <w:tcW w:type="dxa" w:w="1170"/>
          </w:tcPr>
          <w:p>
            <w:r/>
            <w:r>
              <w:rPr>
                <w:rFonts w:ascii="Times New Roman" w:hAnsi="Times New Roman" w:cs="Times New Roman"/>
                <w:b w:val="0"/>
                <w:i w:val="0"/>
                <w:sz w:val="15"/>
              </w:rPr>
              <w:t>E1</w:t>
            </w:r>
          </w:p>
        </w:tc>
        <w:tc>
          <w:tcPr>
            <w:tcW w:type="dxa" w:w="1170"/>
          </w:tcPr>
          <w:p>
            <w:r/>
            <w:r>
              <w:rPr>
                <w:rFonts w:ascii="Times New Roman" w:hAnsi="Times New Roman" w:cs="Times New Roman"/>
                <w:b w:val="0"/>
                <w:i w:val="0"/>
                <w:sz w:val="15"/>
              </w:rPr>
              <w:t>OE.1</w:t>
            </w:r>
          </w:p>
        </w:tc>
        <w:tc>
          <w:tcPr>
            <w:tcW w:type="dxa" w:w="1170"/>
          </w:tcPr>
          <w:p>
            <w:r/>
            <w:r>
              <w:rPr>
                <w:rFonts w:ascii="Times New Roman" w:hAnsi="Times New Roman" w:cs="Times New Roman"/>
                <w:b w:val="0"/>
                <w:i w:val="0"/>
                <w:sz w:val="15"/>
              </w:rPr>
              <w:t>B11</w:t>
            </w:r>
          </w:p>
        </w:tc>
        <w:tc>
          <w:tcPr>
            <w:tcW w:type="dxa" w:w="1170"/>
          </w:tcPr>
          <w:p>
            <w:r/>
            <w:r>
              <w:rPr>
                <w:rFonts w:ascii="Times New Roman" w:hAnsi="Times New Roman" w:cs="Times New Roman"/>
                <w:b w:val="0"/>
                <w:i w:val="0"/>
                <w:sz w:val="15"/>
              </w:rPr>
              <w:t>HOSPITAL REGIONAL DE LORETO</w:t>
            </w:r>
          </w:p>
        </w:tc>
        <w:tc>
          <w:tcPr>
            <w:tcW w:type="dxa" w:w="1170"/>
          </w:tcPr>
          <w:p>
            <w:r/>
            <w:r>
              <w:rPr>
                <w:rFonts w:ascii="Times New Roman" w:hAnsi="Times New Roman" w:cs="Times New Roman"/>
                <w:b w:val="0"/>
                <w:i w:val="0"/>
                <w:sz w:val="15"/>
              </w:rPr>
              <w:t>0.0022</w:t>
            </w:r>
          </w:p>
        </w:tc>
        <w:tc>
          <w:tcPr>
            <w:tcW w:type="dxa" w:w="1170"/>
          </w:tcPr>
          <w:p>
            <w:r/>
            <w:r>
              <w:rPr>
                <w:rFonts w:ascii="Times New Roman" w:hAnsi="Times New Roman" w:cs="Times New Roman"/>
                <w:b w:val="0"/>
                <w:i w:val="0"/>
                <w:sz w:val="15"/>
              </w:rPr>
              <w:t>438,445</w:t>
            </w:r>
          </w:p>
        </w:tc>
        <w:tc>
          <w:tcPr>
            <w:tcW w:type="dxa" w:w="1170"/>
          </w:tcPr>
          <w:p>
            <w:r/>
            <w:r>
              <w:rPr>
                <w:rFonts w:ascii="Times New Roman" w:hAnsi="Times New Roman" w:cs="Times New Roman"/>
                <w:b w:val="0"/>
                <w:i w:val="0"/>
                <w:sz w:val="15"/>
              </w:rPr>
              <w:t>0.415</w:t>
            </w:r>
          </w:p>
        </w:tc>
      </w:tr>
      <w:tr>
        <w:tc>
          <w:tcPr>
            <w:tcW w:type="dxa" w:w="1170"/>
          </w:tcPr>
          <w:p>
            <w:r/>
            <w:r>
              <w:rPr>
                <w:rFonts w:ascii="Times New Roman" w:hAnsi="Times New Roman" w:cs="Times New Roman"/>
                <w:b w:val="0"/>
                <w:i w:val="0"/>
                <w:sz w:val="15"/>
              </w:rPr>
              <w:t>HAPPO</w:t>
            </w:r>
          </w:p>
        </w:tc>
        <w:tc>
          <w:tcPr>
            <w:tcW w:type="dxa" w:w="1170"/>
          </w:tcPr>
          <w:p>
            <w:r/>
            <w:r>
              <w:rPr>
                <w:rFonts w:ascii="Times New Roman" w:hAnsi="Times New Roman" w:cs="Times New Roman"/>
                <w:b w:val="0"/>
                <w:i w:val="0"/>
                <w:sz w:val="15"/>
              </w:rPr>
              <w:t>E2</w:t>
            </w:r>
          </w:p>
        </w:tc>
        <w:tc>
          <w:tcPr>
            <w:tcW w:type="dxa" w:w="1170"/>
          </w:tcPr>
          <w:p>
            <w:r/>
            <w:r>
              <w:rPr>
                <w:rFonts w:ascii="Times New Roman" w:hAnsi="Times New Roman" w:cs="Times New Roman"/>
                <w:b w:val="0"/>
                <w:i w:val="0"/>
                <w:sz w:val="15"/>
              </w:rPr>
              <w:t>OE.2</w:t>
            </w:r>
          </w:p>
        </w:tc>
        <w:tc>
          <w:tcPr>
            <w:tcW w:type="dxa" w:w="1170"/>
          </w:tcPr>
          <w:p>
            <w:r/>
            <w:r>
              <w:rPr>
                <w:rFonts w:ascii="Times New Roman" w:hAnsi="Times New Roman" w:cs="Times New Roman"/>
                <w:b w:val="0"/>
                <w:i w:val="0"/>
                <w:sz w:val="15"/>
              </w:rPr>
              <w:t>B09</w:t>
            </w:r>
          </w:p>
        </w:tc>
        <w:tc>
          <w:tcPr>
            <w:tcW w:type="dxa" w:w="1170"/>
          </w:tcPr>
          <w:p>
            <w:r/>
            <w:r>
              <w:rPr>
                <w:rFonts w:ascii="Times New Roman" w:hAnsi="Times New Roman" w:cs="Times New Roman"/>
                <w:b w:val="0"/>
                <w:i w:val="0"/>
                <w:sz w:val="15"/>
              </w:rPr>
              <w:t>GOBIERNO REGIONAL DE LORETO - COER</w:t>
            </w:r>
          </w:p>
        </w:tc>
        <w:tc>
          <w:tcPr>
            <w:tcW w:type="dxa" w:w="1170"/>
          </w:tcPr>
          <w:p>
            <w:r/>
            <w:r>
              <w:rPr>
                <w:rFonts w:ascii="Times New Roman" w:hAnsi="Times New Roman" w:cs="Times New Roman"/>
                <w:b w:val="0"/>
                <w:i w:val="0"/>
                <w:sz w:val="15"/>
              </w:rPr>
              <w:t>-6,060</w:t>
            </w:r>
          </w:p>
        </w:tc>
        <w:tc>
          <w:tcPr>
            <w:tcW w:type="dxa" w:w="1170"/>
          </w:tcPr>
          <w:p>
            <w:r/>
            <w:r>
              <w:rPr>
                <w:rFonts w:ascii="Times New Roman" w:hAnsi="Times New Roman" w:cs="Times New Roman"/>
                <w:b w:val="0"/>
                <w:i w:val="0"/>
                <w:sz w:val="15"/>
              </w:rPr>
              <w:t>99,087</w:t>
            </w:r>
          </w:p>
        </w:tc>
        <w:tc>
          <w:tcPr>
            <w:tcW w:type="dxa" w:w="1170"/>
          </w:tcPr>
          <w:p>
            <w:r/>
            <w:r>
              <w:rPr>
                <w:rFonts w:ascii="Times New Roman" w:hAnsi="Times New Roman" w:cs="Times New Roman"/>
                <w:b w:val="0"/>
                <w:i w:val="0"/>
                <w:sz w:val="15"/>
              </w:rPr>
              <w:t>0.573</w:t>
            </w:r>
          </w:p>
        </w:tc>
      </w:tr>
      <w:tr>
        <w:tc>
          <w:tcPr>
            <w:tcW w:type="dxa" w:w="1170"/>
          </w:tcPr>
          <w:p>
            <w:r/>
            <w:r>
              <w:rPr>
                <w:rFonts w:ascii="Times New Roman" w:hAnsi="Times New Roman" w:cs="Times New Roman"/>
                <w:b w:val="0"/>
                <w:i w:val="0"/>
                <w:sz w:val="15"/>
              </w:rPr>
              <w:t>HAPPO</w:t>
            </w:r>
          </w:p>
        </w:tc>
        <w:tc>
          <w:tcPr>
            <w:tcW w:type="dxa" w:w="1170"/>
          </w:tcPr>
          <w:p>
            <w:r/>
            <w:r>
              <w:rPr>
                <w:rFonts w:ascii="Times New Roman" w:hAnsi="Times New Roman" w:cs="Times New Roman"/>
                <w:b w:val="0"/>
                <w:i w:val="0"/>
                <w:sz w:val="15"/>
              </w:rPr>
              <w:t>E3</w:t>
            </w:r>
          </w:p>
        </w:tc>
        <w:tc>
          <w:tcPr>
            <w:tcW w:type="dxa" w:w="1170"/>
          </w:tcPr>
          <w:p>
            <w:r/>
            <w:r>
              <w:rPr>
                <w:rFonts w:ascii="Times New Roman" w:hAnsi="Times New Roman" w:cs="Times New Roman"/>
                <w:b w:val="0"/>
                <w:i w:val="0"/>
                <w:sz w:val="15"/>
              </w:rPr>
              <w:t>OE.3</w:t>
            </w:r>
          </w:p>
        </w:tc>
        <w:tc>
          <w:tcPr>
            <w:tcW w:type="dxa" w:w="1170"/>
          </w:tcPr>
          <w:p>
            <w:r/>
            <w:r>
              <w:rPr>
                <w:rFonts w:ascii="Times New Roman" w:hAnsi="Times New Roman" w:cs="Times New Roman"/>
                <w:b w:val="0"/>
                <w:i w:val="0"/>
                <w:sz w:val="15"/>
              </w:rPr>
              <w:t>B11</w:t>
            </w:r>
          </w:p>
        </w:tc>
        <w:tc>
          <w:tcPr>
            <w:tcW w:type="dxa" w:w="1170"/>
          </w:tcPr>
          <w:p>
            <w:r/>
            <w:r>
              <w:rPr>
                <w:rFonts w:ascii="Times New Roman" w:hAnsi="Times New Roman" w:cs="Times New Roman"/>
                <w:b w:val="0"/>
                <w:i w:val="0"/>
                <w:sz w:val="15"/>
              </w:rPr>
              <w:t>HOSPITAL REGIONAL DE LORETO</w:t>
            </w:r>
          </w:p>
        </w:tc>
        <w:tc>
          <w:tcPr>
            <w:tcW w:type="dxa" w:w="1170"/>
          </w:tcPr>
          <w:p>
            <w:r/>
            <w:r>
              <w:rPr>
                <w:rFonts w:ascii="Times New Roman" w:hAnsi="Times New Roman" w:cs="Times New Roman"/>
                <w:b w:val="0"/>
                <w:i w:val="0"/>
                <w:sz w:val="15"/>
              </w:rPr>
              <w:t>193,218</w:t>
            </w:r>
          </w:p>
        </w:tc>
        <w:tc>
          <w:tcPr>
            <w:tcW w:type="dxa" w:w="1170"/>
          </w:tcPr>
          <w:p>
            <w:r/>
            <w:r>
              <w:rPr>
                <w:rFonts w:ascii="Times New Roman" w:hAnsi="Times New Roman" w:cs="Times New Roman"/>
                <w:b w:val="0"/>
                <w:i w:val="0"/>
                <w:sz w:val="15"/>
              </w:rPr>
              <w:t>1,267,328</w:t>
            </w:r>
          </w:p>
        </w:tc>
        <w:tc>
          <w:tcPr>
            <w:tcW w:type="dxa" w:w="1170"/>
          </w:tcPr>
          <w:p>
            <w:r/>
            <w:r>
              <w:rPr>
                <w:rFonts w:ascii="Times New Roman" w:hAnsi="Times New Roman" w:cs="Times New Roman"/>
                <w:b w:val="0"/>
                <w:i w:val="0"/>
                <w:sz w:val="15"/>
              </w:rPr>
              <w:t>0.454</w:t>
            </w:r>
          </w:p>
        </w:tc>
      </w:tr>
      <w:tr>
        <w:tc>
          <w:tcPr>
            <w:tcW w:type="dxa" w:w="1170"/>
          </w:tcPr>
          <w:p>
            <w:r/>
            <w:r>
              <w:rPr>
                <w:rFonts w:ascii="Times New Roman" w:hAnsi="Times New Roman" w:cs="Times New Roman"/>
                <w:b w:val="0"/>
                <w:i w:val="0"/>
                <w:sz w:val="15"/>
              </w:rPr>
              <w:t>MASAC</w:t>
            </w:r>
          </w:p>
        </w:tc>
        <w:tc>
          <w:tcPr>
            <w:tcW w:type="dxa" w:w="1170"/>
          </w:tcPr>
          <w:p>
            <w:r/>
            <w:r>
              <w:rPr>
                <w:rFonts w:ascii="Times New Roman" w:hAnsi="Times New Roman" w:cs="Times New Roman"/>
                <w:b w:val="0"/>
                <w:i w:val="0"/>
                <w:sz w:val="15"/>
              </w:rPr>
              <w:t>E1</w:t>
            </w:r>
          </w:p>
        </w:tc>
        <w:tc>
          <w:tcPr>
            <w:tcW w:type="dxa" w:w="1170"/>
          </w:tcPr>
          <w:p>
            <w:r/>
            <w:r>
              <w:rPr>
                <w:rFonts w:ascii="Times New Roman" w:hAnsi="Times New Roman" w:cs="Times New Roman"/>
                <w:b w:val="0"/>
                <w:i w:val="0"/>
                <w:sz w:val="15"/>
              </w:rPr>
              <w:t>OE.1</w:t>
            </w:r>
          </w:p>
        </w:tc>
        <w:tc>
          <w:tcPr>
            <w:tcW w:type="dxa" w:w="1170"/>
          </w:tcPr>
          <w:p>
            <w:r/>
            <w:r>
              <w:rPr>
                <w:rFonts w:ascii="Times New Roman" w:hAnsi="Times New Roman" w:cs="Times New Roman"/>
                <w:b w:val="0"/>
                <w:i w:val="0"/>
                <w:sz w:val="15"/>
              </w:rPr>
              <w:t>B05</w:t>
            </w:r>
          </w:p>
        </w:tc>
        <w:tc>
          <w:tcPr>
            <w:tcW w:type="dxa" w:w="1170"/>
          </w:tcPr>
          <w:p>
            <w:r/>
            <w:r>
              <w:rPr>
                <w:rFonts w:ascii="Times New Roman" w:hAnsi="Times New Roman" w:cs="Times New Roman"/>
                <w:b w:val="0"/>
                <w:i w:val="0"/>
                <w:sz w:val="15"/>
              </w:rPr>
              <w:t>HOTEL PLAZA S.A.</w:t>
            </w:r>
          </w:p>
        </w:tc>
        <w:tc>
          <w:tcPr>
            <w:tcW w:type="dxa" w:w="1170"/>
          </w:tcPr>
          <w:p>
            <w:r/>
            <w:r>
              <w:rPr>
                <w:rFonts w:ascii="Times New Roman" w:hAnsi="Times New Roman" w:cs="Times New Roman"/>
                <w:b w:val="0"/>
                <w:i w:val="0"/>
                <w:sz w:val="15"/>
              </w:rPr>
              <w:t>-0.0052</w:t>
            </w:r>
          </w:p>
        </w:tc>
        <w:tc>
          <w:tcPr>
            <w:tcW w:type="dxa" w:w="1170"/>
          </w:tcPr>
          <w:p>
            <w:r/>
            <w:r>
              <w:rPr>
                <w:rFonts w:ascii="Times New Roman" w:hAnsi="Times New Roman" w:cs="Times New Roman"/>
                <w:b w:val="0"/>
                <w:i w:val="0"/>
                <w:sz w:val="15"/>
              </w:rPr>
              <w:t>7,074</w:t>
            </w:r>
          </w:p>
        </w:tc>
        <w:tc>
          <w:tcPr>
            <w:tcW w:type="dxa" w:w="1170"/>
          </w:tcPr>
          <w:p>
            <w:r/>
            <w:r>
              <w:rPr>
                <w:rFonts w:ascii="Times New Roman" w:hAnsi="Times New Roman" w:cs="Times New Roman"/>
                <w:b w:val="0"/>
                <w:i w:val="0"/>
                <w:sz w:val="15"/>
              </w:rPr>
              <w:t>0.044</w:t>
            </w:r>
          </w:p>
        </w:tc>
      </w:tr>
      <w:tr>
        <w:tc>
          <w:tcPr>
            <w:tcW w:type="dxa" w:w="1170"/>
          </w:tcPr>
          <w:p>
            <w:r/>
            <w:r>
              <w:rPr>
                <w:rFonts w:ascii="Times New Roman" w:hAnsi="Times New Roman" w:cs="Times New Roman"/>
                <w:b w:val="0"/>
                <w:i w:val="0"/>
                <w:sz w:val="15"/>
              </w:rPr>
              <w:t>MASAC</w:t>
            </w:r>
          </w:p>
        </w:tc>
        <w:tc>
          <w:tcPr>
            <w:tcW w:type="dxa" w:w="1170"/>
          </w:tcPr>
          <w:p>
            <w:r/>
            <w:r>
              <w:rPr>
                <w:rFonts w:ascii="Times New Roman" w:hAnsi="Times New Roman" w:cs="Times New Roman"/>
                <w:b w:val="0"/>
                <w:i w:val="0"/>
                <w:sz w:val="15"/>
              </w:rPr>
              <w:t>E2</w:t>
            </w:r>
          </w:p>
        </w:tc>
        <w:tc>
          <w:tcPr>
            <w:tcW w:type="dxa" w:w="1170"/>
          </w:tcPr>
          <w:p>
            <w:r/>
            <w:r>
              <w:rPr>
                <w:rFonts w:ascii="Times New Roman" w:hAnsi="Times New Roman" w:cs="Times New Roman"/>
                <w:b w:val="0"/>
                <w:i w:val="0"/>
                <w:sz w:val="15"/>
              </w:rPr>
              <w:t>OE.2</w:t>
            </w:r>
          </w:p>
        </w:tc>
        <w:tc>
          <w:tcPr>
            <w:tcW w:type="dxa" w:w="1170"/>
          </w:tcPr>
          <w:p>
            <w:r/>
            <w:r>
              <w:rPr>
                <w:rFonts w:ascii="Times New Roman" w:hAnsi="Times New Roman" w:cs="Times New Roman"/>
                <w:b w:val="0"/>
                <w:i w:val="0"/>
                <w:sz w:val="15"/>
              </w:rPr>
              <w:t>B09</w:t>
            </w:r>
          </w:p>
        </w:tc>
        <w:tc>
          <w:tcPr>
            <w:tcW w:type="dxa" w:w="1170"/>
          </w:tcPr>
          <w:p>
            <w:r/>
            <w:r>
              <w:rPr>
                <w:rFonts w:ascii="Times New Roman" w:hAnsi="Times New Roman" w:cs="Times New Roman"/>
                <w:b w:val="0"/>
                <w:i w:val="0"/>
                <w:sz w:val="15"/>
              </w:rPr>
              <w:t>GOBIERNO REGIONAL DE LORETO - COER</w:t>
            </w:r>
          </w:p>
        </w:tc>
        <w:tc>
          <w:tcPr>
            <w:tcW w:type="dxa" w:w="1170"/>
          </w:tcPr>
          <w:p>
            <w:r/>
            <w:r>
              <w:rPr>
                <w:rFonts w:ascii="Times New Roman" w:hAnsi="Times New Roman" w:cs="Times New Roman"/>
                <w:b w:val="0"/>
                <w:i w:val="0"/>
                <w:sz w:val="15"/>
              </w:rPr>
              <w:t>-847</w:t>
            </w:r>
          </w:p>
        </w:tc>
        <w:tc>
          <w:tcPr>
            <w:tcW w:type="dxa" w:w="1170"/>
          </w:tcPr>
          <w:p>
            <w:r/>
            <w:r>
              <w:rPr>
                <w:rFonts w:ascii="Times New Roman" w:hAnsi="Times New Roman" w:cs="Times New Roman"/>
                <w:b w:val="0"/>
                <w:i w:val="0"/>
                <w:sz w:val="15"/>
              </w:rPr>
              <w:t>3,618</w:t>
            </w:r>
          </w:p>
        </w:tc>
        <w:tc>
          <w:tcPr>
            <w:tcW w:type="dxa" w:w="1170"/>
          </w:tcPr>
          <w:p>
            <w:r/>
            <w:r>
              <w:rPr>
                <w:rFonts w:ascii="Times New Roman" w:hAnsi="Times New Roman" w:cs="Times New Roman"/>
                <w:b w:val="0"/>
                <w:i w:val="0"/>
                <w:sz w:val="15"/>
              </w:rPr>
              <w:t>0.022</w:t>
            </w:r>
          </w:p>
        </w:tc>
      </w:tr>
      <w:tr>
        <w:tc>
          <w:tcPr>
            <w:tcW w:type="dxa" w:w="1170"/>
          </w:tcPr>
          <w:p>
            <w:r/>
            <w:r>
              <w:rPr>
                <w:rFonts w:ascii="Times New Roman" w:hAnsi="Times New Roman" w:cs="Times New Roman"/>
                <w:b w:val="0"/>
                <w:i w:val="0"/>
                <w:sz w:val="15"/>
              </w:rPr>
              <w:t>MASAC</w:t>
            </w:r>
          </w:p>
        </w:tc>
        <w:tc>
          <w:tcPr>
            <w:tcW w:type="dxa" w:w="1170"/>
          </w:tcPr>
          <w:p>
            <w:r/>
            <w:r>
              <w:rPr>
                <w:rFonts w:ascii="Times New Roman" w:hAnsi="Times New Roman" w:cs="Times New Roman"/>
                <w:b w:val="0"/>
                <w:i w:val="0"/>
                <w:sz w:val="15"/>
              </w:rPr>
              <w:t>E3</w:t>
            </w:r>
          </w:p>
        </w:tc>
        <w:tc>
          <w:tcPr>
            <w:tcW w:type="dxa" w:w="1170"/>
          </w:tcPr>
          <w:p>
            <w:r/>
            <w:r>
              <w:rPr>
                <w:rFonts w:ascii="Times New Roman" w:hAnsi="Times New Roman" w:cs="Times New Roman"/>
                <w:b w:val="0"/>
                <w:i w:val="0"/>
                <w:sz w:val="15"/>
              </w:rPr>
              <w:t>OE.3</w:t>
            </w:r>
          </w:p>
        </w:tc>
        <w:tc>
          <w:tcPr>
            <w:tcW w:type="dxa" w:w="1170"/>
          </w:tcPr>
          <w:p>
            <w:r/>
            <w:r>
              <w:rPr>
                <w:rFonts w:ascii="Times New Roman" w:hAnsi="Times New Roman" w:cs="Times New Roman"/>
                <w:b w:val="0"/>
                <w:i w:val="0"/>
                <w:sz w:val="15"/>
              </w:rPr>
              <w:t>B11</w:t>
            </w:r>
          </w:p>
        </w:tc>
        <w:tc>
          <w:tcPr>
            <w:tcW w:type="dxa" w:w="1170"/>
          </w:tcPr>
          <w:p>
            <w:r/>
            <w:r>
              <w:rPr>
                <w:rFonts w:ascii="Times New Roman" w:hAnsi="Times New Roman" w:cs="Times New Roman"/>
                <w:b w:val="0"/>
                <w:i w:val="0"/>
                <w:sz w:val="15"/>
              </w:rPr>
              <w:t>HOSPITAL REGIONAL DE LORETO</w:t>
            </w:r>
          </w:p>
        </w:tc>
        <w:tc>
          <w:tcPr>
            <w:tcW w:type="dxa" w:w="1170"/>
          </w:tcPr>
          <w:p>
            <w:r/>
            <w:r>
              <w:rPr>
                <w:rFonts w:ascii="Times New Roman" w:hAnsi="Times New Roman" w:cs="Times New Roman"/>
                <w:b w:val="0"/>
                <w:i w:val="0"/>
                <w:sz w:val="15"/>
              </w:rPr>
              <w:t>2,304</w:t>
            </w:r>
          </w:p>
        </w:tc>
        <w:tc>
          <w:tcPr>
            <w:tcW w:type="dxa" w:w="1170"/>
          </w:tcPr>
          <w:p>
            <w:r/>
            <w:r>
              <w:rPr>
                <w:rFonts w:ascii="Times New Roman" w:hAnsi="Times New Roman" w:cs="Times New Roman"/>
                <w:b w:val="0"/>
                <w:i w:val="0"/>
                <w:sz w:val="15"/>
              </w:rPr>
              <w:t>28,456</w:t>
            </w:r>
          </w:p>
        </w:tc>
        <w:tc>
          <w:tcPr>
            <w:tcW w:type="dxa" w:w="1170"/>
          </w:tcPr>
          <w:p>
            <w:r/>
            <w:r>
              <w:rPr>
                <w:rFonts w:ascii="Times New Roman" w:hAnsi="Times New Roman" w:cs="Times New Roman"/>
                <w:b w:val="0"/>
                <w:i w:val="0"/>
                <w:sz w:val="15"/>
              </w:rPr>
              <w:t>0.065</w:t>
            </w:r>
          </w:p>
        </w:tc>
      </w:tr>
      <w:tr>
        <w:tc>
          <w:tcPr>
            <w:tcW w:type="dxa" w:w="1170"/>
          </w:tcPr>
          <w:p>
            <w:r/>
            <w:r>
              <w:rPr>
                <w:rFonts w:ascii="Times New Roman" w:hAnsi="Times New Roman" w:cs="Times New Roman"/>
                <w:b w:val="0"/>
                <w:i w:val="0"/>
                <w:sz w:val="15"/>
              </w:rPr>
              <w:t>MATD3</w:t>
            </w:r>
          </w:p>
        </w:tc>
        <w:tc>
          <w:tcPr>
            <w:tcW w:type="dxa" w:w="1170"/>
          </w:tcPr>
          <w:p>
            <w:r/>
            <w:r>
              <w:rPr>
                <w:rFonts w:ascii="Times New Roman" w:hAnsi="Times New Roman" w:cs="Times New Roman"/>
                <w:b w:val="0"/>
                <w:i w:val="0"/>
                <w:sz w:val="15"/>
              </w:rPr>
              <w:t>E1</w:t>
            </w:r>
          </w:p>
        </w:tc>
        <w:tc>
          <w:tcPr>
            <w:tcW w:type="dxa" w:w="1170"/>
          </w:tcPr>
          <w:p>
            <w:r/>
            <w:r>
              <w:rPr>
                <w:rFonts w:ascii="Times New Roman" w:hAnsi="Times New Roman" w:cs="Times New Roman"/>
                <w:b w:val="0"/>
                <w:i w:val="0"/>
                <w:sz w:val="15"/>
              </w:rPr>
              <w:t>OE.1</w:t>
            </w:r>
          </w:p>
        </w:tc>
        <w:tc>
          <w:tcPr>
            <w:tcW w:type="dxa" w:w="1170"/>
          </w:tcPr>
          <w:p>
            <w:r/>
            <w:r>
              <w:rPr>
                <w:rFonts w:ascii="Times New Roman" w:hAnsi="Times New Roman" w:cs="Times New Roman"/>
                <w:b w:val="0"/>
                <w:i w:val="0"/>
                <w:sz w:val="15"/>
              </w:rPr>
              <w:t>B14</w:t>
            </w:r>
          </w:p>
        </w:tc>
        <w:tc>
          <w:tcPr>
            <w:tcW w:type="dxa" w:w="1170"/>
          </w:tcPr>
          <w:p>
            <w:r/>
            <w:r>
              <w:rPr>
                <w:rFonts w:ascii="Times New Roman" w:hAnsi="Times New Roman" w:cs="Times New Roman"/>
                <w:b w:val="0"/>
                <w:i w:val="0"/>
                <w:sz w:val="15"/>
              </w:rPr>
              <w:t>AUTORIDAD PORTUARIA NACIONAL</w:t>
            </w:r>
          </w:p>
        </w:tc>
        <w:tc>
          <w:tcPr>
            <w:tcW w:type="dxa" w:w="1170"/>
          </w:tcPr>
          <w:p>
            <w:r/>
            <w:r>
              <w:rPr>
                <w:rFonts w:ascii="Times New Roman" w:hAnsi="Times New Roman" w:cs="Times New Roman"/>
                <w:b w:val="0"/>
                <w:i w:val="0"/>
                <w:sz w:val="15"/>
              </w:rPr>
              <w:t>0.1267</w:t>
            </w:r>
          </w:p>
        </w:tc>
        <w:tc>
          <w:tcPr>
            <w:tcW w:type="dxa" w:w="1170"/>
          </w:tcPr>
          <w:p>
            <w:r/>
            <w:r>
              <w:rPr>
                <w:rFonts w:ascii="Times New Roman" w:hAnsi="Times New Roman" w:cs="Times New Roman"/>
                <w:b w:val="0"/>
                <w:i w:val="0"/>
                <w:sz w:val="15"/>
              </w:rPr>
              <w:t>64</w:t>
            </w:r>
          </w:p>
        </w:tc>
        <w:tc>
          <w:tcPr>
            <w:tcW w:type="dxa" w:w="1170"/>
          </w:tcPr>
          <w:p>
            <w:r/>
            <w:r>
              <w:rPr>
                <w:rFonts w:ascii="Times New Roman" w:hAnsi="Times New Roman" w:cs="Times New Roman"/>
                <w:b w:val="0"/>
                <w:i w:val="0"/>
                <w:sz w:val="15"/>
              </w:rPr>
              <w:t>0.000</w:t>
            </w:r>
          </w:p>
        </w:tc>
      </w:tr>
      <w:tr>
        <w:tc>
          <w:tcPr>
            <w:tcW w:type="dxa" w:w="1170"/>
          </w:tcPr>
          <w:p>
            <w:r/>
            <w:r>
              <w:rPr>
                <w:rFonts w:ascii="Times New Roman" w:hAnsi="Times New Roman" w:cs="Times New Roman"/>
                <w:b w:val="0"/>
                <w:i w:val="0"/>
                <w:sz w:val="15"/>
              </w:rPr>
              <w:t>MATD3</w:t>
            </w:r>
          </w:p>
        </w:tc>
        <w:tc>
          <w:tcPr>
            <w:tcW w:type="dxa" w:w="1170"/>
          </w:tcPr>
          <w:p>
            <w:r/>
            <w:r>
              <w:rPr>
                <w:rFonts w:ascii="Times New Roman" w:hAnsi="Times New Roman" w:cs="Times New Roman"/>
                <w:b w:val="0"/>
                <w:i w:val="0"/>
                <w:sz w:val="15"/>
              </w:rPr>
              <w:t>E2</w:t>
            </w:r>
          </w:p>
        </w:tc>
        <w:tc>
          <w:tcPr>
            <w:tcW w:type="dxa" w:w="1170"/>
          </w:tcPr>
          <w:p>
            <w:r/>
            <w:r>
              <w:rPr>
                <w:rFonts w:ascii="Times New Roman" w:hAnsi="Times New Roman" w:cs="Times New Roman"/>
                <w:b w:val="0"/>
                <w:i w:val="0"/>
                <w:sz w:val="15"/>
              </w:rPr>
              <w:t>OE.2</w:t>
            </w:r>
          </w:p>
        </w:tc>
        <w:tc>
          <w:tcPr>
            <w:tcW w:type="dxa" w:w="1170"/>
          </w:tcPr>
          <w:p>
            <w:r/>
            <w:r>
              <w:rPr>
                <w:rFonts w:ascii="Times New Roman" w:hAnsi="Times New Roman" w:cs="Times New Roman"/>
                <w:b w:val="0"/>
                <w:i w:val="0"/>
                <w:sz w:val="15"/>
              </w:rPr>
              <w:t>B12</w:t>
            </w:r>
          </w:p>
        </w:tc>
        <w:tc>
          <w:tcPr>
            <w:tcW w:type="dxa" w:w="1170"/>
          </w:tcPr>
          <w:p>
            <w:r/>
            <w:r>
              <w:rPr>
                <w:rFonts w:ascii="Times New Roman" w:hAnsi="Times New Roman" w:cs="Times New Roman"/>
                <w:b w:val="0"/>
                <w:i w:val="0"/>
                <w:sz w:val="15"/>
              </w:rPr>
              <w:t>SEGURO SOCIAL DE SALUD - ESSALUD</w:t>
            </w:r>
          </w:p>
        </w:tc>
        <w:tc>
          <w:tcPr>
            <w:tcW w:type="dxa" w:w="1170"/>
          </w:tcPr>
          <w:p>
            <w:r/>
            <w:r>
              <w:rPr>
                <w:rFonts w:ascii="Times New Roman" w:hAnsi="Times New Roman" w:cs="Times New Roman"/>
                <w:b w:val="0"/>
                <w:i w:val="0"/>
                <w:sz w:val="15"/>
              </w:rPr>
              <w:t>2,163</w:t>
            </w:r>
          </w:p>
        </w:tc>
        <w:tc>
          <w:tcPr>
            <w:tcW w:type="dxa" w:w="1170"/>
          </w:tcPr>
          <w:p>
            <w:r/>
            <w:r>
              <w:rPr>
                <w:rFonts w:ascii="Times New Roman" w:hAnsi="Times New Roman" w:cs="Times New Roman"/>
                <w:b w:val="0"/>
                <w:i w:val="0"/>
                <w:sz w:val="15"/>
              </w:rPr>
              <w:t>1,223</w:t>
            </w:r>
          </w:p>
        </w:tc>
        <w:tc>
          <w:tcPr>
            <w:tcW w:type="dxa" w:w="1170"/>
          </w:tcPr>
          <w:p>
            <w:r/>
            <w:r>
              <w:rPr>
                <w:rFonts w:ascii="Times New Roman" w:hAnsi="Times New Roman" w:cs="Times New Roman"/>
                <w:b w:val="0"/>
                <w:i w:val="0"/>
                <w:sz w:val="15"/>
              </w:rPr>
              <w:t>0.000</w:t>
            </w:r>
          </w:p>
        </w:tc>
      </w:tr>
      <w:tr>
        <w:tc>
          <w:tcPr>
            <w:tcW w:type="dxa" w:w="1170"/>
          </w:tcPr>
          <w:p>
            <w:r/>
            <w:r>
              <w:rPr>
                <w:rFonts w:ascii="Times New Roman" w:hAnsi="Times New Roman" w:cs="Times New Roman"/>
                <w:b w:val="0"/>
                <w:i w:val="0"/>
                <w:sz w:val="15"/>
              </w:rPr>
              <w:t>MATD3</w:t>
            </w:r>
          </w:p>
        </w:tc>
        <w:tc>
          <w:tcPr>
            <w:tcW w:type="dxa" w:w="1170"/>
          </w:tcPr>
          <w:p>
            <w:r/>
            <w:r>
              <w:rPr>
                <w:rFonts w:ascii="Times New Roman" w:hAnsi="Times New Roman" w:cs="Times New Roman"/>
                <w:b w:val="0"/>
                <w:i w:val="0"/>
                <w:sz w:val="15"/>
              </w:rPr>
              <w:t>E3</w:t>
            </w:r>
          </w:p>
        </w:tc>
        <w:tc>
          <w:tcPr>
            <w:tcW w:type="dxa" w:w="1170"/>
          </w:tcPr>
          <w:p>
            <w:r/>
            <w:r>
              <w:rPr>
                <w:rFonts w:ascii="Times New Roman" w:hAnsi="Times New Roman" w:cs="Times New Roman"/>
                <w:b w:val="0"/>
                <w:i w:val="0"/>
                <w:sz w:val="15"/>
              </w:rPr>
              <w:t>OE.3</w:t>
            </w:r>
          </w:p>
        </w:tc>
        <w:tc>
          <w:tcPr>
            <w:tcW w:type="dxa" w:w="1170"/>
          </w:tcPr>
          <w:p>
            <w:r/>
            <w:r>
              <w:rPr>
                <w:rFonts w:ascii="Times New Roman" w:hAnsi="Times New Roman" w:cs="Times New Roman"/>
                <w:b w:val="0"/>
                <w:i w:val="0"/>
                <w:sz w:val="15"/>
              </w:rPr>
              <w:t>B12</w:t>
            </w:r>
          </w:p>
        </w:tc>
        <w:tc>
          <w:tcPr>
            <w:tcW w:type="dxa" w:w="1170"/>
          </w:tcPr>
          <w:p>
            <w:r/>
            <w:r>
              <w:rPr>
                <w:rFonts w:ascii="Times New Roman" w:hAnsi="Times New Roman" w:cs="Times New Roman"/>
                <w:b w:val="0"/>
                <w:i w:val="0"/>
                <w:sz w:val="15"/>
              </w:rPr>
              <w:t>SEGURO SOCIAL DE SALUD - ESSALUD</w:t>
            </w:r>
          </w:p>
        </w:tc>
        <w:tc>
          <w:tcPr>
            <w:tcW w:type="dxa" w:w="1170"/>
          </w:tcPr>
          <w:p>
            <w:r/>
            <w:r>
              <w:rPr>
                <w:rFonts w:ascii="Times New Roman" w:hAnsi="Times New Roman" w:cs="Times New Roman"/>
                <w:b w:val="0"/>
                <w:i w:val="0"/>
                <w:sz w:val="15"/>
              </w:rPr>
              <w:t>2,672</w:t>
            </w:r>
          </w:p>
        </w:tc>
        <w:tc>
          <w:tcPr>
            <w:tcW w:type="dxa" w:w="1170"/>
          </w:tcPr>
          <w:p>
            <w:r/>
            <w:r>
              <w:rPr>
                <w:rFonts w:ascii="Times New Roman" w:hAnsi="Times New Roman" w:cs="Times New Roman"/>
                <w:b w:val="0"/>
                <w:i w:val="0"/>
                <w:sz w:val="15"/>
              </w:rPr>
              <w:t>1,223</w:t>
            </w:r>
          </w:p>
        </w:tc>
        <w:tc>
          <w:tcPr>
            <w:tcW w:type="dxa" w:w="1170"/>
          </w:tcPr>
          <w:p>
            <w:r/>
            <w:r>
              <w:rPr>
                <w:rFonts w:ascii="Times New Roman" w:hAnsi="Times New Roman" w:cs="Times New Roman"/>
                <w:b w:val="0"/>
                <w:i w:val="0"/>
                <w:sz w:val="15"/>
              </w:rPr>
              <w:t>0.000</w:t>
            </w:r>
          </w:p>
        </w:tc>
      </w:tr>
      <w:tr>
        <w:tc>
          <w:tcPr>
            <w:tcW w:type="dxa" w:w="1170"/>
          </w:tcPr>
          <w:p>
            <w:r/>
            <w:r>
              <w:rPr>
                <w:rFonts w:ascii="Times New Roman" w:hAnsi="Times New Roman" w:cs="Times New Roman"/>
                <w:b w:val="0"/>
                <w:i w:val="0"/>
                <w:sz w:val="15"/>
              </w:rPr>
              <w:t>MAAC</w:t>
            </w:r>
          </w:p>
        </w:tc>
        <w:tc>
          <w:tcPr>
            <w:tcW w:type="dxa" w:w="1170"/>
          </w:tcPr>
          <w:p>
            <w:r/>
            <w:r>
              <w:rPr>
                <w:rFonts w:ascii="Times New Roman" w:hAnsi="Times New Roman" w:cs="Times New Roman"/>
                <w:b w:val="0"/>
                <w:i w:val="0"/>
                <w:sz w:val="15"/>
              </w:rPr>
              <w:t>E1</w:t>
            </w:r>
          </w:p>
        </w:tc>
        <w:tc>
          <w:tcPr>
            <w:tcW w:type="dxa" w:w="1170"/>
          </w:tcPr>
          <w:p>
            <w:r/>
            <w:r>
              <w:rPr>
                <w:rFonts w:ascii="Times New Roman" w:hAnsi="Times New Roman" w:cs="Times New Roman"/>
                <w:b w:val="0"/>
                <w:i w:val="0"/>
                <w:sz w:val="15"/>
              </w:rPr>
              <w:t>OE.1</w:t>
            </w:r>
          </w:p>
        </w:tc>
        <w:tc>
          <w:tcPr>
            <w:tcW w:type="dxa" w:w="1170"/>
          </w:tcPr>
          <w:p>
            <w:r/>
            <w:r>
              <w:rPr>
                <w:rFonts w:ascii="Times New Roman" w:hAnsi="Times New Roman" w:cs="Times New Roman"/>
                <w:b w:val="0"/>
                <w:i w:val="0"/>
                <w:sz w:val="15"/>
              </w:rPr>
              <w:t>B05</w:t>
            </w:r>
          </w:p>
        </w:tc>
        <w:tc>
          <w:tcPr>
            <w:tcW w:type="dxa" w:w="1170"/>
          </w:tcPr>
          <w:p>
            <w:r/>
            <w:r>
              <w:rPr>
                <w:rFonts w:ascii="Times New Roman" w:hAnsi="Times New Roman" w:cs="Times New Roman"/>
                <w:b w:val="0"/>
                <w:i w:val="0"/>
                <w:sz w:val="15"/>
              </w:rPr>
              <w:t>HOTEL PLAZA S.A.</w:t>
            </w:r>
          </w:p>
        </w:tc>
        <w:tc>
          <w:tcPr>
            <w:tcW w:type="dxa" w:w="1170"/>
          </w:tcPr>
          <w:p>
            <w:r/>
            <w:r>
              <w:rPr>
                <w:rFonts w:ascii="Times New Roman" w:hAnsi="Times New Roman" w:cs="Times New Roman"/>
                <w:b w:val="0"/>
                <w:i w:val="0"/>
                <w:sz w:val="15"/>
              </w:rPr>
              <w:t>-0.0023</w:t>
            </w:r>
          </w:p>
        </w:tc>
        <w:tc>
          <w:tcPr>
            <w:tcW w:type="dxa" w:w="1170"/>
          </w:tcPr>
          <w:p>
            <w:r/>
            <w:r>
              <w:rPr>
                <w:rFonts w:ascii="Times New Roman" w:hAnsi="Times New Roman" w:cs="Times New Roman"/>
                <w:b w:val="0"/>
                <w:i w:val="0"/>
                <w:sz w:val="15"/>
              </w:rPr>
              <w:t>4,820</w:t>
            </w:r>
          </w:p>
        </w:tc>
        <w:tc>
          <w:tcPr>
            <w:tcW w:type="dxa" w:w="1170"/>
          </w:tcPr>
          <w:p>
            <w:r/>
            <w:r>
              <w:rPr>
                <w:rFonts w:ascii="Times New Roman" w:hAnsi="Times New Roman" w:cs="Times New Roman"/>
                <w:b w:val="0"/>
                <w:i w:val="0"/>
                <w:sz w:val="15"/>
              </w:rPr>
              <w:t>0.050</w:t>
            </w:r>
          </w:p>
        </w:tc>
      </w:tr>
      <w:tr>
        <w:tc>
          <w:tcPr>
            <w:tcW w:type="dxa" w:w="1170"/>
          </w:tcPr>
          <w:p>
            <w:r/>
            <w:r>
              <w:rPr>
                <w:rFonts w:ascii="Times New Roman" w:hAnsi="Times New Roman" w:cs="Times New Roman"/>
                <w:b w:val="0"/>
                <w:i w:val="0"/>
                <w:sz w:val="15"/>
              </w:rPr>
              <w:t>MAAC</w:t>
            </w:r>
          </w:p>
        </w:tc>
        <w:tc>
          <w:tcPr>
            <w:tcW w:type="dxa" w:w="1170"/>
          </w:tcPr>
          <w:p>
            <w:r/>
            <w:r>
              <w:rPr>
                <w:rFonts w:ascii="Times New Roman" w:hAnsi="Times New Roman" w:cs="Times New Roman"/>
                <w:b w:val="0"/>
                <w:i w:val="0"/>
                <w:sz w:val="15"/>
              </w:rPr>
              <w:t>E2</w:t>
            </w:r>
          </w:p>
        </w:tc>
        <w:tc>
          <w:tcPr>
            <w:tcW w:type="dxa" w:w="1170"/>
          </w:tcPr>
          <w:p>
            <w:r/>
            <w:r>
              <w:rPr>
                <w:rFonts w:ascii="Times New Roman" w:hAnsi="Times New Roman" w:cs="Times New Roman"/>
                <w:b w:val="0"/>
                <w:i w:val="0"/>
                <w:sz w:val="15"/>
              </w:rPr>
              <w:t>OE.2</w:t>
            </w:r>
          </w:p>
        </w:tc>
        <w:tc>
          <w:tcPr>
            <w:tcW w:type="dxa" w:w="1170"/>
          </w:tcPr>
          <w:p>
            <w:r/>
            <w:r>
              <w:rPr>
                <w:rFonts w:ascii="Times New Roman" w:hAnsi="Times New Roman" w:cs="Times New Roman"/>
                <w:b w:val="0"/>
                <w:i w:val="0"/>
                <w:sz w:val="15"/>
              </w:rPr>
              <w:t>B02</w:t>
            </w:r>
          </w:p>
        </w:tc>
        <w:tc>
          <w:tcPr>
            <w:tcW w:type="dxa" w:w="1170"/>
          </w:tcPr>
          <w:p>
            <w:r/>
            <w:r>
              <w:rPr>
                <w:rFonts w:ascii="Times New Roman" w:hAnsi="Times New Roman" w:cs="Times New Roman"/>
                <w:b w:val="0"/>
                <w:i w:val="0"/>
                <w:sz w:val="15"/>
              </w:rPr>
              <w:t xml:space="preserve">MUNICIPALIDAD DISTRITAL DE SAN JUAN </w:t>
            </w:r>
          </w:p>
        </w:tc>
        <w:tc>
          <w:tcPr>
            <w:tcW w:type="dxa" w:w="1170"/>
          </w:tcPr>
          <w:p>
            <w:r/>
            <w:r>
              <w:rPr>
                <w:rFonts w:ascii="Times New Roman" w:hAnsi="Times New Roman" w:cs="Times New Roman"/>
                <w:b w:val="0"/>
                <w:i w:val="0"/>
                <w:sz w:val="15"/>
              </w:rPr>
              <w:t>-715</w:t>
            </w:r>
          </w:p>
        </w:tc>
        <w:tc>
          <w:tcPr>
            <w:tcW w:type="dxa" w:w="1170"/>
          </w:tcPr>
          <w:p>
            <w:r/>
            <w:r>
              <w:rPr>
                <w:rFonts w:ascii="Times New Roman" w:hAnsi="Times New Roman" w:cs="Times New Roman"/>
                <w:b w:val="0"/>
                <w:i w:val="0"/>
                <w:sz w:val="15"/>
              </w:rPr>
              <w:t>3,220</w:t>
            </w:r>
          </w:p>
        </w:tc>
        <w:tc>
          <w:tcPr>
            <w:tcW w:type="dxa" w:w="1170"/>
          </w:tcPr>
          <w:p>
            <w:r/>
            <w:r>
              <w:rPr>
                <w:rFonts w:ascii="Times New Roman" w:hAnsi="Times New Roman" w:cs="Times New Roman"/>
                <w:b w:val="0"/>
                <w:i w:val="0"/>
                <w:sz w:val="15"/>
              </w:rPr>
              <w:t>0.017</w:t>
            </w:r>
          </w:p>
        </w:tc>
      </w:tr>
      <w:tr>
        <w:tc>
          <w:tcPr>
            <w:tcW w:type="dxa" w:w="1170"/>
          </w:tcPr>
          <w:p>
            <w:r/>
            <w:r>
              <w:rPr>
                <w:rFonts w:ascii="Times New Roman" w:hAnsi="Times New Roman" w:cs="Times New Roman"/>
                <w:b w:val="0"/>
                <w:i w:val="0"/>
                <w:sz w:val="15"/>
              </w:rPr>
              <w:t>MAAC</w:t>
            </w:r>
          </w:p>
        </w:tc>
        <w:tc>
          <w:tcPr>
            <w:tcW w:type="dxa" w:w="1170"/>
          </w:tcPr>
          <w:p>
            <w:r/>
            <w:r>
              <w:rPr>
                <w:rFonts w:ascii="Times New Roman" w:hAnsi="Times New Roman" w:cs="Times New Roman"/>
                <w:b w:val="0"/>
                <w:i w:val="0"/>
                <w:sz w:val="15"/>
              </w:rPr>
              <w:t>E3</w:t>
            </w:r>
          </w:p>
        </w:tc>
        <w:tc>
          <w:tcPr>
            <w:tcW w:type="dxa" w:w="1170"/>
          </w:tcPr>
          <w:p>
            <w:r/>
            <w:r>
              <w:rPr>
                <w:rFonts w:ascii="Times New Roman" w:hAnsi="Times New Roman" w:cs="Times New Roman"/>
                <w:b w:val="0"/>
                <w:i w:val="0"/>
                <w:sz w:val="15"/>
              </w:rPr>
              <w:t>OE.3</w:t>
            </w:r>
          </w:p>
        </w:tc>
        <w:tc>
          <w:tcPr>
            <w:tcW w:type="dxa" w:w="1170"/>
          </w:tcPr>
          <w:p>
            <w:r/>
            <w:r>
              <w:rPr>
                <w:rFonts w:ascii="Times New Roman" w:hAnsi="Times New Roman" w:cs="Times New Roman"/>
                <w:b w:val="0"/>
                <w:i w:val="0"/>
                <w:sz w:val="15"/>
              </w:rPr>
              <w:t>B14</w:t>
            </w:r>
          </w:p>
        </w:tc>
        <w:tc>
          <w:tcPr>
            <w:tcW w:type="dxa" w:w="1170"/>
          </w:tcPr>
          <w:p>
            <w:r/>
            <w:r>
              <w:rPr>
                <w:rFonts w:ascii="Times New Roman" w:hAnsi="Times New Roman" w:cs="Times New Roman"/>
                <w:b w:val="0"/>
                <w:i w:val="0"/>
                <w:sz w:val="15"/>
              </w:rPr>
              <w:t>AUTORIDAD PORTUARIA NACIONAL</w:t>
            </w:r>
          </w:p>
        </w:tc>
        <w:tc>
          <w:tcPr>
            <w:tcW w:type="dxa" w:w="1170"/>
          </w:tcPr>
          <w:p>
            <w:r/>
            <w:r>
              <w:rPr>
                <w:rFonts w:ascii="Times New Roman" w:hAnsi="Times New Roman" w:cs="Times New Roman"/>
                <w:b w:val="0"/>
                <w:i w:val="0"/>
                <w:sz w:val="15"/>
              </w:rPr>
              <w:t>684</w:t>
            </w:r>
          </w:p>
        </w:tc>
        <w:tc>
          <w:tcPr>
            <w:tcW w:type="dxa" w:w="1170"/>
          </w:tcPr>
          <w:p>
            <w:r/>
            <w:r>
              <w:rPr>
                <w:rFonts w:ascii="Times New Roman" w:hAnsi="Times New Roman" w:cs="Times New Roman"/>
                <w:b w:val="0"/>
                <w:i w:val="0"/>
                <w:sz w:val="15"/>
              </w:rPr>
              <w:t>6,435</w:t>
            </w:r>
          </w:p>
        </w:tc>
        <w:tc>
          <w:tcPr>
            <w:tcW w:type="dxa" w:w="1170"/>
          </w:tcPr>
          <w:p>
            <w:r/>
            <w:r>
              <w:rPr>
                <w:rFonts w:ascii="Times New Roman" w:hAnsi="Times New Roman" w:cs="Times New Roman"/>
                <w:b w:val="0"/>
                <w:i w:val="0"/>
                <w:sz w:val="15"/>
              </w:rPr>
              <w:t>0.010</w:t>
            </w:r>
          </w:p>
        </w:tc>
      </w:tr>
    </w:tbl>
    <w:p>
      <w:r>
        <w:rPr>
          <w:rFonts w:ascii="Times New Roman" w:hAnsi="Times New Roman" w:cs="Times New Roman"/>
          <w:b w:val="0"/>
          <w:i/>
          <w:sz w:val="20"/>
        </w:rPr>
        <w:t>Nota. OE.1: flex_gain_vs_baseline; OE.2: co2_reduction_kgco2; OE.3: cost_reduction_eur. Valores negativos en reducción indican menor empeoramiento (sin reducción neta). Control de recursos: BESS throughput y éxito EV desde evaluate_v2 / behavior summary.</w:t>
      </w:r>
    </w:p>
    <w:p>
      <w:r>
        <w:rPr>
          <w:rFonts w:ascii="Times New Roman" w:hAnsi="Times New Roman" w:cs="Times New Roman"/>
          <w:b w:val="0"/>
          <w:i w:val="0"/>
          <w:sz w:val="24"/>
        </w:rPr>
        <w:t>En la referencia MATD3, el mejor edificio en flexibilidad (E1) es B14 (Autoridad Portuaria Nacional); en CO₂ (E2) y costo (E3) es B12 (EsSalud). A nivel distrito, MATD3 lidera E1 y E2; MAAC lidera E3. El comportamiento no se resume solo en un score: las figuras siguientes exponen el ranking completo de los 17 edificios y el control de recursos (BESS/EV).</w:t>
      </w:r>
    </w:p>
    <w:p>
      <w:pPr>
        <w:jc w:val="center"/>
      </w:pPr>
      <w:r>
        <w:drawing>
          <wp:inline xmlns:a="http://schemas.openxmlformats.org/drawingml/2006/main" xmlns:pic="http://schemas.openxmlformats.org/drawingml/2006/picture">
            <wp:extent cx="5040000" cy="1620000"/>
            <wp:docPr id="45" name="Picture 45"/>
            <wp:cNvGraphicFramePr>
              <a:graphicFrameLocks noChangeAspect="1"/>
            </wp:cNvGraphicFramePr>
            <a:graphic>
              <a:graphicData uri="http://schemas.openxmlformats.org/drawingml/2006/picture">
                <pic:pic>
                  <pic:nvPicPr>
                    <pic:cNvPr id="0" name="district_kpis_4madrl.png"/>
                    <pic:cNvPicPr/>
                  </pic:nvPicPr>
                  <pic:blipFill>
                    <a:blip r:embed="rId71"/>
                    <a:stretch>
                      <a:fillRect/>
                    </a:stretch>
                  </pic:blipFill>
                  <pic:spPr>
                    <a:xfrm>
                      <a:off x="0" y="0"/>
                      <a:ext cx="5040000" cy="1620000"/>
                    </a:xfrm>
                    <a:prstGeom prst="rect"/>
                  </pic:spPr>
                </pic:pic>
              </a:graphicData>
            </a:graphic>
          </wp:inline>
        </w:drawing>
      </w:r>
    </w:p>
    <w:p>
      <w:pPr>
        <w:jc w:val="center"/>
      </w:pPr>
      <w:r>
        <w:rPr>
          <w:rFonts w:ascii="Times New Roman" w:hAnsi="Times New Roman" w:cs="Times New Roman"/>
          <w:b w:val="0"/>
          <w:i/>
          <w:color w:val="555555"/>
          <w:sz w:val="18"/>
        </w:rPr>
        <w:t>Figura 5.4.5a. KPIs de distrito (4 MADRL × 50 episodios Drive).</w:t>
      </w:r>
    </w:p>
    <w:p>
      <w:pPr>
        <w:jc w:val="center"/>
      </w:pPr>
      <w:r>
        <w:drawing>
          <wp:inline xmlns:a="http://schemas.openxmlformats.org/drawingml/2006/main" xmlns:pic="http://schemas.openxmlformats.org/drawingml/2006/picture">
            <wp:extent cx="5040000" cy="2100000"/>
            <wp:docPr id="46" name="Picture 46"/>
            <wp:cNvGraphicFramePr>
              <a:graphicFrameLocks noChangeAspect="1"/>
            </wp:cNvGraphicFramePr>
            <a:graphic>
              <a:graphicData uri="http://schemas.openxmlformats.org/drawingml/2006/picture">
                <pic:pic>
                  <pic:nvPicPr>
                    <pic:cNvPr id="0" name="building_rank_MATD3_E1_flex.png"/>
                    <pic:cNvPicPr/>
                  </pic:nvPicPr>
                  <pic:blipFill>
                    <a:blip r:embed="rId72"/>
                    <a:stretch>
                      <a:fillRect/>
                    </a:stretch>
                  </pic:blipFill>
                  <pic:spPr>
                    <a:xfrm>
                      <a:off x="0" y="0"/>
                      <a:ext cx="5040000" cy="2100000"/>
                    </a:xfrm>
                    <a:prstGeom prst="rect"/>
                  </pic:spPr>
                </pic:pic>
              </a:graphicData>
            </a:graphic>
          </wp:inline>
        </w:drawing>
      </w:r>
    </w:p>
    <w:p>
      <w:pPr>
        <w:jc w:val="center"/>
      </w:pPr>
      <w:r>
        <w:rPr>
          <w:rFonts w:ascii="Times New Roman" w:hAnsi="Times New Roman" w:cs="Times New Roman"/>
          <w:b w:val="0"/>
          <w:i/>
          <w:color w:val="555555"/>
          <w:sz w:val="18"/>
        </w:rPr>
        <w:t>Figura 5.4.5b. Ranking por edificio OE.1 flexibilidad — MATD3/E1.</w:t>
      </w:r>
    </w:p>
    <w:p>
      <w:pPr>
        <w:jc w:val="center"/>
      </w:pPr>
      <w:r>
        <w:drawing>
          <wp:inline xmlns:a="http://schemas.openxmlformats.org/drawingml/2006/main" xmlns:pic="http://schemas.openxmlformats.org/drawingml/2006/picture">
            <wp:extent cx="5040000" cy="2100000"/>
            <wp:docPr id="47" name="Picture 47"/>
            <wp:cNvGraphicFramePr>
              <a:graphicFrameLocks noChangeAspect="1"/>
            </wp:cNvGraphicFramePr>
            <a:graphic>
              <a:graphicData uri="http://schemas.openxmlformats.org/drawingml/2006/picture">
                <pic:pic>
                  <pic:nvPicPr>
                    <pic:cNvPr id="0" name="building_rank_MATD3_E2_co2.png"/>
                    <pic:cNvPicPr/>
                  </pic:nvPicPr>
                  <pic:blipFill>
                    <a:blip r:embed="rId73"/>
                    <a:stretch>
                      <a:fillRect/>
                    </a:stretch>
                  </pic:blipFill>
                  <pic:spPr>
                    <a:xfrm>
                      <a:off x="0" y="0"/>
                      <a:ext cx="5040000" cy="2100000"/>
                    </a:xfrm>
                    <a:prstGeom prst="rect"/>
                  </pic:spPr>
                </pic:pic>
              </a:graphicData>
            </a:graphic>
          </wp:inline>
        </w:drawing>
      </w:r>
    </w:p>
    <w:p>
      <w:pPr>
        <w:jc w:val="center"/>
      </w:pPr>
      <w:r>
        <w:rPr>
          <w:rFonts w:ascii="Times New Roman" w:hAnsi="Times New Roman" w:cs="Times New Roman"/>
          <w:b w:val="0"/>
          <w:i/>
          <w:color w:val="555555"/>
          <w:sz w:val="18"/>
        </w:rPr>
        <w:t>Figura 5.4.5c. Ranking por edificio OE.2 reducción CO₂ — MATD3/E2.</w:t>
      </w:r>
    </w:p>
    <w:p>
      <w:pPr>
        <w:jc w:val="center"/>
      </w:pPr>
      <w:r>
        <w:drawing>
          <wp:inline xmlns:a="http://schemas.openxmlformats.org/drawingml/2006/main" xmlns:pic="http://schemas.openxmlformats.org/drawingml/2006/picture">
            <wp:extent cx="5040000" cy="2100000"/>
            <wp:docPr id="48" name="Picture 48"/>
            <wp:cNvGraphicFramePr>
              <a:graphicFrameLocks noChangeAspect="1"/>
            </wp:cNvGraphicFramePr>
            <a:graphic>
              <a:graphicData uri="http://schemas.openxmlformats.org/drawingml/2006/picture">
                <pic:pic>
                  <pic:nvPicPr>
                    <pic:cNvPr id="0" name="building_rank_MATD3_E3_cost.png"/>
                    <pic:cNvPicPr/>
                  </pic:nvPicPr>
                  <pic:blipFill>
                    <a:blip r:embed="rId74"/>
                    <a:stretch>
                      <a:fillRect/>
                    </a:stretch>
                  </pic:blipFill>
                  <pic:spPr>
                    <a:xfrm>
                      <a:off x="0" y="0"/>
                      <a:ext cx="5040000" cy="2100000"/>
                    </a:xfrm>
                    <a:prstGeom prst="rect"/>
                  </pic:spPr>
                </pic:pic>
              </a:graphicData>
            </a:graphic>
          </wp:inline>
        </w:drawing>
      </w:r>
    </w:p>
    <w:p>
      <w:pPr>
        <w:jc w:val="center"/>
      </w:pPr>
      <w:r>
        <w:rPr>
          <w:rFonts w:ascii="Times New Roman" w:hAnsi="Times New Roman" w:cs="Times New Roman"/>
          <w:b w:val="0"/>
          <w:i/>
          <w:color w:val="555555"/>
          <w:sz w:val="18"/>
        </w:rPr>
        <w:t>Figura 5.4.5d. Ranking por edificio OE.3 reducción costo — MATD3/E3.</w:t>
      </w:r>
    </w:p>
    <w:p>
      <w:pPr>
        <w:jc w:val="center"/>
      </w:pPr>
      <w:r>
        <w:drawing>
          <wp:inline xmlns:a="http://schemas.openxmlformats.org/drawingml/2006/main" xmlns:pic="http://schemas.openxmlformats.org/drawingml/2006/picture">
            <wp:extent cx="5040000" cy="1938462"/>
            <wp:docPr id="49" name="Picture 49"/>
            <wp:cNvGraphicFramePr>
              <a:graphicFrameLocks noChangeAspect="1"/>
            </wp:cNvGraphicFramePr>
            <a:graphic>
              <a:graphicData uri="http://schemas.openxmlformats.org/drawingml/2006/picture">
                <pic:pic>
                  <pic:nvPicPr>
                    <pic:cNvPr id="0" name="building_resource_control_matd3_e1.png"/>
                    <pic:cNvPicPr/>
                  </pic:nvPicPr>
                  <pic:blipFill>
                    <a:blip r:embed="rId75"/>
                    <a:stretch>
                      <a:fillRect/>
                    </a:stretch>
                  </pic:blipFill>
                  <pic:spPr>
                    <a:xfrm>
                      <a:off x="0" y="0"/>
                      <a:ext cx="5040000" cy="1938462"/>
                    </a:xfrm>
                    <a:prstGeom prst="rect"/>
                  </pic:spPr>
                </pic:pic>
              </a:graphicData>
            </a:graphic>
          </wp:inline>
        </w:drawing>
      </w:r>
    </w:p>
    <w:p>
      <w:pPr>
        <w:jc w:val="center"/>
      </w:pPr>
      <w:r>
        <w:rPr>
          <w:rFonts w:ascii="Times New Roman" w:hAnsi="Times New Roman" w:cs="Times New Roman"/>
          <w:b w:val="0"/>
          <w:i/>
          <w:color w:val="555555"/>
          <w:sz w:val="18"/>
        </w:rPr>
        <w:t>Figura 5.4.5e. Control de recursos por edificio (BESS/EV) — MATD3/E1.</w:t>
      </w:r>
    </w:p>
    <w:p>
      <w:r>
        <w:rPr>
          <w:rFonts w:ascii="Times New Roman" w:hAnsi="Times New Roman" w:cs="Times New Roman"/>
          <w:b w:val="0"/>
          <w:i/>
          <w:color w:val="555555"/>
          <w:sz w:val="18"/>
        </w:rPr>
        <w:t>Nota. Sección descriptiva; no sustituye §5.3 ni §5.5. Artefactos: outputs/.../multiobjetivo/kpi_rankings_drive50/.</w:t>
      </w:r>
    </w:p>
    <w:p>
      <w:pPr>
        <w:pStyle w:val="Heading2"/>
      </w:pPr>
      <w:r>
        <w:t>5.5 Contrastacion de hipotesis</w:t>
      </w:r>
    </w:p>
    <w:p>
      <w:pPr>
        <w:jc w:val="both"/>
      </w:pPr>
      <w:r>
        <w:rPr>
          <w:b w:val="0"/>
          <w:i w:val="0"/>
        </w:rPr>
        <w:t>Cuarto acapite. Contrastacion formal H0/H1 con textos exactos del Cap. 1. Primero la hipotesis general (nula y alternativa); luego las hipotesis especificas nulas y alternativas de forma independiente por objetivo (OE.1, OE.2, OE.3). Unidad de decision = KPI-gains de 50 ep Drive. La demostracion exige C1–C5 (§5.1.1), incluido control de recursos.</w:t>
      </w:r>
    </w:p>
    <w:p>
      <w:pPr>
        <w:jc w:val="both"/>
      </w:pPr>
      <w:r>
        <w:rPr>
          <w:rFonts w:ascii="Times New Roman" w:hAnsi="Times New Roman" w:cs="Times New Roman"/>
          <w:b w:val="0"/>
          <w:sz w:val="24"/>
        </w:rPr>
        <w:t>Protocolo: (1) Shapiro-Wilk; si se rechaza normalidad, solo no parametrico; (2) omnibus KW/Friedman + post hoc Holm (C1–C2); (3) HE alternativas requieren impacto significativo y diferencias entre algoritmos; (4) evidencia C3–C5 (distrito, edificio, control de recursos) documenta atribuibilidad; (5) TOPSIS/4/4/best_madrl son medidas formales adicionales que refuerzan el juicio multiobjetivo de OG/OE/HE junto a KPI-gains (sin sustituir el omnibus).</w:t>
      </w:r>
    </w:p>
    <w:p>
      <w:pPr>
        <w:pStyle w:val="Heading3"/>
      </w:pPr>
      <w:r>
        <w:t>5.5.1 Hipotesis general (H0G / H1G)</w:t>
      </w:r>
    </w:p>
    <w:p>
      <w:pPr>
        <w:jc w:val="both"/>
      </w:pPr>
      <w:r>
        <w:rPr>
          <w:b w:val="0"/>
          <w:i w:val="0"/>
        </w:rPr>
        <w:t>Formulacion nula (texto exacto Cap. 1):</w:t>
      </w:r>
    </w:p>
    <w:p>
      <w:pPr>
        <w:jc w:val="both"/>
      </w:pPr>
      <w:r>
        <w:rPr>
          <w:b w:val="0"/>
          <w:i w:val="0"/>
        </w:rPr>
        <w:t>H0G.-El algoritmo MADRL no impacta de manera estadísticamente significativa y diferenciada en la gestión coordinada de la flexibilidad energética, las emisiones de CO₂ y los costos energéticos en comunidades inteligentes de la ciudad de Iquitos, y no existen diferencias significativas en el desempeño global de los algoritmos.</w:t>
      </w:r>
    </w:p>
    <w:p>
      <w:pPr>
        <w:jc w:val="both"/>
      </w:pPr>
      <w:r>
        <w:rPr>
          <w:b w:val="0"/>
          <w:i w:val="0"/>
        </w:rPr>
        <w:t>Formulacion alternativa (texto exacto Cap. 1):</w:t>
      </w:r>
    </w:p>
    <w:p>
      <w:pPr>
        <w:jc w:val="both"/>
      </w:pPr>
      <w:r>
        <w:rPr>
          <w:b w:val="0"/>
          <w:i w:val="0"/>
        </w:rPr>
        <w:t>H1G.- El algoritmo MADRL impacta de manera estadísticamente significativa y diferenciada en la gestión coordinada de la flexibilidad energética, las emisiones de CO₂ y los costos energéticos en comunidades inteligentes de la ciudad de Iquitos, y el desempeño global difiere entre los algoritmos.</w:t>
      </w:r>
    </w:p>
    <w:p>
      <w:r>
        <w:rPr>
          <w:b/>
          <w:color w:val="595959"/>
          <w:sz w:val="19"/>
        </w:rPr>
        <w:t>Tabla 5.5.1. Contrastacion independiente de la hipotesis general.</w:t>
      </w:r>
    </w:p>
    <w:tbl>
      <w:tblPr>
        <w:tblStyle w:val="LightGrid-Accent1"/>
        <w:tblW w:type="auto" w:w="0"/>
        <w:jc w:val="center"/>
        <w:tblLook w:firstColumn="1" w:firstRow="1" w:lastColumn="0" w:lastRow="0" w:noHBand="0" w:noVBand="1" w:val="04A0"/>
      </w:tblPr>
      <w:tblGrid>
        <w:gridCol w:w="3041"/>
        <w:gridCol w:w="3041"/>
        <w:gridCol w:w="3041"/>
      </w:tblGrid>
      <w:tr>
        <w:tc>
          <w:tcPr>
            <w:tcW w:type="dxa" w:w="1134"/>
            <w:shd w:val="clear" w:color="auto" w:fill="1F4E79"/>
          </w:tcPr>
          <w:p>
            <w:r/>
            <w:r>
              <w:rPr>
                <w:b/>
                <w:color w:val="FFFFFF"/>
                <w:sz w:val="18"/>
              </w:rPr>
              <w:t>Hipotesis</w:t>
            </w:r>
          </w:p>
        </w:tc>
        <w:tc>
          <w:tcPr>
            <w:tcW w:type="dxa" w:w="2835"/>
            <w:shd w:val="clear" w:color="auto" w:fill="1F4E79"/>
          </w:tcPr>
          <w:p>
            <w:r/>
            <w:r>
              <w:rPr>
                <w:b/>
                <w:color w:val="FFFFFF"/>
                <w:sz w:val="18"/>
              </w:rPr>
              <w:t>Decision</w:t>
            </w:r>
          </w:p>
        </w:tc>
        <w:tc>
          <w:tcPr>
            <w:tcW w:type="dxa" w:w="3402"/>
            <w:shd w:val="clear" w:color="auto" w:fill="1F4E79"/>
          </w:tcPr>
          <w:p>
            <w:r/>
            <w:r>
              <w:rPr>
                <w:b/>
                <w:color w:val="FFFFFF"/>
                <w:sz w:val="18"/>
              </w:rPr>
              <w:t>Fundamento (KPI-gains 50 ep Drive)</w:t>
            </w:r>
          </w:p>
        </w:tc>
      </w:tr>
      <w:tr>
        <w:tc>
          <w:tcPr>
            <w:tcW w:type="dxa" w:w="1134"/>
          </w:tcPr>
          <w:p>
            <w:r/>
            <w:r>
              <w:rPr>
                <w:sz w:val="18"/>
              </w:rPr>
              <w:t>H0G</w:t>
            </w:r>
          </w:p>
        </w:tc>
        <w:tc>
          <w:tcPr>
            <w:tcW w:type="dxa" w:w="2835"/>
          </w:tcPr>
          <w:p>
            <w:r/>
            <w:r>
              <w:rPr>
                <w:sz w:val="18"/>
              </w:rPr>
              <w:t>Se rechaza de forma exploratoria</w:t>
            </w:r>
          </w:p>
        </w:tc>
        <w:tc>
          <w:tcPr>
            <w:tcW w:type="dxa" w:w="3402"/>
          </w:tcPr>
          <w:p>
            <w:r/>
            <w:r>
              <w:rPr>
                <w:sz w:val="18"/>
              </w:rPr>
              <w:t>Friedman integracion p = 0,0096 + impacto GLOBAL vs baseline (Holm)</w:t>
            </w:r>
          </w:p>
        </w:tc>
      </w:tr>
      <w:tr>
        <w:tc>
          <w:tcPr>
            <w:tcW w:type="dxa" w:w="1134"/>
          </w:tcPr>
          <w:p>
            <w:r/>
            <w:r>
              <w:rPr>
                <w:sz w:val="18"/>
              </w:rPr>
              <w:t>H1G</w:t>
            </w:r>
          </w:p>
        </w:tc>
        <w:tc>
          <w:tcPr>
            <w:tcW w:type="dxa" w:w="2835"/>
          </w:tcPr>
          <w:p>
            <w:r/>
            <w:r>
              <w:rPr>
                <w:sz w:val="18"/>
              </w:rPr>
              <w:t>Se respalda de forma exploratoria (sin ganador unico; impacto agregado desfavorable)</w:t>
            </w:r>
          </w:p>
        </w:tc>
        <w:tc>
          <w:tcPr>
            <w:tcW w:type="dxa" w:w="3402"/>
          </w:tcPr>
          <w:p>
            <w:r/>
            <w:r>
              <w:rPr>
                <w:sz w:val="18"/>
              </w:rPr>
              <w:t>No implica HE11∧HE21∧HE31; trade-off MATD3/MAAC</w:t>
            </w:r>
          </w:p>
        </w:tc>
      </w:tr>
    </w:tbl>
    <w:p/>
    <w:p>
      <w:pPr>
        <w:pStyle w:val="Heading3"/>
      </w:pPr>
      <w:r>
        <w:t>5.5.2 Hipotesis especificas OE.1 (HE10 / HE11)</w:t>
      </w:r>
    </w:p>
    <w:p>
      <w:pPr>
        <w:jc w:val="both"/>
      </w:pPr>
      <w:r>
        <w:rPr>
          <w:b w:val="0"/>
          <w:i w:val="0"/>
        </w:rPr>
        <w:t>Formulacion nula (texto exacto Cap. 1):</w:t>
      </w:r>
    </w:p>
    <w:p>
      <w:pPr>
        <w:jc w:val="both"/>
      </w:pPr>
      <w:r>
        <w:rPr>
          <w:b w:val="0"/>
          <w:i w:val="0"/>
        </w:rPr>
        <w:t>HE10.- El algoritmo MADRL no impacta de manera estadísticamente significativa en la flexibilidad energética en comunidades inteligentes de la ciudad de Iquitos, y no existen diferencias significativas entre los algoritmos evaluados en el escenario E1.</w:t>
      </w:r>
    </w:p>
    <w:p>
      <w:pPr>
        <w:jc w:val="both"/>
      </w:pPr>
      <w:r>
        <w:rPr>
          <w:b w:val="0"/>
          <w:i w:val="0"/>
        </w:rPr>
        <w:t>Formulacion alternativa (texto exacto Cap. 1):</w:t>
      </w:r>
    </w:p>
    <w:p>
      <w:pPr>
        <w:jc w:val="both"/>
      </w:pPr>
      <w:r>
        <w:rPr>
          <w:b w:val="0"/>
          <w:i w:val="0"/>
        </w:rPr>
        <w:t>HE11.- El algoritmo MADRL impacta de manera estadísticamente significativa en la flexibilidad energética en comunidades inteligentes de la ciudad de Iquitos, y existen diferencias significativas entre los algoritmos evaluados en el escenario E1.</w:t>
      </w:r>
    </w:p>
    <w:p>
      <w:r>
        <w:rPr>
          <w:b/>
          <w:color w:val="595959"/>
          <w:sz w:val="19"/>
        </w:rPr>
        <w:t>Tabla 5.5.2. Contrastacion independiente OE.1.</w:t>
      </w:r>
    </w:p>
    <w:tbl>
      <w:tblPr>
        <w:tblStyle w:val="LightGrid-Accent1"/>
        <w:tblW w:type="auto" w:w="0"/>
        <w:jc w:val="center"/>
        <w:tblLook w:firstColumn="1" w:firstRow="1" w:lastColumn="0" w:lastRow="0" w:noHBand="0" w:noVBand="1" w:val="04A0"/>
      </w:tblPr>
      <w:tblGrid>
        <w:gridCol w:w="3041"/>
        <w:gridCol w:w="3041"/>
        <w:gridCol w:w="3041"/>
      </w:tblGrid>
      <w:tr>
        <w:tc>
          <w:tcPr>
            <w:tcW w:type="dxa" w:w="1134"/>
            <w:shd w:val="clear" w:color="auto" w:fill="1F4E79"/>
          </w:tcPr>
          <w:p>
            <w:r/>
            <w:r>
              <w:rPr>
                <w:b/>
                <w:color w:val="FFFFFF"/>
                <w:sz w:val="18"/>
              </w:rPr>
              <w:t>Hipotesis</w:t>
            </w:r>
          </w:p>
        </w:tc>
        <w:tc>
          <w:tcPr>
            <w:tcW w:type="dxa" w:w="2835"/>
            <w:shd w:val="clear" w:color="auto" w:fill="1F4E79"/>
          </w:tcPr>
          <w:p>
            <w:r/>
            <w:r>
              <w:rPr>
                <w:b/>
                <w:color w:val="FFFFFF"/>
                <w:sz w:val="18"/>
              </w:rPr>
              <w:t>Decision</w:t>
            </w:r>
          </w:p>
        </w:tc>
        <w:tc>
          <w:tcPr>
            <w:tcW w:type="dxa" w:w="3402"/>
            <w:shd w:val="clear" w:color="auto" w:fill="1F4E79"/>
          </w:tcPr>
          <w:p>
            <w:r/>
            <w:r>
              <w:rPr>
                <w:b/>
                <w:color w:val="FFFFFF"/>
                <w:sz w:val="18"/>
              </w:rPr>
              <w:t>Fundamento (KPI-gains 50 ep Drive)</w:t>
            </w:r>
          </w:p>
        </w:tc>
      </w:tr>
      <w:tr>
        <w:tc>
          <w:tcPr>
            <w:tcW w:type="dxa" w:w="1134"/>
          </w:tcPr>
          <w:p>
            <w:r/>
            <w:r>
              <w:rPr>
                <w:sz w:val="18"/>
              </w:rPr>
              <w:t>HE10</w:t>
            </w:r>
          </w:p>
        </w:tc>
        <w:tc>
          <w:tcPr>
            <w:tcW w:type="dxa" w:w="2835"/>
          </w:tcPr>
          <w:p>
            <w:r/>
            <w:r>
              <w:rPr>
                <w:sz w:val="18"/>
              </w:rPr>
              <w:t>No se rechaza</w:t>
            </w:r>
          </w:p>
        </w:tc>
        <w:tc>
          <w:tcPr>
            <w:tcW w:type="dxa" w:w="3402"/>
          </w:tcPr>
          <w:p>
            <w:r/>
            <w:r>
              <w:rPr>
                <w:sz w:val="18"/>
              </w:rPr>
              <w:t>KW p = 0,4685</w:t>
            </w:r>
          </w:p>
        </w:tc>
      </w:tr>
      <w:tr>
        <w:tc>
          <w:tcPr>
            <w:tcW w:type="dxa" w:w="1134"/>
          </w:tcPr>
          <w:p>
            <w:r/>
            <w:r>
              <w:rPr>
                <w:sz w:val="18"/>
              </w:rPr>
              <w:t>HE11</w:t>
            </w:r>
          </w:p>
        </w:tc>
        <w:tc>
          <w:tcPr>
            <w:tcW w:type="dxa" w:w="2835"/>
          </w:tcPr>
          <w:p>
            <w:r/>
            <w:r>
              <w:rPr>
                <w:sz w:val="18"/>
              </w:rPr>
              <w:t>No se respalda</w:t>
            </w:r>
          </w:p>
        </w:tc>
        <w:tc>
          <w:tcPr>
            <w:tcW w:type="dxa" w:w="3402"/>
          </w:tcPr>
          <w:p>
            <w:r/>
            <w:r>
              <w:rPr>
                <w:sz w:val="18"/>
              </w:rPr>
              <w:t>Sin conjuncion impacto+diferencias en E1 (KPI-gains)</w:t>
            </w:r>
          </w:p>
        </w:tc>
      </w:tr>
    </w:tbl>
    <w:p/>
    <w:p>
      <w:pPr>
        <w:pStyle w:val="Heading3"/>
      </w:pPr>
      <w:r>
        <w:t>5.5.3 Hipotesis especificas OE.2 (HE20 / HE21)</w:t>
      </w:r>
    </w:p>
    <w:p>
      <w:pPr>
        <w:jc w:val="both"/>
      </w:pPr>
      <w:r>
        <w:rPr>
          <w:b w:val="0"/>
          <w:i w:val="0"/>
        </w:rPr>
        <w:t>Formulacion nula (texto exacto Cap. 1):</w:t>
      </w:r>
    </w:p>
    <w:p>
      <w:pPr>
        <w:jc w:val="both"/>
      </w:pPr>
      <w:r>
        <w:rPr>
          <w:b w:val="0"/>
          <w:i w:val="0"/>
        </w:rPr>
        <w:t>HE20.- El algoritmo MADRL no impacta de manera estadísticamente significativa en las emisiones de CO₂ en comunidades inteligentes de la ciudad de Iquitos, y no existen diferencias significativas entre los algoritmos evaluados en el escenario E2.</w:t>
      </w:r>
    </w:p>
    <w:p>
      <w:pPr>
        <w:jc w:val="both"/>
      </w:pPr>
      <w:r>
        <w:rPr>
          <w:b w:val="0"/>
          <w:i w:val="0"/>
        </w:rPr>
        <w:t>Formulacion alternativa (texto exacto Cap. 1):</w:t>
      </w:r>
    </w:p>
    <w:p>
      <w:pPr>
        <w:jc w:val="both"/>
      </w:pPr>
      <w:r>
        <w:rPr>
          <w:b w:val="0"/>
          <w:i w:val="0"/>
        </w:rPr>
        <w:t>HE21.- El algoritmo MADRL impacta de manera estadísticamente significativa en las emisiones de CO₂ en comunidades inteligentes de la ciudad de Iquitos, y existen diferencias significativas entre los algoritmos evaluados en el escenario E2.</w:t>
      </w:r>
    </w:p>
    <w:p>
      <w:r>
        <w:rPr>
          <w:b/>
          <w:color w:val="595959"/>
          <w:sz w:val="19"/>
        </w:rPr>
        <w:t>Tabla 5.5.3. Contrastacion independiente OE.2.</w:t>
      </w:r>
    </w:p>
    <w:tbl>
      <w:tblPr>
        <w:tblStyle w:val="LightGrid-Accent1"/>
        <w:tblW w:type="auto" w:w="0"/>
        <w:jc w:val="center"/>
        <w:tblLook w:firstColumn="1" w:firstRow="1" w:lastColumn="0" w:lastRow="0" w:noHBand="0" w:noVBand="1" w:val="04A0"/>
      </w:tblPr>
      <w:tblGrid>
        <w:gridCol w:w="3041"/>
        <w:gridCol w:w="3041"/>
        <w:gridCol w:w="3041"/>
      </w:tblGrid>
      <w:tr>
        <w:tc>
          <w:tcPr>
            <w:tcW w:type="dxa" w:w="1134"/>
            <w:shd w:val="clear" w:color="auto" w:fill="1F4E79"/>
          </w:tcPr>
          <w:p>
            <w:r/>
            <w:r>
              <w:rPr>
                <w:b/>
                <w:color w:val="FFFFFF"/>
                <w:sz w:val="18"/>
              </w:rPr>
              <w:t>Hipotesis</w:t>
            </w:r>
          </w:p>
        </w:tc>
        <w:tc>
          <w:tcPr>
            <w:tcW w:type="dxa" w:w="2835"/>
            <w:shd w:val="clear" w:color="auto" w:fill="1F4E79"/>
          </w:tcPr>
          <w:p>
            <w:r/>
            <w:r>
              <w:rPr>
                <w:b/>
                <w:color w:val="FFFFFF"/>
                <w:sz w:val="18"/>
              </w:rPr>
              <w:t>Decision</w:t>
            </w:r>
          </w:p>
        </w:tc>
        <w:tc>
          <w:tcPr>
            <w:tcW w:type="dxa" w:w="3402"/>
            <w:shd w:val="clear" w:color="auto" w:fill="1F4E79"/>
          </w:tcPr>
          <w:p>
            <w:r/>
            <w:r>
              <w:rPr>
                <w:b/>
                <w:color w:val="FFFFFF"/>
                <w:sz w:val="18"/>
              </w:rPr>
              <w:t>Fundamento (KPI-gains 50 ep Drive)</w:t>
            </w:r>
          </w:p>
        </w:tc>
      </w:tr>
      <w:tr>
        <w:tc>
          <w:tcPr>
            <w:tcW w:type="dxa" w:w="1134"/>
          </w:tcPr>
          <w:p>
            <w:r/>
            <w:r>
              <w:rPr>
                <w:sz w:val="18"/>
              </w:rPr>
              <w:t>HE20</w:t>
            </w:r>
          </w:p>
        </w:tc>
        <w:tc>
          <w:tcPr>
            <w:tcW w:type="dxa" w:w="2835"/>
          </w:tcPr>
          <w:p>
            <w:r/>
            <w:r>
              <w:rPr>
                <w:sz w:val="18"/>
              </w:rPr>
              <w:t>No se rechaza</w:t>
            </w:r>
          </w:p>
        </w:tc>
        <w:tc>
          <w:tcPr>
            <w:tcW w:type="dxa" w:w="3402"/>
          </w:tcPr>
          <w:p>
            <w:r/>
            <w:r>
              <w:rPr>
                <w:sz w:val="18"/>
              </w:rPr>
              <w:t>KW p = 0,7648</w:t>
            </w:r>
          </w:p>
        </w:tc>
      </w:tr>
      <w:tr>
        <w:tc>
          <w:tcPr>
            <w:tcW w:type="dxa" w:w="1134"/>
          </w:tcPr>
          <w:p>
            <w:r/>
            <w:r>
              <w:rPr>
                <w:sz w:val="18"/>
              </w:rPr>
              <w:t>HE21</w:t>
            </w:r>
          </w:p>
        </w:tc>
        <w:tc>
          <w:tcPr>
            <w:tcW w:type="dxa" w:w="2835"/>
          </w:tcPr>
          <w:p>
            <w:r/>
            <w:r>
              <w:rPr>
                <w:sz w:val="18"/>
              </w:rPr>
              <w:t>No se respalda</w:t>
            </w:r>
          </w:p>
        </w:tc>
        <w:tc>
          <w:tcPr>
            <w:tcW w:type="dxa" w:w="3402"/>
          </w:tcPr>
          <w:p>
            <w:r/>
            <w:r>
              <w:rPr>
                <w:sz w:val="18"/>
              </w:rPr>
              <w:t>Sin impacto vs cero tras Holm; Friedman marginal; 0/15 KPI mejorados</w:t>
            </w:r>
          </w:p>
        </w:tc>
      </w:tr>
    </w:tbl>
    <w:p/>
    <w:p>
      <w:pPr>
        <w:pStyle w:val="Heading3"/>
      </w:pPr>
      <w:r>
        <w:t>5.5.4 Hipotesis especificas OE.3 (HE30 / HE31)</w:t>
      </w:r>
    </w:p>
    <w:p>
      <w:pPr>
        <w:jc w:val="both"/>
      </w:pPr>
      <w:r>
        <w:rPr>
          <w:b w:val="0"/>
          <w:i w:val="0"/>
        </w:rPr>
        <w:t>Formulacion nula (texto exacto Cap. 1):</w:t>
      </w:r>
    </w:p>
    <w:p>
      <w:pPr>
        <w:jc w:val="both"/>
      </w:pPr>
      <w:r>
        <w:rPr>
          <w:b w:val="0"/>
          <w:i w:val="0"/>
        </w:rPr>
        <w:t>HE30.-El algoritmo MADRL no impacta de manera estadísticamente significativa en los costos energéticos en comunidades inteligentes de la ciudad de Iquitos, y no existen diferencias significativas entre los algoritmos evaluados en el escenario E3.</w:t>
      </w:r>
    </w:p>
    <w:p>
      <w:pPr>
        <w:jc w:val="both"/>
      </w:pPr>
      <w:r>
        <w:rPr>
          <w:b w:val="0"/>
          <w:i w:val="0"/>
        </w:rPr>
        <w:t>Formulacion alternativa (texto exacto Cap. 1):</w:t>
      </w:r>
    </w:p>
    <w:p>
      <w:pPr>
        <w:jc w:val="both"/>
      </w:pPr>
      <w:r>
        <w:rPr>
          <w:b w:val="0"/>
          <w:i w:val="0"/>
        </w:rPr>
        <w:t>HE31.-El algoritmo MADRL impacta de manera estadísticamente significativa en los costos energéticos en comunidades inteligentes de la ciudad de Iquitos, y existen diferencias significativas entre los algoritmos evaluados en el escenario E3.</w:t>
      </w:r>
    </w:p>
    <w:p>
      <w:r>
        <w:rPr>
          <w:b/>
          <w:color w:val="595959"/>
          <w:sz w:val="19"/>
        </w:rPr>
        <w:t>Tabla 5.5.4. Contrastacion independiente OE.3.</w:t>
      </w:r>
    </w:p>
    <w:tbl>
      <w:tblPr>
        <w:tblStyle w:val="LightGrid-Accent1"/>
        <w:tblW w:type="auto" w:w="0"/>
        <w:jc w:val="center"/>
        <w:tblLook w:firstColumn="1" w:firstRow="1" w:lastColumn="0" w:lastRow="0" w:noHBand="0" w:noVBand="1" w:val="04A0"/>
      </w:tblPr>
      <w:tblGrid>
        <w:gridCol w:w="3041"/>
        <w:gridCol w:w="3041"/>
        <w:gridCol w:w="3041"/>
      </w:tblGrid>
      <w:tr>
        <w:tc>
          <w:tcPr>
            <w:tcW w:type="dxa" w:w="1134"/>
            <w:shd w:val="clear" w:color="auto" w:fill="1F4E79"/>
          </w:tcPr>
          <w:p>
            <w:r/>
            <w:r>
              <w:rPr>
                <w:b/>
                <w:color w:val="FFFFFF"/>
                <w:sz w:val="18"/>
              </w:rPr>
              <w:t>Hipotesis</w:t>
            </w:r>
          </w:p>
        </w:tc>
        <w:tc>
          <w:tcPr>
            <w:tcW w:type="dxa" w:w="2835"/>
            <w:shd w:val="clear" w:color="auto" w:fill="1F4E79"/>
          </w:tcPr>
          <w:p>
            <w:r/>
            <w:r>
              <w:rPr>
                <w:b/>
                <w:color w:val="FFFFFF"/>
                <w:sz w:val="18"/>
              </w:rPr>
              <w:t>Decision</w:t>
            </w:r>
          </w:p>
        </w:tc>
        <w:tc>
          <w:tcPr>
            <w:tcW w:type="dxa" w:w="3402"/>
            <w:shd w:val="clear" w:color="auto" w:fill="1F4E79"/>
          </w:tcPr>
          <w:p>
            <w:r/>
            <w:r>
              <w:rPr>
                <w:b/>
                <w:color w:val="FFFFFF"/>
                <w:sz w:val="18"/>
              </w:rPr>
              <w:t>Fundamento (KPI-gains 50 ep Drive)</w:t>
            </w:r>
          </w:p>
        </w:tc>
      </w:tr>
      <w:tr>
        <w:tc>
          <w:tcPr>
            <w:tcW w:type="dxa" w:w="1134"/>
          </w:tcPr>
          <w:p>
            <w:r/>
            <w:r>
              <w:rPr>
                <w:sz w:val="18"/>
              </w:rPr>
              <w:t>HE30</w:t>
            </w:r>
          </w:p>
        </w:tc>
        <w:tc>
          <w:tcPr>
            <w:tcW w:type="dxa" w:w="2835"/>
          </w:tcPr>
          <w:p>
            <w:r/>
            <w:r>
              <w:rPr>
                <w:sz w:val="18"/>
              </w:rPr>
              <w:t>No se rechaza</w:t>
            </w:r>
          </w:p>
        </w:tc>
        <w:tc>
          <w:tcPr>
            <w:tcW w:type="dxa" w:w="3402"/>
          </w:tcPr>
          <w:p>
            <w:r/>
            <w:r>
              <w:rPr>
                <w:sz w:val="18"/>
              </w:rPr>
              <w:t>KW p = 0,7357</w:t>
            </w:r>
          </w:p>
        </w:tc>
      </w:tr>
      <w:tr>
        <w:tc>
          <w:tcPr>
            <w:tcW w:type="dxa" w:w="1134"/>
          </w:tcPr>
          <w:p>
            <w:r/>
            <w:r>
              <w:rPr>
                <w:sz w:val="18"/>
              </w:rPr>
              <w:t>HE31</w:t>
            </w:r>
          </w:p>
        </w:tc>
        <w:tc>
          <w:tcPr>
            <w:tcW w:type="dxa" w:w="2835"/>
          </w:tcPr>
          <w:p>
            <w:r/>
            <w:r>
              <w:rPr>
                <w:sz w:val="18"/>
              </w:rPr>
              <w:t>No se respalda</w:t>
            </w:r>
          </w:p>
        </w:tc>
        <w:tc>
          <w:tcPr>
            <w:tcW w:type="dxa" w:w="3402"/>
          </w:tcPr>
          <w:p>
            <w:r>
              <w:t>KPI-gains E3 sin omnibus ni impacto vs cero tras Holm; TOPSIS (C*≈0,9827) y evaluate_v2 (0,9538) coronan MAAC en multiobjetivo/costos como medida adicional, sin sustituir el omnibus HE31</w:t>
            </w:r>
          </w:p>
        </w:tc>
      </w:tr>
    </w:tbl>
    <w:p/>
    <w:p>
      <w:pPr>
        <w:pStyle w:val="Heading3"/>
      </w:pPr>
      <w:r>
        <w:t>5.5.5 Cumplimiento OG y OE.1–OE.3</w:t>
      </w:r>
    </w:p>
    <w:p>
      <w:r>
        <w:rPr>
          <w:b/>
          <w:color w:val="595959"/>
          <w:sz w:val="19"/>
        </w:rPr>
        <w:t>Tabla 5.5.5. Veredicto de cumplimiento OG y OE.1–OE.3.</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850"/>
            <w:shd w:val="clear" w:color="auto" w:fill="1F4E79"/>
          </w:tcPr>
          <w:p>
            <w:r/>
            <w:r>
              <w:rPr>
                <w:b/>
                <w:color w:val="FFFFFF"/>
                <w:sz w:val="18"/>
              </w:rPr>
              <w:t>Objetivo</w:t>
            </w:r>
          </w:p>
        </w:tc>
        <w:tc>
          <w:tcPr>
            <w:tcW w:type="dxa" w:w="1247"/>
            <w:shd w:val="clear" w:color="auto" w:fill="1F4E79"/>
          </w:tcPr>
          <w:p>
            <w:r/>
            <w:r>
              <w:rPr>
                <w:b/>
                <w:color w:val="FFFFFF"/>
                <w:sz w:val="18"/>
              </w:rPr>
              <w:t>VD / Esc.</w:t>
            </w:r>
          </w:p>
        </w:tc>
        <w:tc>
          <w:tcPr>
            <w:tcW w:type="dxa" w:w="1134"/>
            <w:shd w:val="clear" w:color="auto" w:fill="1F4E79"/>
          </w:tcPr>
          <w:p>
            <w:r/>
            <w:r>
              <w:rPr>
                <w:b/>
                <w:color w:val="FFFFFF"/>
                <w:sz w:val="18"/>
              </w:rPr>
              <w:t>Mayor efecto (VI)</w:t>
            </w:r>
          </w:p>
        </w:tc>
        <w:tc>
          <w:tcPr>
            <w:tcW w:type="dxa" w:w="2551"/>
            <w:shd w:val="clear" w:color="auto" w:fill="1F4E79"/>
          </w:tcPr>
          <w:p>
            <w:r/>
            <w:r>
              <w:rPr>
                <w:b/>
                <w:color w:val="FFFFFF"/>
                <w:sz w:val="18"/>
              </w:rPr>
              <w:t>Evidencia KPI</w:t>
            </w:r>
          </w:p>
        </w:tc>
        <w:tc>
          <w:tcPr>
            <w:tcW w:type="dxa" w:w="2721"/>
            <w:shd w:val="clear" w:color="auto" w:fill="1F4E79"/>
          </w:tcPr>
          <w:p>
            <w:r/>
            <w:r>
              <w:rPr>
                <w:b/>
                <w:color w:val="FFFFFF"/>
                <w:sz w:val="18"/>
              </w:rPr>
              <w:t>Cumplimiento</w:t>
            </w:r>
          </w:p>
        </w:tc>
      </w:tr>
      <w:tr>
        <w:tc>
          <w:tcPr>
            <w:tcW w:type="dxa" w:w="850"/>
          </w:tcPr>
          <w:p>
            <w:r/>
            <w:r>
              <w:rPr>
                <w:sz w:val="18"/>
              </w:rPr>
              <w:t>OE.1</w:t>
            </w:r>
          </w:p>
        </w:tc>
        <w:tc>
          <w:tcPr>
            <w:tcW w:type="dxa" w:w="1247"/>
          </w:tcPr>
          <w:p>
            <w:r/>
            <w:r>
              <w:rPr>
                <w:sz w:val="18"/>
              </w:rPr>
              <w:t>D-VD.1 / E1</w:t>
            </w:r>
          </w:p>
        </w:tc>
        <w:tc>
          <w:tcPr>
            <w:tcW w:type="dxa" w:w="1134"/>
          </w:tcPr>
          <w:p>
            <w:r/>
            <w:r>
              <w:rPr>
                <w:sz w:val="18"/>
              </w:rPr>
              <w:t>MATD3</w:t>
            </w:r>
          </w:p>
        </w:tc>
        <w:tc>
          <w:tcPr>
            <w:tcW w:type="dxa" w:w="2551"/>
          </w:tcPr>
          <w:p>
            <w:r/>
            <w:r>
              <w:rPr>
                <w:sz w:val="18"/>
              </w:rPr>
              <w:t>Flexibilidad compuesta = 1.0009; score = 1.0000</w:t>
            </w:r>
          </w:p>
        </w:tc>
        <w:tc>
          <w:tcPr>
            <w:tcW w:type="dxa" w:w="2721"/>
          </w:tcPr>
          <w:p>
            <w:r/>
            <w:r>
              <w:rPr>
                <w:sz w:val="18"/>
              </w:rPr>
              <w:t>Cumplido descriptivamente; inferencia causal limitada (1 semilla)</w:t>
            </w:r>
          </w:p>
        </w:tc>
      </w:tr>
      <w:tr>
        <w:tc>
          <w:tcPr>
            <w:tcW w:type="dxa" w:w="850"/>
          </w:tcPr>
          <w:p>
            <w:r/>
            <w:r>
              <w:rPr>
                <w:sz w:val="18"/>
              </w:rPr>
              <w:t>OE.2</w:t>
            </w:r>
          </w:p>
        </w:tc>
        <w:tc>
          <w:tcPr>
            <w:tcW w:type="dxa" w:w="1247"/>
          </w:tcPr>
          <w:p>
            <w:r/>
            <w:r>
              <w:rPr>
                <w:sz w:val="18"/>
              </w:rPr>
              <w:t>D-VD.2 / E2</w:t>
            </w:r>
          </w:p>
        </w:tc>
        <w:tc>
          <w:tcPr>
            <w:tcW w:type="dxa" w:w="1134"/>
          </w:tcPr>
          <w:p>
            <w:r/>
            <w:r>
              <w:rPr>
                <w:sz w:val="18"/>
              </w:rPr>
              <w:t>MATD3</w:t>
            </w:r>
          </w:p>
        </w:tc>
        <w:tc>
          <w:tcPr>
            <w:tcW w:type="dxa" w:w="2551"/>
          </w:tcPr>
          <w:p>
            <w:r/>
            <w:r>
              <w:rPr>
                <w:sz w:val="18"/>
              </w:rPr>
              <w:t>Delta CO2 (kg) = 23,070; score = 1.0000</w:t>
            </w:r>
          </w:p>
        </w:tc>
        <w:tc>
          <w:tcPr>
            <w:tcW w:type="dxa" w:w="2721"/>
          </w:tcPr>
          <w:p>
            <w:r/>
            <w:r>
              <w:rPr>
                <w:sz w:val="18"/>
              </w:rPr>
              <w:t>Cumplido descriptivamente; inferencia causal limitada (1 semilla)</w:t>
            </w:r>
          </w:p>
        </w:tc>
      </w:tr>
      <w:tr>
        <w:tc>
          <w:tcPr>
            <w:tcW w:type="dxa" w:w="850"/>
          </w:tcPr>
          <w:p>
            <w:r/>
            <w:r>
              <w:rPr>
                <w:sz w:val="18"/>
              </w:rPr>
              <w:t>OE.3</w:t>
            </w:r>
          </w:p>
        </w:tc>
        <w:tc>
          <w:tcPr>
            <w:tcW w:type="dxa" w:w="1247"/>
          </w:tcPr>
          <w:p>
            <w:r/>
            <w:r>
              <w:rPr>
                <w:sz w:val="18"/>
              </w:rPr>
              <w:t>D-VD.3 / E3</w:t>
            </w:r>
          </w:p>
        </w:tc>
        <w:tc>
          <w:tcPr>
            <w:tcW w:type="dxa" w:w="1134"/>
          </w:tcPr>
          <w:p>
            <w:r/>
            <w:r>
              <w:rPr>
                <w:sz w:val="18"/>
              </w:rPr>
              <w:t>MAAC</w:t>
            </w:r>
          </w:p>
        </w:tc>
        <w:tc>
          <w:tcPr>
            <w:tcW w:type="dxa" w:w="2551"/>
          </w:tcPr>
          <w:p>
            <w:r/>
            <w:r>
              <w:rPr>
                <w:sz w:val="18"/>
              </w:rPr>
              <w:t>Delta costo electrico (EUR) = 9,515; score = 1.0000</w:t>
            </w:r>
          </w:p>
        </w:tc>
        <w:tc>
          <w:tcPr>
            <w:tcW w:type="dxa" w:w="2721"/>
          </w:tcPr>
          <w:p>
            <w:r/>
            <w:r>
              <w:rPr>
                <w:sz w:val="18"/>
              </w:rPr>
              <w:t>Cumplido descriptivamente; inferencia causal limitada (1 semilla)</w:t>
            </w:r>
          </w:p>
        </w:tc>
      </w:tr>
      <w:tr>
        <w:tc>
          <w:tcPr>
            <w:tcW w:type="dxa" w:w="850"/>
          </w:tcPr>
          <w:p>
            <w:r/>
            <w:r>
              <w:rPr>
                <w:sz w:val="18"/>
              </w:rPr>
              <w:t>OG</w:t>
            </w:r>
          </w:p>
        </w:tc>
        <w:tc>
          <w:tcPr>
            <w:tcW w:type="dxa" w:w="1247"/>
          </w:tcPr>
          <w:p>
            <w:r/>
            <w:r>
              <w:rPr>
                <w:sz w:val="18"/>
              </w:rPr>
              <w:t>VD integrada (ALL)</w:t>
            </w:r>
          </w:p>
        </w:tc>
        <w:tc>
          <w:tcPr>
            <w:tcW w:type="dxa" w:w="1134"/>
          </w:tcPr>
          <w:p>
            <w:r/>
            <w:r>
              <w:rPr>
                <w:sz w:val="18"/>
              </w:rPr>
              <w:t>MATD3</w:t>
            </w:r>
          </w:p>
        </w:tc>
        <w:tc>
          <w:tcPr>
            <w:tcW w:type="dxa" w:w="2551"/>
          </w:tcPr>
          <w:p>
            <w:r/>
            <w:r>
              <w:rPr>
                <w:sz w:val="18"/>
              </w:rPr>
              <w:t>score global = 0.6667</w:t>
            </w:r>
          </w:p>
        </w:tc>
        <w:tc>
          <w:tcPr>
            <w:tcW w:type="dxa" w:w="2721"/>
          </w:tcPr>
          <w:p>
            <w:r/>
            <w:r>
              <w:rPr>
                <w:sz w:val="18"/>
              </w:rPr>
              <w:t>Cumplido descriptivamente; sin dominancia universal en los tres ejes</w:t>
            </w:r>
          </w:p>
        </w:tc>
      </w:tr>
    </w:tbl>
    <w:p/>
    <w:p>
      <w:pPr>
        <w:jc w:val="both"/>
      </w:pPr>
      <w:r>
        <w:rPr>
          <w:b w:val="0"/>
          <w:i w:val="0"/>
        </w:rPr>
        <w:t>Veredicto OG/OE (evidencia descriptiva, corrida canonica 50 ep): OG cumplido en el sentido de determinar el efecto coordinado del MADRL e identificar a MATD3 como mayor efecto integrado (score 0,6667), con trade-offs entre ejes. OE.1 cumplido: MATD3 (flex_composite = 1,0009). OE.2 cumplido: MATD3 (delta CO2 = 23 070 kg). OE.3 cumplido: MAAC (delta costo = 9 515 EUR). Ningun objetivo exige por si mismo significancia estadistica omnibus; los limites de inferencia causal (semilla unica seed=0; HAPPO con KPI-gains 4/4 peores y 49 ep) se declaran explicitamente. Las hipotesis HG y HE.1–HE.3 se resuelven solo en la seccion 5.9.5.</w:t>
      </w:r>
    </w:p>
    <w:p>
      <w:r>
        <w:rPr>
          <w:b/>
          <w:color w:val="595959"/>
          <w:sz w:val="19"/>
        </w:rPr>
        <w:t>Tabla 5.5.5b. Cumplimiento completo de criterios de impacto (sin parciales; C5 = control de recursos).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984"/>
            <w:shd w:val="clear" w:color="auto" w:fill="1F4E79"/>
          </w:tcPr>
          <w:p>
            <w:r/>
            <w:r>
              <w:rPr>
                <w:b/>
                <w:color w:val="FFFFFF"/>
                <w:sz w:val="18"/>
              </w:rPr>
              <w:t>Criterio</w:t>
            </w:r>
          </w:p>
        </w:tc>
        <w:tc>
          <w:tcPr>
            <w:tcW w:type="dxa" w:w="1701"/>
            <w:shd w:val="clear" w:color="auto" w:fill="1F4E79"/>
          </w:tcPr>
          <w:p>
            <w:r/>
            <w:r>
              <w:rPr>
                <w:b/>
                <w:color w:val="FFFFFF"/>
                <w:sz w:val="18"/>
              </w:rPr>
              <w:t>Distrito</w:t>
            </w:r>
          </w:p>
        </w:tc>
        <w:tc>
          <w:tcPr>
            <w:tcW w:type="dxa" w:w="2268"/>
            <w:shd w:val="clear" w:color="auto" w:fill="1F4E79"/>
          </w:tcPr>
          <w:p>
            <w:r/>
            <w:r>
              <w:rPr>
                <w:b/>
                <w:color w:val="FFFFFF"/>
                <w:sz w:val="18"/>
              </w:rPr>
              <w:t>Edificio</w:t>
            </w:r>
          </w:p>
        </w:tc>
        <w:tc>
          <w:tcPr>
            <w:tcW w:type="dxa" w:w="1701"/>
            <w:shd w:val="clear" w:color="auto" w:fill="1F4E79"/>
          </w:tcPr>
          <w:p>
            <w:r/>
            <w:r>
              <w:rPr>
                <w:b/>
                <w:color w:val="FFFFFF"/>
                <w:sz w:val="18"/>
              </w:rPr>
              <w:t>Integrado en Cap. 5</w:t>
            </w:r>
          </w:p>
        </w:tc>
        <w:tc>
          <w:tcPr>
            <w:tcW w:type="dxa" w:w="1134"/>
            <w:shd w:val="clear" w:color="auto" w:fill="1F4E79"/>
          </w:tcPr>
          <w:p>
            <w:r/>
            <w:r>
              <w:rPr>
                <w:b/>
                <w:color w:val="FFFFFF"/>
                <w:sz w:val="18"/>
              </w:rPr>
              <w:t>Estado</w:t>
            </w:r>
          </w:p>
        </w:tc>
      </w:tr>
      <w:tr>
        <w:tc>
          <w:tcPr>
            <w:tcW w:type="dxa" w:w="1984"/>
          </w:tcPr>
          <w:p>
            <w:r/>
            <w:r>
              <w:rPr>
                <w:sz w:val="18"/>
              </w:rPr>
              <w:t>C1 Impacto vs baseline</w:t>
            </w:r>
          </w:p>
        </w:tc>
        <w:tc>
          <w:tcPr>
            <w:tcW w:type="dxa" w:w="1701"/>
          </w:tcPr>
          <w:p>
            <w:r/>
            <w:r>
              <w:rPr>
                <w:sz w:val="18"/>
              </w:rPr>
              <w:t>Si (KPI-gains)</w:t>
            </w:r>
          </w:p>
        </w:tc>
        <w:tc>
          <w:tcPr>
            <w:tcW w:type="dxa" w:w="2268"/>
          </w:tcPr>
          <w:p>
            <w:r/>
            <w:r>
              <w:rPr>
                <w:sz w:val="18"/>
              </w:rPr>
              <w:t>Via KPIs agregados</w:t>
            </w:r>
          </w:p>
        </w:tc>
        <w:tc>
          <w:tcPr>
            <w:tcW w:type="dxa" w:w="1701"/>
          </w:tcPr>
          <w:p>
            <w:r/>
            <w:r>
              <w:rPr>
                <w:sz w:val="18"/>
              </w:rPr>
              <w:t>§5.3 / §5.5</w:t>
            </w:r>
          </w:p>
        </w:tc>
        <w:tc>
          <w:tcPr>
            <w:tcW w:type="dxa" w:w="1134"/>
          </w:tcPr>
          <w:p>
            <w:r/>
            <w:r>
              <w:rPr>
                <w:sz w:val="18"/>
              </w:rPr>
              <w:t>Documentado</w:t>
            </w:r>
          </w:p>
        </w:tc>
      </w:tr>
      <w:tr>
        <w:tc>
          <w:tcPr>
            <w:tcW w:type="dxa" w:w="1984"/>
          </w:tcPr>
          <w:p>
            <w:r/>
            <w:r>
              <w:rPr>
                <w:sz w:val="18"/>
              </w:rPr>
              <w:t>C2 Diferencias entre algoritmos</w:t>
            </w:r>
          </w:p>
        </w:tc>
        <w:tc>
          <w:tcPr>
            <w:tcW w:type="dxa" w:w="1701"/>
          </w:tcPr>
          <w:p>
            <w:r/>
            <w:r>
              <w:rPr>
                <w:sz w:val="18"/>
              </w:rPr>
              <w:t>Si (KW/Friedman)</w:t>
            </w:r>
          </w:p>
        </w:tc>
        <w:tc>
          <w:tcPr>
            <w:tcW w:type="dxa" w:w="2268"/>
          </w:tcPr>
          <w:p>
            <w:r/>
            <w:r>
              <w:rPr>
                <w:sz w:val="18"/>
              </w:rPr>
              <w:t>N/A (unidad KPI-gains)</w:t>
            </w:r>
          </w:p>
        </w:tc>
        <w:tc>
          <w:tcPr>
            <w:tcW w:type="dxa" w:w="1701"/>
          </w:tcPr>
          <w:p>
            <w:r/>
            <w:r>
              <w:rPr>
                <w:sz w:val="18"/>
              </w:rPr>
              <w:t>§5.3 / §5.5</w:t>
            </w:r>
          </w:p>
        </w:tc>
        <w:tc>
          <w:tcPr>
            <w:tcW w:type="dxa" w:w="1134"/>
          </w:tcPr>
          <w:p>
            <w:r/>
            <w:r>
              <w:rPr>
                <w:sz w:val="18"/>
              </w:rPr>
              <w:t>Documentado</w:t>
            </w:r>
          </w:p>
        </w:tc>
      </w:tr>
      <w:tr>
        <w:tc>
          <w:tcPr>
            <w:tcW w:type="dxa" w:w="1984"/>
          </w:tcPr>
          <w:p>
            <w:r/>
            <w:r>
              <w:rPr>
                <w:sz w:val="18"/>
              </w:rPr>
              <w:t>C3 KPIs fisicos por eje</w:t>
            </w:r>
          </w:p>
        </w:tc>
        <w:tc>
          <w:tcPr>
            <w:tcW w:type="dxa" w:w="1701"/>
          </w:tcPr>
          <w:p>
            <w:r/>
            <w:r>
              <w:rPr>
                <w:sz w:val="18"/>
              </w:rPr>
              <w:t>Si (tablas+fig)</w:t>
            </w:r>
          </w:p>
        </w:tc>
        <w:tc>
          <w:tcPr>
            <w:tcW w:type="dxa" w:w="2268"/>
          </w:tcPr>
          <w:p>
            <w:r/>
            <w:r>
              <w:rPr>
                <w:sz w:val="18"/>
              </w:rPr>
              <w:t>—</w:t>
            </w:r>
          </w:p>
        </w:tc>
        <w:tc>
          <w:tcPr>
            <w:tcW w:type="dxa" w:w="1701"/>
          </w:tcPr>
          <w:p>
            <w:r/>
            <w:r>
              <w:rPr>
                <w:sz w:val="18"/>
              </w:rPr>
              <w:t>§5.2 / §5.4.1</w:t>
            </w:r>
          </w:p>
        </w:tc>
        <w:tc>
          <w:tcPr>
            <w:tcW w:type="dxa" w:w="1134"/>
          </w:tcPr>
          <w:p>
            <w:r/>
            <w:r>
              <w:rPr>
                <w:sz w:val="18"/>
              </w:rPr>
              <w:t>Documentado</w:t>
            </w:r>
          </w:p>
        </w:tc>
      </w:tr>
      <w:tr>
        <w:tc>
          <w:tcPr>
            <w:tcW w:type="dxa" w:w="1984"/>
          </w:tcPr>
          <w:p>
            <w:r/>
            <w:r>
              <w:rPr>
                <w:sz w:val="18"/>
              </w:rPr>
              <w:t>C4 KPIs por edificio × eje</w:t>
            </w:r>
          </w:p>
        </w:tc>
        <w:tc>
          <w:tcPr>
            <w:tcW w:type="dxa" w:w="1701"/>
          </w:tcPr>
          <w:p>
            <w:r/>
            <w:r>
              <w:rPr>
                <w:sz w:val="18"/>
              </w:rPr>
              <w:t>—</w:t>
            </w:r>
          </w:p>
        </w:tc>
        <w:tc>
          <w:tcPr>
            <w:tcW w:type="dxa" w:w="2268"/>
          </w:tcPr>
          <w:p>
            <w:r/>
            <w:r>
              <w:rPr>
                <w:sz w:val="18"/>
              </w:rPr>
              <w:t>Si (17 edif. × 3 ejes)</w:t>
            </w:r>
          </w:p>
        </w:tc>
        <w:tc>
          <w:tcPr>
            <w:tcW w:type="dxa" w:w="1701"/>
          </w:tcPr>
          <w:p>
            <w:r/>
            <w:r>
              <w:rPr>
                <w:sz w:val="18"/>
              </w:rPr>
              <w:t>§5.2 / §5.4.2–5.4.5</w:t>
            </w:r>
          </w:p>
        </w:tc>
        <w:tc>
          <w:tcPr>
            <w:tcW w:type="dxa" w:w="1134"/>
          </w:tcPr>
          <w:p>
            <w:r/>
            <w:r>
              <w:rPr>
                <w:sz w:val="18"/>
              </w:rPr>
              <w:t>Documentado</w:t>
            </w:r>
          </w:p>
        </w:tc>
      </w:tr>
      <w:tr>
        <w:tc>
          <w:tcPr>
            <w:tcW w:type="dxa" w:w="1984"/>
          </w:tcPr>
          <w:p>
            <w:r/>
            <w:r>
              <w:rPr>
                <w:sz w:val="18"/>
              </w:rPr>
              <w:t>C5 Control de recursos</w:t>
            </w:r>
          </w:p>
        </w:tc>
        <w:tc>
          <w:tcPr>
            <w:tcW w:type="dxa" w:w="1701"/>
          </w:tcPr>
          <w:p>
            <w:r/>
            <w:r>
              <w:rPr>
                <w:sz w:val="18"/>
              </w:rPr>
              <w:t>Trazas E1–E3</w:t>
            </w:r>
          </w:p>
        </w:tc>
        <w:tc>
          <w:tcPr>
            <w:tcW w:type="dxa" w:w="2268"/>
          </w:tcPr>
          <w:p>
            <w:r/>
            <w:r>
              <w:rPr>
                <w:sz w:val="18"/>
              </w:rPr>
              <w:t>BESS/EV/carga + inventario</w:t>
            </w:r>
          </w:p>
        </w:tc>
        <w:tc>
          <w:tcPr>
            <w:tcW w:type="dxa" w:w="1701"/>
          </w:tcPr>
          <w:p>
            <w:r/>
            <w:r>
              <w:rPr>
                <w:sz w:val="18"/>
              </w:rPr>
              <w:t>§5.4.5</w:t>
            </w:r>
          </w:p>
        </w:tc>
        <w:tc>
          <w:tcPr>
            <w:tcW w:type="dxa" w:w="1134"/>
          </w:tcPr>
          <w:p>
            <w:r/>
            <w:r>
              <w:rPr>
                <w:sz w:val="18"/>
              </w:rPr>
              <w:t>Documentado</w:t>
            </w:r>
          </w:p>
        </w:tc>
      </w:tr>
    </w:tbl>
    <w:p/>
    <w:p>
      <w:pPr>
        <w:jc w:val="both"/>
      </w:pPr>
      <w:r>
        <w:rPr>
          <w:b w:val="0"/>
          <w:i w:val="0"/>
        </w:rPr>
        <w:t>Cumplimiento documental completo: C1–C5 estan presentes a nivel distrito y edificio para OE.1–OE.3. El veredicto estadistico de HE (aceptacion/rechazo) permanece el de §5.5.1–5.5.4; C3–C5 no sustituyen C1–C2, pero sin ellos el impacto no se declara atribuible ni el cumplimiento de objetivos se considera completo.</w:t>
      </w:r>
    </w:p>
    <w:p>
      <w:pPr>
        <w:pStyle w:val="Heading2"/>
      </w:pPr>
      <w:r>
        <w:t>5.6 Discusion de resultados</w:t>
      </w:r>
    </w:p>
    <w:p>
      <w:pPr>
        <w:jc w:val="both"/>
      </w:pPr>
      <w:r>
        <w:rPr>
          <w:rFonts w:ascii="Times New Roman" w:hAnsi="Times New Roman" w:cs="Times New Roman"/>
          <w:b w:val="0"/>
          <w:sz w:val="24"/>
        </w:rPr>
        <w:t>Quinto y ultimo acapite del capitulo. 1) Separacion de planos: §5.2 descriptivo por OG/OE; §5.3 inferencial por OG/OE; §5.4 otros por OG/OE; §5.5 contrastacion H0G/H1G y HE por objetivo; §5.6 discusion. 2) No normalidad → solo no parametrico. 3) Trade-off: MATD3 flex+CO2; MAAC costos / TOPSIS (C* ≈ 0,9827) / evaluate_v2 4/4 (0,9538). 4) H1G exploratoria no equivale a HE11/HE21/HE31. 5) TOPSIS es medida multicriterio formal adicional (50 ep Drive) que apoya OG/OE/HE; el omnibus HE permanece en KPI-gains (impacto + diferencias). 6) Limitaciones: semilla = 0; HAPPO 49/50 ep; n KPI 12/5/9.</w:t>
      </w:r>
    </w:p>
    <w:p>
      <w:pPr>
        <w:pStyle w:val="Heading3"/>
      </w:pPr>
      <w:r>
        <w:t>5.6.1 Contrastacion con antecedentes</w:t>
      </w:r>
    </w:p>
    <w:p>
      <w:pPr>
        <w:jc w:val="both"/>
      </w:pPr>
      <w:r>
        <w:rPr>
          <w:b w:val="0"/>
          <w:i w:val="0"/>
        </w:rPr>
        <w:t>La discusion se ancla a los antecedentes del Capitulo 2 (5 antecedentes nacionales/peruanos).</w:t>
      </w:r>
    </w:p>
    <w:p>
      <w:pPr>
        <w:jc w:val="both"/>
      </w:pPr>
      <w:r>
        <w:rPr>
          <w:b w:val="0"/>
          <w:i w:val="0"/>
        </w:rPr>
        <w:t>Contrastacion con antecedentes internacionales (Tabla 2.4). Frente a Nweye et al. (2024), que estandariza KPIs de flexibilidad, CO2 y costo en CityLearn v2, esta tesis extiende el entorno a CityLearn v3 propuesto con Dec-POMDP/CTDE y cuatro backends MADRL; los resultados de 50 episodios muestran trade-offs por escenario (MATD3 en OE.1/OE.2, MAAC en OE.3) no resueltos por un unico algoritmo en la literatura base.</w:t>
      </w:r>
    </w:p>
    <w:p>
      <w:pPr>
        <w:jc w:val="both"/>
      </w:pPr>
      <w:r>
        <w:rPr>
          <w:b w:val="0"/>
          <w:i w:val="0"/>
        </w:rPr>
        <w:t>Nweye et al. (2023b) reportan HAPPO (HARL) viable en comunidades heterogeneas CityLearn, pero sin comparacion simultanea con MASAC, MATD3 y MAAC. La corrida canonica confirma efectos diferenciados entre algoritmos, aunque HG y HE.1-HE.3 no alcanzan significancia omnibus (KW p &gt; 0,05), coherente con la advertencia metodologica de comparaciones RL rigurosas (Agarwal et al., 2021).</w:t>
      </w:r>
    </w:p>
    <w:p>
      <w:pPr>
        <w:jc w:val="both"/>
      </w:pPr>
      <w:r>
        <w:rPr>
          <w:b w:val="0"/>
          <w:i w:val="0"/>
        </w:rPr>
        <w:t>Yao et al. (2023) obtienen ~15% de reduccion de pico y ~18% de costo con LSD-MADDPG en comunidades inteligentes. En PE.1 (flexibilidad, E1), MATD3 lidera descriptivamente (flex_composite = 1,0009), pero la magnitud relativa frente a baseline RBC (seccion 5.7) matiza la generalizacion causal frente a mejoras reportadas en comunidades sinteticas.</w:t>
      </w:r>
    </w:p>
    <w:p>
      <w:pPr>
        <w:jc w:val="both"/>
      </w:pPr>
      <w:r>
        <w:rPr>
          <w:b w:val="0"/>
          <w:i w:val="0"/>
        </w:rPr>
        <w:t>Liu et al. (2022) reportan ~15% de reduccion de CO2 y ~20% de costo con MADDPG. En PE.2 (E2), MATD3 presenta el menor delta de CO2 entre MADRL auditados (23 070 kg), mientras MASAC y MAAC registran reducciones mayores; esto contrasta la expectativa de dominancia unica y refuerza la lectura multiobjetivo de D-VD.2.</w:t>
      </w:r>
    </w:p>
    <w:p>
      <w:pPr>
        <w:jc w:val="both"/>
      </w:pPr>
      <w:r>
        <w:rPr>
          <w:b w:val="0"/>
          <w:i w:val="0"/>
        </w:rPr>
        <w:t>Iqbal y Sha (2019) fundamentan MAAC con mejoras de ~15-30% frente a MADDPG/COMA. En PE.3 (costos, E3), MAAC lidera (delta costo = 9 515 EUR), alineado con coordinacion selectiva bajo senales TOU; este patron es consistente con Xie et al. (2023) sobre atencion para demand response, aunque la tesis no replica sus magnitudes (~25% DR) por diferencias de dataset y funcion de recompensa.</w:t>
      </w:r>
    </w:p>
    <w:p>
      <w:pPr>
        <w:jc w:val="both"/>
      </w:pPr>
      <w:r>
        <w:rPr>
          <w:b w:val="0"/>
          <w:i w:val="0"/>
        </w:rPr>
        <w:t>Contrastacion con antecedentes nacionales/peruanos (Tabla 2.5). MINAM (2019) fija el factor 0,790 kgCO2/kWh del diesel aislado que parametriza CarbonIntensityModel en E2; los deltas de CO2 de MATD3, MASAC y MAAC deben interpretarse sobre esa senal nacional, no sobre intensidades de red continental.</w:t>
      </w:r>
    </w:p>
    <w:p>
      <w:pPr>
        <w:jc w:val="both"/>
      </w:pPr>
      <w:r>
        <w:rPr>
          <w:b w:val="0"/>
          <w:i w:val="0"/>
        </w:rPr>
        <w:t>OSINERGMIN (2024) vincula costos a demanda maxima facturable en Electro Oriente S.A. El liderazgo descriptivo de MAAC en OE.3 es coherente con la necesidad de coordinar picos distritales bajo TOU local; sin embargo, la superioridad global de controles RBC frente a MADRL (seccion 5.7) sugiere que la regulacion peruana por si sola no garantiza ventaja aprendida sin multi-semilla ni ajuste de hiperparametros.</w:t>
      </w:r>
    </w:p>
    <w:p>
      <w:pPr>
        <w:jc w:val="both"/>
      </w:pPr>
      <w:r>
        <w:rPr>
          <w:b w:val="0"/>
          <w:i w:val="0"/>
        </w:rPr>
        <w:t>Las tesis doctorales Chevarria Moscoso (2024) y Peñalva Sanchez (2024) aportan optimizacion bajo incertidumbre hidrologica y prediccion con IA en sistemas PV hibridos (sin transferir magnitudes cuantitativas a Iquitos). Rosero Bernal (2024) fundamenta la coordinacion de microredes operada desde la nube. Estos antecedentes contextualizan el SEAI Iquitos como caso de red aislada con recursos renovables y demanda institucional heterogenea, justificando el diseno de 17 agentes y la lectura distrito-edificio del Capitulo 5.</w:t>
      </w:r>
    </w:p>
    <w:p>
      <w:r>
        <w:rPr>
          <w:i/>
          <w:color w:val="C00000"/>
        </w:rPr>
        <w:t>Capitulo 5 (2026-07-29): cumplimiento de objetivos con acapites descriptivos → inferenciales → otros → contrastacion de hipotesis → discusion; OG/OE.1/OE.2/OE.3 independientes en cada bloque.</w:t>
      </w:r>
    </w:p>
    <w:sectPr w:rsidR="00FC693F" w:rsidRPr="0006063C" w:rsidSect="00034616">
      <w:pgSz w:w="12240" w:h="15840"/>
      <w:pgMar w:top="1417" w:right="1417" w:bottom="1417" w:left="1701" w:header="720" w:footer="720" w:gutter="0"/>
      <w:cols w:space="720"/>
      <w:docGrid w:linePitch="360"/>
    </w:sectPr>
    <w:p>
      <w:pPr>
        <w:pStyle w:val="Heading1"/>
      </w:pPr>
      <w:r>
        <w:t>Capitulo 6. Conclusiones preliminares</w:t>
      </w:r>
    </w:p>
    <w:p>
      <w:pPr>
        <w:pStyle w:val="Heading2"/>
      </w:pPr>
      <w:r>
        <w:t>6.1 Principales hallazgos</w:t>
      </w:r>
    </w:p>
    <w:p>
      <w:r>
        <w:rPr>
          <w:rFonts w:ascii="Times New Roman" w:hAnsi="Times New Roman" w:cs="Times New Roman"/>
          <w:b w:val="0"/>
          <w:sz w:val="24"/>
        </w:rPr>
        <w:t>Como medida multicriterio formal adicional, TOPSIS (C* MAAC ≈ 0,9827; MASAC 0,5656; MATD3 0,3074) refuerza las conclusiones sobre OG/OE: el cumplimiento descriptivo por eje (MATD3 en OE.1/OE.2; MAAC en OE.3) se articula con un juicio integrado costo–CO₂–flexibilidad que coincide con evaluate_v2 en coronar a MAAC y matiza el score best_madrl 3×3 (MATD3 = 0,6667). Respecto de las hipótesis, TOPSIS no reemplaza KPI-gains, pero sí aporta evidencia multicriterio adicional para determinar/sustentar el alcance del cumplimiento de objetivos y el contraste de HE.</w:t>
      </w:r>
    </w:p>
    <w:p>
      <w:pPr>
        <w:jc w:val="both"/>
      </w:pPr>
      <w:r>
        <w:rPr>
          <w:b w:val="0"/>
          <w:i w:val="0"/>
        </w:rPr>
        <w:t>PE.1 (OE.1/E1): descriptivamente MATD3 (flex_composite = 1,0009); inferencialmente KW p = 0,4685 (HE10 no rechazada). PE.2 (OE.2/E2): descriptivamente MATD3 (ΔCO₂ = 23 070 kg); KW p = 0,7648 (HE20 no rechazada). PE.3 (OE.3/E3): descriptivamente MAAC (Δcosto = 9 515 EUR); KW p = 0,7357 (HE30 no rechazada). OG: MATD3 score global best_madrl 0,6667; trade-off con MAAC en costos; H0G rechazo exploratorio (Friedman p = 0,0096) y KW ALL p = 0,1554 no significativo.</w:t>
      </w:r>
    </w:p>
    <w:p>
      <w:pPr>
        <w:jc w:val="both"/>
      </w:pPr>
      <w:r>
        <w:t>OG: el algoritmo MADRL aplicado a la comunidad inteligente (VI) produce efectos diferenciados sobre la gestion coordinada de flexibilidad, emisiones de CO2 y costos (VD). El algoritmo de mayor efecto coordinado en la corrida canonica de 50 episodios es MATD3 (score global 0,6667 canónico 3×3; ranking evaluate_v2 4/4: MAAC 0,9538 &gt; MATD3 0,8805 &gt; MASAC 0,8679 &gt; HAPPO 0,0000), que lidera OE.1 y OE.2 pero no OE.3 (MAAC). La respuesta al OG es descriptivamente afirmativa con limites de inferencia causal (semilla unica seed=0; diseño multi-semilla n=12 implementado y smoke-validado; HAPPO con KPI-gains evaluate_v2 y 49 ep episódicos). La formulacion Dec-POMDP ejecutada (d_s = 1 856; d_oi en [54, 327]; d_ai en [5, 44]; r_team = 0,70) queda fijada en Caps. 2 y 4 (Tabla 2.A / §4.2).</w:t>
      </w:r>
    </w:p>
    <w:p>
      <w:pPr>
        <w:jc w:val="both"/>
      </w:pPr>
      <w:r>
        <w:rPr>
          <w:rFonts w:ascii="Times New Roman" w:hAnsi="Times New Roman" w:eastAsia="Times New Roman"/>
        </w:rPr>
        <w:t>OE.1: Determinar el impacto de los algoritmos MADRLs en la flexibilidad energética en comunidades inteligentes de la ciudad de Iquitos e identificar cuál de los algoritmos presenta el mejor desempeño en el escenario E1.</w:t>
      </w:r>
    </w:p>
    <w:p>
      <w:pPr>
        <w:jc w:val="both"/>
      </w:pPr>
      <w:r>
        <w:rPr>
          <w:rFonts w:ascii="Times New Roman" w:hAnsi="Times New Roman" w:eastAsia="Times New Roman"/>
        </w:rPr>
        <w:t>OE.2: Determinar el impacto de los algoritmos MADRLs en las emisiones de CO₂ en comunidades inteligentes de la ciudad de Iquitos e identificar cuál de los algoritmos presenta el mejor desempeño en el escenario E2.</w:t>
      </w:r>
    </w:p>
    <w:p>
      <w:pPr>
        <w:jc w:val="both"/>
      </w:pPr>
      <w:r>
        <w:rPr>
          <w:rFonts w:ascii="Times New Roman" w:hAnsi="Times New Roman" w:eastAsia="Times New Roman"/>
        </w:rPr>
        <w:t>OE.3: Determinar el impacto de los algoritmos MADRLs en los costos energéticos en comunidades inteligentes de la ciudad de Iquitos e identificar cuál de los algoritmos presenta el mejor desempeño en el escenario E3.</w:t>
      </w:r>
    </w:p>
    <w:p>
      <w:pPr>
        <w:jc w:val="both"/>
      </w:pPr>
      <w:r>
        <w:rPr>
          <w:b w:val="0"/>
          <w:i w:val="0"/>
        </w:rPr>
        <w:t>Integracion OE: MATD3 obtiene score global 0,6667 por liderar OE.1 y OE.2, pero no OE.3. La comparacion con baseline CityLearn v2 (seccion 5.7) muestra que controles RBC superan globalmente a MADRL en score HPHI, matizando la generalizacion causal pero no invalidando el benchmark inter-algoritmico exigido por los objetivos.</w:t>
      </w:r>
    </w:p>
    <w:p>
      <w:pPr>
        <w:jc w:val="both"/>
      </w:pPr>
      <w:r>
        <w:rPr>
          <w:b w:val="0"/>
          <w:i w:val="0"/>
        </w:rPr>
        <w:t>Respecto de las hipótesis (Cap. 5 §5.5, KPI-gains): H0G se rechaza de forma exploratoria (Friedman p = 0,0096) mientras KW ALL no es significativo (p = 0,1554). HE10 (KW p = 0,4685), HE20 (KW p = 0,7648) y HE30 (KW p = 0,7357) no se rechazan; HE11/HE21/HE31 no se respaldan. Descriptivamente MATD3 lidera OE.1/OE.2 y MAAC lidera OE.3. Wilcoxon/Mann–Whitney exploratorios no sustituyen el contraste omnibus ni la replicación multi-semilla.</w:t>
      </w:r>
    </w:p>
    <w:p>
      <w:r>
        <w:rPr>
          <w:b/>
          <w:sz w:val="24"/>
          <w:szCs w:val="24"/>
          <w:rFonts w:ascii="Times New Roman" w:hAnsi="Times New Roman" w:cs="Times New Roman"/>
        </w:rPr>
        <w:t>Respuesta a PE.1: Descriptivamente, MATD3 obtiene el mejor flex_composite de distrito en E1 (1,0009; menor = mejor) frente a MAAC (1,0124), MASAC (1,0286) y HAPPO (1,1105); por mediana de KPI-gain el líder es MAAC. Inferencialmente (KPI-gains canónicos, Cap. 5 §5.3–§5.5), Kruskal–Wallis no rechaza igualdad entre algoritmos (p = 0,4685; HE10 no se rechaza; HE11 no se respalda). Por tanto, se identifica el mejor desempeño descriptivo en E1 (MATD3 en KPI físico; MAAC en mediana gain), sin superioridad estadística omnibus a α = 0,05.</w:t>
      </w:r>
      <w:r>
        <w:rPr>
          <w:sz w:val="24"/>
          <w:szCs w:val="24"/>
          <w:rFonts w:ascii="Times New Roman" w:hAnsi="Times New Roman" w:cs="Times New Roman"/>
        </w:rPr>
      </w:r>
    </w:p>
    <w:p>
      <w:r>
        <w:rPr>
          <w:b/>
          <w:sz w:val="24"/>
          <w:szCs w:val="24"/>
          <w:rFonts w:ascii="Times New Roman" w:hAnsi="Times New Roman" w:cs="Times New Roman"/>
        </w:rPr>
        <w:t>Respuesta a PE.2: Descriptivamente, MATD3 obtiene el menor ΔCO₂ de distrito en E2 (23 070 kg) frente a MAAC (70 654), MASAC (77 649) y HAPPO (1 431 341). Inferencialmente (KPI-gains), Kruskal–Wallis p = 0,7648 (HE20 no se rechaza; HE21 no se respalda). El mejor desempeño descriptivo en E2 corresponde a MATD3, sin superioridad omnibus inferencial.</w:t>
      </w:r>
      <w:r>
        <w:rPr>
          <w:sz w:val="24"/>
          <w:szCs w:val="24"/>
          <w:rFonts w:ascii="Times New Roman" w:hAnsi="Times New Roman" w:cs="Times New Roman"/>
        </w:rPr>
      </w:r>
    </w:p>
    <w:p>
      <w:r>
        <w:rPr>
          <w:b/>
          <w:sz w:val="24"/>
          <w:szCs w:val="24"/>
          <w:rFonts w:ascii="Times New Roman" w:hAnsi="Times New Roman" w:cs="Times New Roman"/>
        </w:rPr>
        <w:t>Respuesta a PE.3: Descriptivamente, MAAC obtiene el menor Δcosto de distrito en E3 (9 515 EUR) frente a MASAC (19 793), MATD3 (44 399) y HAPPO (106 828). Inferencialmente (KPI-gains), Kruskal–Wallis p = 0,7357 (HE30 no se rechaza; HE31 no se respalda). El mejor desempeño descriptivo en E3 corresponde a MAAC, sin superioridad omnibus inferencial.</w:t>
      </w:r>
      <w:r>
        <w:rPr>
          <w:sz w:val="24"/>
          <w:szCs w:val="24"/>
          <w:rFonts w:ascii="Times New Roman" w:hAnsi="Times New Roman" w:cs="Times New Roman"/>
        </w:rPr>
      </w:r>
    </w:p>
    <w:p>
      <w:pPr>
        <w:pStyle w:val="Heading2"/>
      </w:pPr>
      <w:r>
        <w:t>6.2 Limitaciones encontradas</w:t>
      </w:r>
    </w:p>
    <w:p>
      <w:pPr>
        <w:jc w:val="both"/>
      </w:pPr>
      <w:r>
        <w:t>Las limitaciones principales son: (i) semilla unica (seed 0) en la campaña entrenada —el protocolo n_seeds=12 y el runner estan implementados (uc3m/multicriteria/scenarios.py; scripts/run_madrl_nonparametric_battery.py) y validados con smoke metodologico, pero no se entrenaron 12 semillas reales—; (ii) HAPPO con 49/50 episodios y KPI-gains evaluate_v2 peores que el trio (ranking 4/4 score 0); las HE sobre KPI-gains de entrenamiento usan MASAC/MATD3/MAAC; (iii) simulacion sin validacion en red fisica; (iv) CityLearn v3 propuesto como extension experimental de tesis (3 ejes OE); el paquete uc3m/ formaliza un mapeo aspiracional a 7 ejes sin ser el canal de las 12 corridas; (v) MADRL por debajo del baseline RBC en score global HPHI. Las hipotesis HG/HE se contrastan en seccion 5.9; los objetivos OG/OE en seccion 5.11.</w:t>
      </w:r>
    </w:p>
    <w:p>
      <w:pPr>
        <w:pStyle w:val="Heading2"/>
      </w:pPr>
      <w:r>
        <w:t>6.3 Trabajo pendiente</w:t>
      </w:r>
    </w:p>
    <w:p>
      <w:pPr>
        <w:pStyle w:val="ListBullet"/>
        <w:jc w:val="both"/>
      </w:pPr>
      <w:r>
        <w:t>Entrenar la campaña multi-semilla real (n_seeds=12, seeds 0..11) con el runner ya implementado (EmpiricalProtocol + run_madrl_nonparametric_battery.py --run-root); el smoke metodologico (n=3 en outputs/madrl_nonparametric_battery_smoke_n3/) valida el pipeline y no sustituye entrenamiento.</w:t>
      </w:r>
    </w:p>
    <w:p>
      <w:pPr>
        <w:pStyle w:val="ListBullet"/>
        <w:jc w:val="both"/>
      </w:pPr>
      <w:r>
        <w:t>Homogeneizar HAPPO a 50 episodios i.i.d. por escenario (hoy: KPI-gains evaluate_v2 y ranking 4/4 disponibles; cobertura episódica 49/50).</w:t>
      </w:r>
    </w:p>
    <w:p>
      <w:pPr>
        <w:pStyle w:val="ListBullet"/>
        <w:jc w:val="both"/>
      </w:pPr>
      <w:r>
        <w:t>Completar analisis de frontera de Pareto por eje y cuantificar porcentajes de mejora frente a baseline CityLearn v2/RBC por KPI.</w:t>
      </w:r>
    </w:p>
    <w:p>
      <w:pPr>
        <w:pStyle w:val="ListBullet"/>
        <w:jc w:val="both"/>
      </w:pPr>
      <w:r>
        <w:t>Optimizar hiperparametros con Optuna (TPE) por backend y enriquecer el contraste con SB3 (PPO/SAC/A2C) bajo el mismo schema de Iquitos.</w:t>
      </w:r>
    </w:p>
    <w:p>
      <w:pPr>
        <w:pStyle w:val="ListBullet"/>
        <w:jc w:val="both"/>
      </w:pPr>
      <w:r>
        <w:t>Cerrar redaccion doctoral institucional (pasada RAE Cap. 1–6) y actualizar el indice Word (F9) antes del deposito.</w:t>
      </w:r>
    </w:p>
    <w:p>
      <w:pPr>
        <w:pStyle w:val="Heading2"/>
      </w:pPr>
      <w:r>
        <w:t>6.4 Plan para culminar la tesis</w:t>
      </w:r>
    </w:p>
    <w:p>
      <w:pPr>
        <w:jc w:val="both"/>
      </w:pPr>
      <w:r>
        <w:rPr>
          <w:b w:val="0"/>
          <w:i w:val="0"/>
        </w:rPr>
        <w:t>El plan de cierre prioriza hitos verificables alineados con la corrida canonica madrl_v3_20260627_164047 y con los pendientes del Capitulo 5:</w:t>
      </w:r>
    </w:p>
    <w:p>
      <w:r>
        <w:rPr>
          <w:b/>
          <w:color w:val="595959"/>
          <w:sz w:val="19"/>
        </w:rPr>
        <w:t>Tabla 6.1. Plan para culminar la tesis (hitos H1–H7).</w:t>
      </w:r>
    </w:p>
    <w:tbl>
      <w:tblPr>
        <w:tblStyle w:val="LightGrid-Accent1"/>
        <w:tblW w:type="auto" w:w="0"/>
        <w:jc w:val="center"/>
        <w:tblLook w:firstColumn="1" w:firstRow="1" w:lastColumn="0" w:lastRow="0" w:noHBand="0" w:noVBand="1" w:val="04A0"/>
      </w:tblPr>
      <w:tblGrid>
        <w:gridCol w:w="2880"/>
        <w:gridCol w:w="2880"/>
        <w:gridCol w:w="2880"/>
      </w:tblGrid>
      <w:tr>
        <w:tc>
          <w:tcPr>
            <w:tcW w:type="dxa" w:w="2381"/>
            <w:shd w:val="clear" w:color="auto" w:fill="1F4E79"/>
          </w:tcPr>
          <w:p>
            <w:r/>
            <w:r>
              <w:rPr>
                <w:b/>
                <w:color w:val="FFFFFF"/>
                <w:sz w:val="18"/>
              </w:rPr>
              <w:t>Hito</w:t>
            </w:r>
          </w:p>
        </w:tc>
        <w:tc>
          <w:tcPr>
            <w:tcW w:type="dxa" w:w="4252"/>
            <w:shd w:val="clear" w:color="auto" w:fill="1F4E79"/>
          </w:tcPr>
          <w:p>
            <w:r/>
            <w:r>
              <w:rPr>
                <w:b/>
                <w:color w:val="FFFFFF"/>
                <w:sz w:val="18"/>
              </w:rPr>
              <w:t>Entregable verificable</w:t>
            </w:r>
          </w:p>
        </w:tc>
        <w:tc>
          <w:tcPr>
            <w:tcW w:type="dxa" w:w="2268"/>
            <w:shd w:val="clear" w:color="auto" w:fill="1F4E79"/>
          </w:tcPr>
          <w:p>
            <w:r/>
            <w:r>
              <w:rPr>
                <w:b/>
                <w:color w:val="FFFFFF"/>
                <w:sz w:val="18"/>
              </w:rPr>
              <w:t>Estado</w:t>
            </w:r>
          </w:p>
        </w:tc>
      </w:tr>
      <w:tr>
        <w:tc>
          <w:tcPr>
            <w:tcW w:type="dxa" w:w="2381"/>
          </w:tcPr>
          <w:p>
            <w:r/>
            <w:r>
              <w:rPr>
                <w:sz w:val="18"/>
              </w:rPr>
              <w:t>H1. HAPPO KPI-gains / 50 ep</w:t>
            </w:r>
          </w:p>
        </w:tc>
        <w:tc>
          <w:tcPr>
            <w:tcW w:type="dxa" w:w="4252"/>
          </w:tcPr>
          <w:p>
            <w:r/>
            <w:r>
              <w:rPr>
                <w:sz w:val="18"/>
              </w:rPr>
              <w:t>KPI-gains evaluate_v2 4/4 (Drive 2026-07-28); 50 ep i.i.d.</w:t>
            </w:r>
          </w:p>
        </w:tc>
        <w:tc>
          <w:tcPr>
            <w:tcW w:type="dxa" w:w="2268"/>
          </w:tcPr>
          <w:p>
            <w:r/>
            <w:r>
              <w:rPr>
                <w:sz w:val="18"/>
              </w:rPr>
              <w:t>KPI-gains 4/4 ejecutados; 49/50 ep</w:t>
            </w:r>
          </w:p>
        </w:tc>
      </w:tr>
      <w:tr>
        <w:tc>
          <w:tcPr>
            <w:tcW w:type="dxa" w:w="2381"/>
          </w:tcPr>
          <w:p>
            <w:r/>
            <w:r>
              <w:rPr>
                <w:sz w:val="18"/>
              </w:rPr>
              <w:t>H2. Robustez multi-semilla</w:t>
            </w:r>
          </w:p>
        </w:tc>
        <w:tc>
          <w:tcPr>
            <w:tcW w:type="dxa" w:w="4252"/>
          </w:tcPr>
          <w:p>
            <w:r/>
            <w:r>
              <w:rPr>
                <w:sz w:val="18"/>
              </w:rPr>
              <w:t>Protocolo n_seeds=12 + smoke + campaña seed=0</w:t>
            </w:r>
          </w:p>
        </w:tc>
        <w:tc>
          <w:tcPr>
            <w:tcW w:type="dxa" w:w="2268"/>
          </w:tcPr>
          <w:p>
            <w:r/>
            <w:r>
              <w:rPr>
                <w:sz w:val="18"/>
              </w:rPr>
              <w:t>Diseño+runner+smoke ejecutados; campaña 12-seed no entrenada</w:t>
            </w:r>
          </w:p>
        </w:tc>
      </w:tr>
      <w:tr>
        <w:tc>
          <w:tcPr>
            <w:tcW w:type="dxa" w:w="2381"/>
          </w:tcPr>
          <w:p>
            <w:r/>
            <w:r>
              <w:rPr>
                <w:sz w:val="18"/>
              </w:rPr>
              <w:t>H3. Inferencia Colab cerrada</w:t>
            </w:r>
          </w:p>
        </w:tc>
        <w:tc>
          <w:tcPr>
            <w:tcW w:type="dxa" w:w="4252"/>
          </w:tcPr>
          <w:p>
            <w:r/>
            <w:r>
              <w:rPr>
                <w:sz w:val="18"/>
              </w:rPr>
              <w:t>Tablas KW/MW/Wilcoxon auditadas y redaccion Cap. 5–6 sincronizada</w:t>
            </w:r>
          </w:p>
        </w:tc>
        <w:tc>
          <w:tcPr>
            <w:tcW w:type="dxa" w:w="2268"/>
          </w:tcPr>
          <w:p>
            <w:r/>
            <w:r>
              <w:rPr>
                <w:sz w:val="18"/>
              </w:rPr>
              <w:t>Ejecutada (HG no confirmada omnibus; H0G exploratoria Friedman)</w:t>
            </w:r>
          </w:p>
        </w:tc>
      </w:tr>
      <w:tr>
        <w:tc>
          <w:tcPr>
            <w:tcW w:type="dxa" w:w="2381"/>
          </w:tcPr>
          <w:p>
            <w:r/>
            <w:r>
              <w:rPr>
                <w:sz w:val="18"/>
              </w:rPr>
              <w:t>H4. Pareto y % vs baseline</w:t>
            </w:r>
          </w:p>
        </w:tc>
        <w:tc>
          <w:tcPr>
            <w:tcW w:type="dxa" w:w="4252"/>
          </w:tcPr>
          <w:p>
            <w:r/>
            <w:r>
              <w:rPr>
                <w:sz w:val="18"/>
              </w:rPr>
              <w:t>Tablas/figuras OE.1–OE.3 vs RBC/CityLearn v2</w:t>
            </w:r>
          </w:p>
        </w:tc>
        <w:tc>
          <w:tcPr>
            <w:tcW w:type="dxa" w:w="2268"/>
          </w:tcPr>
          <w:p>
            <w:r/>
            <w:r>
              <w:rPr>
                <w:sz w:val="18"/>
              </w:rPr>
              <w:t>Parcial (baseline integrada; % KPI pendientes)</w:t>
            </w:r>
          </w:p>
        </w:tc>
      </w:tr>
      <w:tr>
        <w:tc>
          <w:tcPr>
            <w:tcW w:type="dxa" w:w="2381"/>
          </w:tcPr>
          <w:p>
            <w:r/>
            <w:r>
              <w:rPr>
                <w:sz w:val="18"/>
              </w:rPr>
              <w:t>H5. HPO Optuna</w:t>
            </w:r>
          </w:p>
        </w:tc>
        <w:tc>
          <w:tcPr>
            <w:tcW w:type="dxa" w:w="4252"/>
          </w:tcPr>
          <w:p>
            <w:r/>
            <w:r>
              <w:rPr>
                <w:sz w:val="18"/>
              </w:rPr>
              <w:t>Estudio TPE por algoritmo</w:t>
            </w:r>
          </w:p>
        </w:tc>
        <w:tc>
          <w:tcPr>
            <w:tcW w:type="dxa" w:w="2268"/>
          </w:tcPr>
          <w:p>
            <w:r/>
            <w:r>
              <w:rPr>
                <w:sz w:val="18"/>
              </w:rPr>
              <w:t>Pendiente (fuera del alcance empirico cerrado)</w:t>
            </w:r>
          </w:p>
        </w:tc>
      </w:tr>
      <w:tr>
        <w:tc>
          <w:tcPr>
            <w:tcW w:type="dxa" w:w="2381"/>
          </w:tcPr>
          <w:p>
            <w:r/>
            <w:r>
              <w:rPr>
                <w:sz w:val="18"/>
              </w:rPr>
              <w:t>H6. Redaccion final APA</w:t>
            </w:r>
          </w:p>
        </w:tc>
        <w:tc>
          <w:tcPr>
            <w:tcW w:type="dxa" w:w="4252"/>
          </w:tcPr>
          <w:p>
            <w:r/>
            <w:r>
              <w:rPr>
                <w:sz w:val="18"/>
              </w:rPr>
              <w:t>Informe final Cap. 1–6 + referencias APA sin marcadores pendientes</w:t>
            </w:r>
          </w:p>
        </w:tc>
        <w:tc>
          <w:tcPr>
            <w:tcW w:type="dxa" w:w="2268"/>
          </w:tcPr>
          <w:p>
            <w:r/>
            <w:r>
              <w:rPr>
                <w:sz w:val="18"/>
              </w:rPr>
              <w:t>En curso</w:t>
            </w:r>
          </w:p>
        </w:tc>
      </w:tr>
      <w:tr>
        <w:tc>
          <w:tcPr>
            <w:tcW w:type="dxa" w:w="2381"/>
          </w:tcPr>
          <w:p>
            <w:r/>
            <w:r>
              <w:rPr>
                <w:sz w:val="18"/>
              </w:rPr>
              <w:t>H7. Sustentacion</w:t>
            </w:r>
          </w:p>
        </w:tc>
        <w:tc>
          <w:tcPr>
            <w:tcW w:type="dxa" w:w="4252"/>
          </w:tcPr>
          <w:p>
            <w:r/>
            <w:r>
              <w:rPr>
                <w:sz w:val="18"/>
              </w:rPr>
              <w:t>Documento oficial + defensa</w:t>
            </w:r>
          </w:p>
        </w:tc>
        <w:tc>
          <w:tcPr>
            <w:tcW w:type="dxa" w:w="2268"/>
          </w:tcPr>
          <w:p>
            <w:r/>
            <w:r>
              <w:rPr>
                <w:sz w:val="18"/>
              </w:rPr>
              <w:t>Pendiente institucional</w:t>
            </w:r>
          </w:p>
        </w:tc>
      </w:tr>
    </w:tbl>
    <w:p/>
    <w:p>
      <w:pPr>
        <w:jc w:val="both"/>
      </w:pPr>
      <w:r>
        <w:rPr>
          <w:b w:val="0"/>
          <w:i w:val="0"/>
        </w:rPr>
        <w:t>La culminacion academica queda condicionada a completar la campaña multi-semilla entrenada (H2) y la homogenizacion episódica HAPPO (H1) antes de afirmar efecto causal diferenciado del algoritmo MADRL sobre la VD multiobjetivo en el SEAI Iquitos. El diseño, los runners y la evidencia seed=0 + KPI-gains 4/4 ya estan cerrados en Caps. 4–5.</w:t>
      </w:r>
    </w:p>
    <w:p>
      <w:pPr>
        <w:pStyle w:val="Heading1"/>
        <w:pageBreakBefore/>
        <w:spacing w:line="480" w:lineRule="auto" w:before="0" w:after="0"/>
        <w:jc w:val="center"/>
      </w:pPr>
      <w:r>
        <w:rPr>
          <w:rFonts w:ascii="Times New Roman" w:hAnsi="Times New Roman" w:cs="Times New Roman" w:eastAsia="Times New Roman"/>
          <w:color w:val="000000"/>
          <w:sz w:val="24"/>
        </w:rPr>
        <w:t>Referencias bibliograficas</w:t>
      </w:r>
    </w:p>
    <w:p>
      <w:pPr>
        <w:spacing w:line="480" w:lineRule="auto" w:before="0" w:after="0"/>
        <w:ind w:left="720" w:hanging="720"/>
        <w:jc w:val="left"/>
      </w:pPr>
      <w:r>
        <w:rPr>
          <w:rFonts w:ascii="Times New Roman" w:hAnsi="Times New Roman" w:cs="Times New Roman" w:eastAsia="Times New Roman"/>
          <w:b w:val="0"/>
          <w:i/>
          <w:color w:val="000000"/>
          <w:sz w:val="24"/>
        </w:rPr>
        <w:t>Formato APA (7.a ed.). Fuente consolidada del skill: docs/tesis_capitulos/Referencias_APA.md (60 entradas) + citas en texto y protocolo estadistico RL (66 referencias unicas; 6 marcadas [PV]).</w:t>
      </w:r>
    </w:p>
    <w:p>
      <w:pPr>
        <w:spacing w:after="0" w:line="480" w:lineRule="auto" w:before="0"/>
        <w:ind w:left="720" w:hanging="720"/>
        <w:jc w:val="left"/>
      </w:pPr>
      <w:r>
        <w:rPr>
          <w:rFonts w:ascii="Times New Roman" w:hAnsi="Times New Roman" w:cs="Times New Roman" w:eastAsia="Times New Roman"/>
          <w:color w:val="000000"/>
          <w:sz w:val="24"/>
        </w:rPr>
        <w:t>Abels, A., Roijers, D., Lenaerts, T., Nowe, A., &amp; Steckelmacher, D. (2019). Dynamic weights in multi-objective deep reinforcement learning. En Proceedings of the 36th International Conference on Machine Learning (PMLR 97, pp. 11-20). https://arxiv.org/abs/1809.07803</w:t>
      </w:r>
    </w:p>
    <w:p>
      <w:pPr>
        <w:spacing w:after="0" w:line="480" w:lineRule="auto" w:before="0"/>
        <w:ind w:left="720" w:hanging="720"/>
        <w:jc w:val="left"/>
      </w:pPr>
      <w:r>
        <w:rPr>
          <w:rFonts w:ascii="Times New Roman" w:hAnsi="Times New Roman" w:cs="Times New Roman" w:eastAsia="Times New Roman"/>
          <w:color w:val="000000"/>
          <w:sz w:val="24"/>
        </w:rPr>
        <w:t>Agarwal, R., Schwarzer, M., Castro, P. S., Courville, A., &amp; Bellemare, M. G. (2021). Deep reinforcement learning at the edge of the statistical precipice. En Advances in Neural Information Processing Systems, 34, 29304-29320. https://arxiv.org/abs/2108.13264</w:t>
      </w:r>
    </w:p>
    <w:p>
      <w:pPr>
        <w:spacing w:after="0" w:line="480" w:lineRule="auto" w:before="0"/>
        <w:ind w:left="720" w:hanging="720"/>
        <w:jc w:val="left"/>
      </w:pPr>
      <w:r>
        <w:rPr>
          <w:rFonts w:ascii="Times New Roman" w:hAnsi="Times New Roman" w:cs="Times New Roman" w:eastAsia="Times New Roman"/>
          <w:color w:val="000000"/>
          <w:sz w:val="24"/>
        </w:rPr>
        <w:t>Ahmed, A., et al. (2025). Multiagent reinforcement learning framework for optimal grid integration of distributed renewable electricity sources with energy storage systems. International Journal of Low-Carbon Technologies. https://doi.org/10.1093/ijlct/ctaf142 [PV — verificar primer autor]</w:t>
      </w:r>
    </w:p>
    <w:p>
      <w:pPr>
        <w:spacing w:after="0" w:line="480" w:lineRule="auto" w:before="0"/>
        <w:ind w:left="720" w:hanging="720"/>
        <w:jc w:val="left"/>
      </w:pPr>
      <w:r>
        <w:rPr>
          <w:rFonts w:ascii="Times New Roman" w:hAnsi="Times New Roman" w:cs="Times New Roman" w:eastAsia="Times New Roman"/>
          <w:color w:val="000000"/>
          <w:sz w:val="24"/>
        </w:rPr>
        <w:t>Akiba, T., Sano, S., Yanase, T., Ohta, T., &amp; Koyama, M. (2019). Optuna: A next-generation hyperparameter optimization framework. En Proceedings of the 25th ACM SIGKDD International Conference on Knowledge Discovery &amp; Data Mining (pp. 2623–2631). ACM. https://doi.org/10.1145/3292500.3330701</w:t>
      </w:r>
    </w:p>
    <w:p>
      <w:pPr>
        <w:spacing w:after="0" w:line="480" w:lineRule="auto" w:before="0"/>
        <w:ind w:left="720" w:hanging="720"/>
        <w:jc w:val="left"/>
      </w:pPr>
      <w:r>
        <w:rPr>
          <w:rFonts w:ascii="Times New Roman" w:hAnsi="Times New Roman" w:cs="Times New Roman" w:eastAsia="Times New Roman"/>
          <w:color w:val="000000"/>
          <w:sz w:val="24"/>
        </w:rPr>
        <w:t>Antonanzas, J., Osorio, N., Escobar, R., Urraca, R., Martinez-de-Pison, F. J., &amp; Antonanzas-Torres, F. (2021). Review of photovoltaic power forecasting. Solar Energy, 136, 78–111. https://doi.org/10.1016/j.solener.2016.06.069</w:t>
      </w:r>
    </w:p>
    <w:p>
      <w:pPr>
        <w:spacing w:after="0" w:line="480" w:lineRule="auto" w:before="0"/>
        <w:ind w:left="720" w:hanging="720"/>
        <w:jc w:val="left"/>
      </w:pPr>
      <w:r>
        <w:rPr>
          <w:rFonts w:ascii="Times New Roman" w:hAnsi="Times New Roman" w:cs="Times New Roman" w:eastAsia="Times New Roman"/>
          <w:color w:val="000000"/>
          <w:sz w:val="24"/>
        </w:rPr>
        <w:t>Cao, J., Yu, T., Guo, H., &amp; Cao, H. (2023). Grid carbon intensity forecasting for building energy management. IEEE Transactions on Smart Grid, 14(4), 2891–2903. https://doi.org/10.1109/TSG.2022.3228223</w:t>
      </w:r>
    </w:p>
    <w:p>
      <w:pPr>
        <w:spacing w:after="0" w:line="480" w:lineRule="auto" w:before="0"/>
        <w:ind w:left="720" w:hanging="720"/>
        <w:jc w:val="left"/>
      </w:pPr>
      <w:r>
        <w:rPr>
          <w:rFonts w:ascii="Times New Roman" w:hAnsi="Times New Roman" w:cs="Times New Roman" w:eastAsia="Times New Roman"/>
          <w:color w:val="000000"/>
          <w:sz w:val="24"/>
        </w:rPr>
        <w:t>Chen, L., He, H., Jing, R., Xie, M., &amp; Ye, K. (2024). Energy management in integrated energy system with electric vehicles as mobile energy storage: An approach using bi-level deep reinforcement learning. Energy, 307. https://doi.org/10.1016/j.energy.2024.132599</w:t>
      </w:r>
    </w:p>
    <w:p>
      <w:r>
        <w:rPr>
          <w:rFonts w:ascii="Times New Roman" w:hAnsi="Times New Roman" w:cs="Times New Roman"/>
          <w:b w:val="0"/>
          <w:sz w:val="24"/>
        </w:rPr>
        <w:t>Creswell, J. W., &amp; Creswell, J. D. (2023). Research design: Qualitative, quantitative, and mixed methods approaches (6th ed.). SAGE Publications.</w:t>
      </w:r>
    </w:p>
    <w:p>
      <w:pPr>
        <w:spacing w:after="0" w:line="480" w:lineRule="auto" w:before="0"/>
        <w:ind w:left="720" w:hanging="720"/>
        <w:jc w:val="left"/>
      </w:pPr>
      <w:r>
        <w:rPr>
          <w:rFonts w:ascii="Times New Roman" w:hAnsi="Times New Roman" w:cs="Times New Roman" w:eastAsia="Times New Roman"/>
          <w:color w:val="000000"/>
          <w:sz w:val="24"/>
        </w:rPr>
        <w:t>Chen, Y., et al. (2025). Multi-agent deep reinforcement learning for smart building energy management with chance constraints. Energy and Buildings. https://doi.org/10.1016/j.enbuild.2025.115380 [PV — verificar autores]</w:t>
      </w:r>
    </w:p>
    <w:p>
      <w:pPr>
        <w:spacing w:after="0" w:line="480" w:lineRule="auto" w:before="0"/>
        <w:ind w:left="720" w:hanging="720"/>
        <w:jc w:val="left"/>
      </w:pPr>
      <w:r>
        <w:rPr>
          <w:rFonts w:ascii="Times New Roman" w:hAnsi="Times New Roman" w:cs="Times New Roman" w:eastAsia="Times New Roman"/>
          <w:color w:val="000000"/>
          <w:sz w:val="24"/>
        </w:rPr>
        <w:t>Colas, C., Sigaud, O., &amp; Oudeyer, P.-Y. (2019). A hitchhiker's guide to statistical comparisons of reinforcement learning algorithms. arXiv. https://arxiv.org/abs/1904.06979</w:t>
      </w:r>
    </w:p>
    <w:p>
      <w:pPr>
        <w:spacing w:after="0" w:line="480" w:lineRule="auto" w:before="0"/>
        <w:ind w:left="720" w:hanging="720"/>
        <w:jc w:val="left"/>
      </w:pPr>
      <w:r>
        <w:rPr>
          <w:rFonts w:ascii="Times New Roman" w:hAnsi="Times New Roman" w:cs="Times New Roman" w:eastAsia="Times New Roman"/>
          <w:color w:val="000000"/>
          <w:sz w:val="24"/>
        </w:rPr>
        <w:t>Dang, T., Zheng, Y., Yao, L., Li, Z., Gong, D., &amp; Zhu, F. (2023). Demand charge reduction for commercial buildings with BESS under real-time pricing. Applied Energy, 330, 120318. https://doi.org/10.1016/j.apenergy.2022.120318</w:t>
      </w:r>
    </w:p>
    <w:p>
      <w:pPr>
        <w:spacing w:after="0" w:line="480" w:lineRule="auto" w:before="0"/>
        <w:ind w:left="720" w:hanging="720"/>
        <w:jc w:val="left"/>
      </w:pPr>
      <w:r>
        <w:rPr>
          <w:rFonts w:ascii="Times New Roman" w:hAnsi="Times New Roman" w:cs="Times New Roman" w:eastAsia="Times New Roman"/>
          <w:color w:val="000000"/>
          <w:sz w:val="24"/>
        </w:rPr>
        <w:t>Demsar, J. (2006). Statistical comparisons of classifiers over multiple data sets. Journal of Machine Learning Research, 7, 1-30.</w:t>
      </w:r>
    </w:p>
    <w:p>
      <w:pPr>
        <w:spacing w:after="0" w:line="480" w:lineRule="auto" w:before="0"/>
        <w:ind w:left="720" w:hanging="720"/>
        <w:jc w:val="left"/>
      </w:pPr>
      <w:r>
        <w:rPr>
          <w:rFonts w:ascii="Times New Roman" w:hAnsi="Times New Roman" w:cs="Times New Roman" w:eastAsia="Times New Roman"/>
          <w:color w:val="000000"/>
          <w:sz w:val="24"/>
        </w:rPr>
        <w:t>Dunn, O. J. (1964). Multiple comparisons using rank sums. Technometrics, 6(3), 241-252. https://doi.org/10.1080/00401706.1964.10490181</w:t>
      </w:r>
    </w:p>
    <w:p>
      <w:pPr>
        <w:spacing w:after="0" w:line="480" w:lineRule="auto" w:before="0"/>
        <w:ind w:left="720" w:hanging="720"/>
        <w:jc w:val="left"/>
      </w:pPr>
      <w:r>
        <w:rPr>
          <w:rFonts w:ascii="Times New Roman" w:hAnsi="Times New Roman" w:cs="Times New Roman" w:eastAsia="Times New Roman"/>
          <w:color w:val="000000"/>
          <w:sz w:val="24"/>
        </w:rPr>
        <w:t>Electro Oriente S.A. (2023-2025). Facturas mensuales de edificios institucionales del SEAI Iquitos. Loreto, Peru.</w:t>
      </w:r>
    </w:p>
    <w:p>
      <w:pPr>
        <w:spacing w:after="0" w:line="480" w:lineRule="auto" w:before="0"/>
        <w:ind w:left="720" w:hanging="720"/>
        <w:jc w:val="left"/>
      </w:pPr>
      <w:r>
        <w:rPr>
          <w:rFonts w:ascii="Times New Roman" w:hAnsi="Times New Roman" w:cs="Times New Roman" w:eastAsia="Times New Roman"/>
          <w:color w:val="000000"/>
          <w:sz w:val="24"/>
        </w:rPr>
        <w:t>Fang, X., Zhao, Q., Wang, J., Han, Y., &amp; Li, Y. (2021). Multi-agent deep reinforcement learning for distributed energy management and strategy optimization of microgrid market. Sustainable Cities and Society, 74, 103163. https://doi.org/10.1016/j.scs.2021.103163</w:t>
      </w:r>
    </w:p>
    <w:p>
      <w:pPr>
        <w:spacing w:after="0" w:line="480" w:lineRule="auto" w:before="0"/>
        <w:ind w:left="720" w:hanging="720"/>
        <w:jc w:val="left"/>
      </w:pPr>
      <w:r>
        <w:rPr>
          <w:rFonts w:ascii="Times New Roman" w:hAnsi="Times New Roman" w:cs="Times New Roman" w:eastAsia="Times New Roman"/>
          <w:color w:val="000000"/>
          <w:sz w:val="24"/>
        </w:rPr>
        <w:t>Felicetti, R., Iarlori, S., Monteriù, A., et al. (2024). Peak shaving and self-consumption maximization in home energy management systems: A combined integer programming and reinforcement learning approach. Computers &amp; Electrical Engineering, 117, 109217. https://doi.org/10.1016/j.compeleceng.2024.109217</w:t>
      </w:r>
    </w:p>
    <w:p>
      <w:pPr>
        <w:spacing w:after="0" w:line="480" w:lineRule="auto" w:before="0"/>
        <w:ind w:left="720" w:hanging="720"/>
        <w:jc w:val="left"/>
      </w:pPr>
      <w:r>
        <w:rPr>
          <w:rFonts w:ascii="Times New Roman" w:hAnsi="Times New Roman" w:cs="Times New Roman" w:eastAsia="Times New Roman"/>
          <w:color w:val="000000"/>
          <w:sz w:val="24"/>
        </w:rPr>
        <w:t>Felten, F., Talbi, E.-G., &amp; Danoy, G. (2024). Multi-objective reinforcement learning based on decomposition: A taxonomy and framework. Journal of Artificial Intelligence Research, 79. https://arxiv.org/abs/2311.12495</w:t>
      </w:r>
    </w:p>
    <w:p>
      <w:pPr>
        <w:spacing w:after="0" w:line="480" w:lineRule="auto" w:before="0"/>
        <w:ind w:left="720" w:hanging="720"/>
        <w:jc w:val="left"/>
      </w:pPr>
      <w:r>
        <w:rPr>
          <w:rFonts w:ascii="Times New Roman" w:hAnsi="Times New Roman" w:cs="Times New Roman" w:eastAsia="Times New Roman"/>
          <w:color w:val="000000"/>
          <w:sz w:val="24"/>
        </w:rPr>
        <w:t>Fujimoto, S., van Hoof, H., &amp; Meger, D. (2018). Addressing function approximation error in actor-critic methods (TD3). En Proceedings of the 35th International Conference on Machine Learning (PMLR 80, pp. 1587-1596). https://arxiv.org/abs/1802.09477</w:t>
      </w:r>
    </w:p>
    <w:p>
      <w:pPr>
        <w:spacing w:after="0" w:line="480" w:lineRule="auto" w:before="0"/>
        <w:ind w:left="720" w:hanging="720"/>
        <w:jc w:val="left"/>
      </w:pPr>
      <w:r>
        <w:rPr>
          <w:rFonts w:ascii="Times New Roman" w:hAnsi="Times New Roman" w:cs="Times New Roman" w:eastAsia="Times New Roman"/>
          <w:color w:val="000000"/>
          <w:sz w:val="24"/>
        </w:rPr>
        <w:t>Gao, J., Li, Y., Wang, B., &amp; Wu, H. (2023). Multi-microgrid collaborative optimization scheduling using an improved multi-agent soft actor-critic algorithm. Energies, 16(7), 3248. https://doi.org/10.3390/en16073248</w:t>
      </w:r>
    </w:p>
    <w:p>
      <w:pPr>
        <w:spacing w:after="0" w:line="480" w:lineRule="auto" w:before="0"/>
        <w:ind w:left="720" w:hanging="720"/>
        <w:jc w:val="left"/>
      </w:pPr>
      <w:r>
        <w:rPr>
          <w:rFonts w:ascii="Times New Roman" w:hAnsi="Times New Roman" w:cs="Times New Roman" w:eastAsia="Times New Roman"/>
          <w:color w:val="000000"/>
          <w:sz w:val="24"/>
        </w:rPr>
        <w:t>Haarnoja, T., Zhou, A., Abbeel, P., &amp; Levine, S. (2018). Soft Actor-Critic: Off-policy maximum entropy deep reinforcement learning with a stochastic actor. En Proceedings of the 35th International Conference on Machine Learning (PMLR 80, pp. 1861–1870). https://proceedings.mlr.press/v80/haarnoja18b.html</w:t>
      </w:r>
    </w:p>
    <w:p>
      <w:pPr>
        <w:spacing w:after="0" w:line="480" w:lineRule="auto" w:before="0"/>
        <w:ind w:left="720" w:hanging="720"/>
        <w:jc w:val="left"/>
      </w:pPr>
      <w:r>
        <w:rPr>
          <w:rFonts w:ascii="Times New Roman" w:hAnsi="Times New Roman" w:cs="Times New Roman" w:eastAsia="Times New Roman"/>
          <w:color w:val="000000"/>
          <w:sz w:val="24"/>
        </w:rPr>
        <w:t>Henderson, P., Islam, R., Bachman, P., Pineau, J., Precup, D., &amp; Meger, D. (2018). Deep reinforcement learning that matters. Proceedings of the AAAI Conference on Artificial Intelligence, 32(1). https://doi.org/10.1609/aaai.v32i1.11694</w:t>
      </w:r>
    </w:p>
    <w:p>
      <w:pPr>
        <w:spacing w:after="0" w:line="480" w:lineRule="auto" w:before="0"/>
        <w:ind w:left="720" w:hanging="720"/>
        <w:jc w:val="left"/>
      </w:pPr>
      <w:r>
        <w:rPr>
          <w:rFonts w:ascii="Times New Roman" w:hAnsi="Times New Roman" w:cs="Times New Roman" w:eastAsia="Times New Roman"/>
          <w:color w:val="000000"/>
          <w:sz w:val="24"/>
        </w:rPr>
        <w:t>Hribar, J., Mohorčič, M., &amp; Čampa, A. (2025). Improving energy autonomy of positive energy districts using multi-agent deep reinforcement learning. Scientific Reports, 15, 27798. https://doi.org/10.1038/s41598-025-12554-x</w:t>
      </w:r>
    </w:p>
    <w:p>
      <w:pPr>
        <w:spacing w:after="0" w:line="480" w:lineRule="auto" w:before="0"/>
        <w:ind w:left="720" w:hanging="720"/>
        <w:jc w:val="left"/>
      </w:pPr>
      <w:r>
        <w:rPr>
          <w:rFonts w:ascii="Times New Roman" w:hAnsi="Times New Roman" w:cs="Times New Roman" w:eastAsia="Times New Roman"/>
          <w:color w:val="000000"/>
          <w:sz w:val="24"/>
        </w:rPr>
        <w:t>Hu, S., Zhong, Y., Gao, M., Wang, W., Dong, H., Liang, X., Li, Z., Chang, X., &amp; Yang, Y. (2023). MARLlib: A scalable and efficient multi-agent reinforcement learning library. Journal of Machine Learning Research, 24(315), 1–23. https://www.jmlr.org/papers/v24/23-0378.html</w:t>
      </w:r>
    </w:p>
    <w:p>
      <w:pPr>
        <w:spacing w:after="0" w:line="480" w:lineRule="auto" w:before="0"/>
        <w:ind w:left="720" w:hanging="720"/>
        <w:jc w:val="left"/>
      </w:pPr>
      <w:r>
        <w:rPr>
          <w:rFonts w:ascii="Times New Roman" w:hAnsi="Times New Roman" w:cs="Times New Roman" w:eastAsia="Times New Roman"/>
          <w:color w:val="000000"/>
          <w:sz w:val="24"/>
        </w:rPr>
        <w:t>International Electrotechnical Commission. (2021). IEC 61215-1:2021 — Terrestrial photovoltaic (PV) modules — Design qualification and type approval. IEC.</w:t>
      </w:r>
    </w:p>
    <w:p>
      <w:pPr>
        <w:spacing w:after="0" w:line="480" w:lineRule="auto" w:before="0"/>
        <w:ind w:left="720" w:hanging="720"/>
        <w:jc w:val="left"/>
      </w:pPr>
      <w:r>
        <w:rPr>
          <w:rFonts w:ascii="Times New Roman" w:hAnsi="Times New Roman" w:cs="Times New Roman" w:eastAsia="Times New Roman"/>
          <w:color w:val="000000"/>
          <w:sz w:val="24"/>
        </w:rPr>
        <w:t>Iqbal, S., &amp; Sha, F. (2019). Actor-Attention-Critic for multi-agent reinforcement learning. En Proceedings of the 36th International Conference on Machine Learning (PMLR 97, pp. 2961–2970). https://proceedings.mlr.press/v97/iqbal19a.html</w:t>
      </w:r>
    </w:p>
    <w:p>
      <w:pPr>
        <w:spacing w:after="0" w:line="480" w:lineRule="auto" w:before="0"/>
        <w:ind w:left="720" w:hanging="720"/>
        <w:jc w:val="left"/>
      </w:pPr>
      <w:r>
        <w:rPr>
          <w:rFonts w:ascii="Times New Roman" w:hAnsi="Times New Roman" w:cs="Times New Roman" w:eastAsia="Times New Roman"/>
          <w:color w:val="000000"/>
          <w:sz w:val="24"/>
        </w:rPr>
        <w:t>Kathirgamanathan, A., Twardowski, K., Mangina, E., &amp; Finn, D. P. (2020). A centralised soft actor critic deep reinforcement learning approach to district demand side management through CityLearn. En Proceedings of the 1st International Workshop on Reinforcement Learning for Energy Management in Buildings &amp; Cities (RLEM 2020). ACM. https://doi.org/10.1145/3427773.3427869</w:t>
      </w:r>
    </w:p>
    <w:p>
      <w:pPr>
        <w:spacing w:after="0" w:line="480" w:lineRule="auto" w:before="0"/>
        <w:ind w:left="720" w:hanging="720"/>
        <w:jc w:val="left"/>
      </w:pPr>
      <w:r>
        <w:rPr>
          <w:rFonts w:ascii="Times New Roman" w:hAnsi="Times New Roman" w:cs="Times New Roman" w:eastAsia="Times New Roman"/>
          <w:color w:val="000000"/>
          <w:sz w:val="24"/>
        </w:rPr>
        <w:t>Kim, J., et al. (2025). Demand response for residential appliances using multi-agent reinforcement learning with price and solar uncertainty. Energy Reports, 13. https://doi.org/10.1016/j.egyr.2025.005 [PV — verificar autores y nº de artículo]</w:t>
      </w:r>
    </w:p>
    <w:p>
      <w:pPr>
        <w:spacing w:after="0" w:line="480" w:lineRule="auto" w:before="0"/>
        <w:ind w:left="720" w:hanging="720"/>
        <w:jc w:val="left"/>
      </w:pPr>
      <w:r>
        <w:rPr>
          <w:rFonts w:ascii="Times New Roman" w:hAnsi="Times New Roman" w:cs="Times New Roman" w:eastAsia="Times New Roman"/>
          <w:color w:val="000000"/>
          <w:sz w:val="24"/>
        </w:rPr>
        <w:t>Kuba, J. G., Chen, R., Wen, M., Wen, Y., Sun, F., Wang, J., &amp; Yang, Y. (2021). Trust region policy optimisation in multi-agent reinforcement learning. arXiv. https://arxiv.org/abs/2109.11251</w:t>
      </w:r>
    </w:p>
    <w:p>
      <w:pPr>
        <w:spacing w:after="0" w:line="480" w:lineRule="auto" w:before="0"/>
        <w:ind w:left="720" w:hanging="720"/>
        <w:jc w:val="left"/>
      </w:pPr>
      <w:r>
        <w:rPr>
          <w:rFonts w:ascii="Times New Roman" w:hAnsi="Times New Roman" w:cs="Times New Roman" w:eastAsia="Times New Roman"/>
          <w:color w:val="000000"/>
          <w:sz w:val="24"/>
        </w:rPr>
        <w:t>Li, Y., Wu, J., &amp; Pan, Y. (2024). Deep reinforcement learning for online scheduling of photovoltaic systems with battery energy storage systems. Intelligent and Converged Networks, 5(1), 28–41. https://doi.org/10.23919/ICN.2024.0003</w:t>
      </w:r>
    </w:p>
    <w:p>
      <w:pPr>
        <w:spacing w:after="0" w:line="480" w:lineRule="auto" w:before="0"/>
        <w:ind w:left="720" w:hanging="720"/>
        <w:jc w:val="left"/>
      </w:pPr>
      <w:r>
        <w:rPr>
          <w:rFonts w:ascii="Times New Roman" w:hAnsi="Times New Roman" w:cs="Times New Roman" w:eastAsia="Times New Roman"/>
          <w:color w:val="000000"/>
          <w:sz w:val="24"/>
        </w:rPr>
        <w:t>Liu, Y., Zhang, Q., &amp; Guo, Y. (2022). Multi-agent deep reinforcement learning for building energy system with renewable energy. Applied Energy, 313, 118703. https://doi.org/10.1016/j.apenergy.2022.118703</w:t>
      </w:r>
    </w:p>
    <w:p>
      <w:pPr>
        <w:spacing w:after="0" w:line="480" w:lineRule="auto" w:before="0"/>
        <w:ind w:left="720" w:hanging="720"/>
        <w:jc w:val="left"/>
      </w:pPr>
      <w:r>
        <w:rPr>
          <w:rFonts w:ascii="Times New Roman" w:hAnsi="Times New Roman" w:cs="Times New Roman" w:eastAsia="Times New Roman"/>
          <w:color w:val="000000"/>
          <w:sz w:val="24"/>
        </w:rPr>
        <w:t>Lowe, R., Wu, Y., Tamar, A., Harb, J., Abbeel, P., &amp; Mordatch, I. (2017). Multi-agent actor-critic for mixed cooperative-competitive environments. En Advances in Neural Information Processing Systems 30 (pp. 6382–6393). https://proceedings.neurips.cc/paper/2017/hash/68a9750337a418a86fe06c1991a1d64c-Abstract.html</w:t>
      </w:r>
    </w:p>
    <w:p>
      <w:pPr>
        <w:spacing w:after="0" w:line="480" w:lineRule="auto" w:before="0"/>
        <w:ind w:left="720" w:hanging="720"/>
        <w:jc w:val="left"/>
      </w:pPr>
      <w:r>
        <w:rPr>
          <w:rFonts w:ascii="Times New Roman" w:hAnsi="Times New Roman" w:cs="Times New Roman" w:eastAsia="Times New Roman"/>
          <w:color w:val="000000"/>
          <w:sz w:val="24"/>
        </w:rPr>
        <w:t>Lund, H., Østergaard, P. A., Connolly, D., &amp; Mathiesen, B. V. (2017). Smart energy and smart energy systems. Energy, 137, 556–565. https://doi.org/10.1016/j.energy.2016.12.003</w:t>
      </w:r>
    </w:p>
    <w:p>
      <w:pPr>
        <w:spacing w:after="0" w:line="480" w:lineRule="auto" w:before="0"/>
        <w:ind w:left="720" w:hanging="720"/>
        <w:jc w:val="left"/>
      </w:pPr>
      <w:r>
        <w:rPr>
          <w:rFonts w:ascii="Times New Roman" w:hAnsi="Times New Roman" w:cs="Times New Roman" w:eastAsia="Times New Roman"/>
          <w:color w:val="000000"/>
          <w:sz w:val="24"/>
        </w:rPr>
        <w:t>Ma, Q., Ye, Y., Liu, Z., Liu, X., &amp; Strbac, G. (2025). Carbon cap based multi-energy sharing among heterogeneous microgrids using multi-agent safe reinforcement learning method with credit assignment and sequential update. Applied Energy, 393, 126018. https://doi.org/10.1016/j.apenergy.2025.126018</w:t>
      </w:r>
    </w:p>
    <w:p>
      <w:pPr>
        <w:spacing w:after="0" w:line="480" w:lineRule="auto" w:before="0"/>
        <w:ind w:left="720" w:hanging="720"/>
        <w:jc w:val="left"/>
      </w:pPr>
      <w:r>
        <w:rPr>
          <w:rFonts w:ascii="Times New Roman" w:hAnsi="Times New Roman" w:cs="Times New Roman"/>
          <w:b w:val="0"/>
          <w:sz w:val="24"/>
        </w:rPr>
        <w:t>Ministerio del Ambiente del Perú [MINAM]. (2019). INFOCARBONO — RAGEI 2019 Energía. https://infocarbono.minam.gob.pe/</w:t>
      </w:r>
    </w:p>
    <w:p>
      <w:pPr>
        <w:spacing w:after="0" w:line="480" w:lineRule="auto" w:before="0"/>
        <w:ind w:left="720" w:hanging="720"/>
        <w:jc w:val="left"/>
      </w:pPr>
      <w:r>
        <w:rPr>
          <w:rFonts w:ascii="Times New Roman" w:hAnsi="Times New Roman" w:cs="Times New Roman" w:eastAsia="Times New Roman"/>
          <w:color w:val="000000"/>
          <w:sz w:val="24"/>
        </w:rPr>
        <w:t>Naumann, M., Schimpe, M., Keil, P., Hesse, H. C., &amp; Jossen, A. (2021). Analysis and modeling of calendar aging of a commercial LiFePO4/graphite cell. Journal of Energy Storage, 36, 102160. https://doi.org/10.1016/j.est.2021.102160</w:t>
      </w:r>
    </w:p>
    <w:p>
      <w:pPr>
        <w:spacing w:after="0" w:line="480" w:lineRule="auto" w:before="0"/>
        <w:ind w:left="720" w:hanging="720"/>
        <w:jc w:val="left"/>
      </w:pPr>
      <w:r>
        <w:rPr>
          <w:rFonts w:ascii="Times New Roman" w:hAnsi="Times New Roman" w:cs="Times New Roman" w:eastAsia="Times New Roman"/>
          <w:color w:val="000000"/>
          <w:sz w:val="24"/>
        </w:rPr>
        <w:t>Nweye, K., Kaspar, K., Buscemi, G., Pinto, G., Li, H., Hong, T., Ouf, M., Capozzoli, A., &amp; Nagy, Z. (2023c). CityLearn v2: An OpenAI Gym environment for demand response control benchmarking in grid-interactive communities. En Proceedings of the 10th ACM International Conference on Systems for Energy-Efficient Buildings, Cities, and Transportation (BuildSys '23). ACM. https://doi.org/10.1145/3600100.3626257</w:t>
      </w:r>
    </w:p>
    <w:p>
      <w:r>
        <w:rPr>
          <w:rFonts w:ascii="Times New Roman" w:hAnsi="Times New Roman" w:cs="Times New Roman"/>
          <w:b w:val="0"/>
          <w:sz w:val="24"/>
        </w:rPr>
        <w:t>Nweye, K., et al. (2023b). Heterogeneous multi-agent reinforcement learning for grid-interactive communities. En Proceedings of the 10th ACM International Conference on Systems for Energy-Efficient Buildings, Cities, and Transportation. ACM. https://doi.org/10.1145/3600100.3626276</w:t>
      </w:r>
    </w:p>
    <w:p>
      <w:r>
        <w:rPr>
          <w:rFonts w:ascii="Times New Roman" w:hAnsi="Times New Roman" w:cs="Times New Roman"/>
          <w:b w:val="0"/>
          <w:sz w:val="24"/>
        </w:rPr>
        <w:t>Nweye, K., Sankaranarayanan, S., &amp; Nagy, Z. (2023a). MERLIN: Multi-agent offline and transfer learning for occupant-centric operation of grid-interactive communities. Applied Energy. https://arxiv.org/abs/2301.01148</w:t>
      </w:r>
    </w:p>
    <w:p>
      <w:pPr>
        <w:spacing w:after="0" w:line="480" w:lineRule="auto" w:before="0"/>
        <w:ind w:left="720" w:hanging="720"/>
        <w:jc w:val="left"/>
      </w:pPr>
      <w:r>
        <w:rPr>
          <w:rFonts w:ascii="Times New Roman" w:hAnsi="Times New Roman" w:cs="Times New Roman" w:eastAsia="Times New Roman"/>
          <w:color w:val="000000"/>
          <w:sz w:val="24"/>
        </w:rPr>
        <w:t>Nweye, K., Kaspar, R., Manweiler, A., Kalbfleisch, M., Amara, N., &amp; Nagy, Z. (2024). CityLearn v2: Energy-flexible, resilient, occupant-centric, and carbon-aware management of grid-interactive communities. Journal of Building Performance Simulation, 18(1). https://doi.org/10.1080/19401493.2024.2418813</w:t>
      </w:r>
    </w:p>
    <w:p>
      <w:pPr>
        <w:spacing w:after="0" w:line="480" w:lineRule="auto" w:before="0"/>
        <w:ind w:left="720" w:hanging="720"/>
        <w:jc w:val="left"/>
      </w:pPr>
      <w:r>
        <w:rPr>
          <w:rFonts w:ascii="Times New Roman" w:hAnsi="Times New Roman" w:cs="Times New Roman" w:eastAsia="Times New Roman"/>
          <w:color w:val="000000"/>
          <w:sz w:val="24"/>
        </w:rPr>
        <w:t>Nweye, K., Liu, B., Stone, P., &amp; Nagy, Z. (2022). Real-world challenges for multi-agent reinforcement learning in grid-interactive buildings. Energy and AI. https://doi.org/10.1016/j.egyai.2022.100202</w:t>
      </w:r>
    </w:p>
    <w:p>
      <w:pPr>
        <w:spacing w:after="0" w:line="480" w:lineRule="auto" w:before="0"/>
        <w:ind w:left="720" w:hanging="720"/>
        <w:jc w:val="left"/>
      </w:pPr>
      <w:r>
        <w:rPr>
          <w:rFonts w:ascii="Times New Roman" w:hAnsi="Times New Roman" w:cs="Times New Roman" w:eastAsia="Times New Roman"/>
          <w:color w:val="000000"/>
          <w:sz w:val="24"/>
        </w:rPr>
        <w:t>Oliehoek, F. A., &amp; Amato, C. (2016). A concise introduction to decentralized POMDPs. Springer. https://doi.org/10.1007/978-3-319-28929-8</w:t>
      </w:r>
    </w:p>
    <w:p>
      <w:pPr>
        <w:spacing w:after="0" w:line="480" w:lineRule="auto" w:before="0"/>
        <w:ind w:left="720" w:hanging="720"/>
        <w:jc w:val="left"/>
      </w:pPr>
      <w:r>
        <w:rPr>
          <w:rFonts w:ascii="Times New Roman" w:hAnsi="Times New Roman" w:cs="Times New Roman" w:eastAsia="Times New Roman"/>
          <w:color w:val="000000"/>
          <w:sz w:val="24"/>
        </w:rPr>
        <w:t>Oliehoek, F. A., Spaan, M. T. J., Amato, C., &amp; Whiteson, S. (2013). Incremental clustering and expansion for faster optimal planning in Dec-POMDPs. Journal of Artificial Intelligence Research, 46, 449–509. https://doi.org/10.1613/jair.3745</w:t>
      </w:r>
    </w:p>
    <w:p>
      <w:pPr>
        <w:spacing w:after="0" w:line="480" w:lineRule="auto" w:before="0"/>
        <w:ind w:left="720" w:hanging="720"/>
        <w:jc w:val="left"/>
      </w:pPr>
      <w:r>
        <w:rPr>
          <w:rFonts w:ascii="Times New Roman" w:hAnsi="Times New Roman" w:cs="Times New Roman"/>
          <w:b w:val="0"/>
          <w:sz w:val="24"/>
        </w:rPr>
        <w:t>Organismo Supervisor de la Inversión en Energía y Minería [OSINERGMIN]. (2024). Resolución de Consejo Directivo N.° 0024-2024-OS/CD — Tarifas de Distribución Eléctrica MT-3/MT-4, Electro Oriente S.A.</w:t>
      </w:r>
    </w:p>
    <w:p>
      <w:pPr>
        <w:spacing w:after="0" w:line="480" w:lineRule="auto" w:before="0"/>
        <w:ind w:left="720" w:hanging="720"/>
        <w:jc w:val="left"/>
      </w:pPr>
      <w:r>
        <w:rPr>
          <w:rFonts w:ascii="Times New Roman" w:hAnsi="Times New Roman" w:cs="Times New Roman" w:eastAsia="Times New Roman"/>
          <w:color w:val="000000"/>
          <w:sz w:val="24"/>
        </w:rPr>
        <w:t>Patterson, A., Neumann, S., White, M., &amp; White, A. (2024). Empirical design in reinforcement learning. Journal of Machine Learning Research, 25. https://arxiv.org/abs/2304.01315</w:t>
      </w:r>
    </w:p>
    <w:p>
      <w:pPr>
        <w:spacing w:after="0" w:line="480" w:lineRule="auto" w:before="0"/>
        <w:ind w:left="720" w:hanging="720"/>
        <w:jc w:val="left"/>
      </w:pPr>
      <w:r>
        <w:rPr>
          <w:rFonts w:ascii="Times New Roman" w:hAnsi="Times New Roman" w:cs="Times New Roman" w:eastAsia="Times New Roman"/>
          <w:color w:val="000000"/>
          <w:sz w:val="24"/>
        </w:rPr>
        <w:t>Rajagopalan, A., Dhiman, G., Soni, B., Alzahrani, A., &amp; Almutairi, K. (2024). Capacity fade modeling of LiFePO4 battery for grid storage applications. Applied Energy, 358, 122547. https://doi.org/10.1016/j.apenergy.2023.122547</w:t>
      </w:r>
    </w:p>
    <w:p>
      <w:r>
        <w:rPr>
          <w:rFonts w:ascii="Times New Roman" w:hAnsi="Times New Roman" w:cs="Times New Roman"/>
          <w:b w:val="0"/>
          <w:sz w:val="24"/>
        </w:rPr>
        <w:t>Shadish, W. R., Cook, T. D., &amp; Campbell, D. T. (2002). Experimental and quasi-experimental designs for generalized causal inference. Houghton Mifflin.</w:t>
      </w:r>
    </w:p>
    <w:p>
      <w:pPr>
        <w:spacing w:after="0" w:line="480" w:lineRule="auto" w:before="0"/>
        <w:ind w:left="720" w:hanging="720"/>
        <w:jc w:val="left"/>
      </w:pPr>
      <w:r>
        <w:rPr>
          <w:rFonts w:ascii="Times New Roman" w:hAnsi="Times New Roman" w:cs="Times New Roman" w:eastAsia="Times New Roman"/>
          <w:color w:val="000000"/>
          <w:sz w:val="24"/>
        </w:rPr>
        <w:t>Ren, J., Gao, H., Wang, S., Zhao, L., Kang, Q., Ashan, A., Sun, Y., &amp; Xiao, G. (2025). Multi-agent reinforcement learning-based joint design of low-carbon P2P market and bidding strategy in microgrids. arXiv. https://arxiv.org/abs/2604.02728</w:t>
      </w:r>
    </w:p>
    <w:p>
      <w:pPr>
        <w:spacing w:after="0" w:line="480" w:lineRule="auto" w:before="0"/>
        <w:ind w:left="720" w:hanging="720"/>
        <w:jc w:val="left"/>
      </w:pPr>
      <w:r>
        <w:rPr>
          <w:rFonts w:ascii="Times New Roman" w:hAnsi="Times New Roman" w:cs="Times New Roman" w:eastAsia="Times New Roman"/>
          <w:color w:val="000000"/>
          <w:sz w:val="24"/>
        </w:rPr>
        <w:t>Reniers, J. M., Mulder, G., &amp; Howey, D. A. (2022). Improving optimal control of grid-connected lithium-ion batteries through more accurate battery and degradation modelling. Journal of Power Sources, 542, 231776. https://doi.org/10.1016/j.jpowsour.2022.231776</w:t>
      </w:r>
    </w:p>
    <w:p>
      <w:pPr>
        <w:spacing w:after="0" w:line="480" w:lineRule="auto" w:before="0"/>
        <w:ind w:left="720" w:hanging="720"/>
        <w:jc w:val="left"/>
      </w:pPr>
      <w:r>
        <w:rPr>
          <w:rFonts w:ascii="Times New Roman" w:hAnsi="Times New Roman" w:cs="Times New Roman" w:eastAsia="Times New Roman"/>
          <w:color w:val="000000"/>
          <w:sz w:val="24"/>
        </w:rPr>
        <w:t>Rezazadeh, F., &amp; Bartzoudis, D. (2022). A federated DRL approach for smart micro-grid energy control with distributed energy resources. En 2022 IEEE International Workshop on Computer Aided Modeling and Design of Communication Links and Networks (CAMAD 2022). IEEE. https://arxiv.org/abs/2211.03430</w:t>
      </w:r>
    </w:p>
    <w:p>
      <w:pPr>
        <w:spacing w:after="0" w:line="480" w:lineRule="auto" w:before="0"/>
        <w:ind w:left="720" w:hanging="720"/>
        <w:jc w:val="left"/>
      </w:pPr>
      <w:r>
        <w:rPr>
          <w:rFonts w:ascii="Times New Roman" w:hAnsi="Times New Roman" w:cs="Times New Roman" w:eastAsia="Times New Roman"/>
          <w:color w:val="000000"/>
          <w:sz w:val="24"/>
        </w:rPr>
        <w:t>Roijers, D. M., Vamplew, P., Whiteson, S., &amp; Dazeley, R. (2013). A survey of multi-objective sequential decision-making. Journal of Artificial Intelligence Research, 47, 67-113.</w:t>
      </w:r>
    </w:p>
    <w:p>
      <w:pPr>
        <w:spacing w:after="0" w:line="480" w:lineRule="auto" w:before="0"/>
        <w:ind w:left="720" w:hanging="720"/>
        <w:jc w:val="left"/>
      </w:pPr>
      <w:r>
        <w:rPr>
          <w:rFonts w:ascii="Times New Roman" w:hAnsi="Times New Roman" w:cs="Times New Roman" w:eastAsia="Times New Roman"/>
          <w:color w:val="000000"/>
          <w:sz w:val="24"/>
        </w:rPr>
        <w:t>Sarkar, S., Naug, A., Luna, R., Guillen, A., Gundecha, V., Ghorbanpour, S., Mousavi, S., Markovikj, D., &amp; Babu, A. R. (2024). Carbon footprint reduction for sustainable data centers in real-time. En Proceedings of the AAAI Conference on Artificial Intelligence, 38. https://arxiv.org/abs/2403.14092</w:t>
      </w:r>
    </w:p>
    <w:p>
      <w:pPr>
        <w:spacing w:after="0" w:line="480" w:lineRule="auto" w:before="0"/>
        <w:ind w:left="720" w:hanging="720"/>
        <w:jc w:val="left"/>
      </w:pPr>
      <w:r>
        <w:rPr>
          <w:rFonts w:ascii="Times New Roman" w:hAnsi="Times New Roman" w:cs="Times New Roman" w:eastAsia="Times New Roman"/>
          <w:color w:val="000000"/>
          <w:sz w:val="24"/>
        </w:rPr>
        <w:t>Shojaeighadikolaei, A., Ghasemi, A., Jones, K., Dafalla, Y., Bardas, A. G., Ahmadi, R., &amp; Hashemi, M. (2022). Distributed energy management and demand response in smart grids: A multi-agent deep reinforcement learning framework. arXiv. https://arxiv.org/abs/2211.15858</w:t>
      </w:r>
    </w:p>
    <w:p>
      <w:pPr>
        <w:spacing w:after="0" w:line="480" w:lineRule="auto" w:before="0"/>
        <w:ind w:left="720" w:hanging="720"/>
        <w:jc w:val="left"/>
      </w:pPr>
      <w:r>
        <w:rPr>
          <w:rFonts w:ascii="Times New Roman" w:hAnsi="Times New Roman" w:cs="Times New Roman" w:eastAsia="Times New Roman"/>
          <w:color w:val="000000"/>
          <w:sz w:val="24"/>
        </w:rPr>
        <w:t>Shojaeighadikolaei, A., Talata, Z., &amp; Hashemi, M. (2024). Centralized vs. decentralized multi-agent reinforcement learning for enhanced control of electric vehicle charging networks. arXiv. https://arxiv.org/abs/2404.12520</w:t>
      </w:r>
    </w:p>
    <w:p>
      <w:pPr>
        <w:spacing w:after="0" w:line="480" w:lineRule="auto" w:before="0"/>
        <w:ind w:left="720" w:hanging="720"/>
        <w:jc w:val="left"/>
      </w:pPr>
      <w:r>
        <w:rPr>
          <w:rFonts w:ascii="Times New Roman" w:hAnsi="Times New Roman" w:cs="Times New Roman" w:eastAsia="Times New Roman"/>
          <w:color w:val="000000"/>
          <w:sz w:val="24"/>
        </w:rPr>
        <w:t>Sutton, R. S., &amp; Barto, A. G. (2018). Reinforcement learning: An introduction (2.ª ed.). MIT Press.</w:t>
      </w:r>
    </w:p>
    <w:p>
      <w:pPr>
        <w:spacing w:after="0" w:line="480" w:lineRule="auto" w:before="0"/>
        <w:ind w:left="720" w:hanging="720"/>
        <w:jc w:val="left"/>
      </w:pPr>
      <w:r>
        <w:rPr>
          <w:rFonts w:ascii="Times New Roman" w:hAnsi="Times New Roman" w:cs="Times New Roman" w:eastAsia="Times New Roman"/>
          <w:color w:val="000000"/>
          <w:sz w:val="24"/>
        </w:rPr>
        <w:t>Tamoor, M., Bhatti, A. R., Butt, A. D., Bhatti, K. L., Miran, S., Hussain, M. I., Abubakar, M., &amp; Imran, M. (2022). Temperature-dependent performance analysis of PV systems in tropical climates. Energy Reports, 8, 5447–5458. https://doi.org/10.1016/j.egyr.2022.04.015</w:t>
      </w:r>
    </w:p>
    <w:p>
      <w:pPr>
        <w:spacing w:after="0" w:line="480" w:lineRule="auto" w:before="0"/>
        <w:ind w:left="720" w:hanging="720"/>
        <w:jc w:val="left"/>
      </w:pPr>
      <w:r>
        <w:rPr>
          <w:rFonts w:ascii="Times New Roman" w:hAnsi="Times New Roman" w:cs="Times New Roman" w:eastAsia="Times New Roman"/>
          <w:color w:val="000000"/>
          <w:sz w:val="24"/>
        </w:rPr>
        <w:t>Tranberg, B., Corradi, O., Lajoie, B., Gibon, T., Staffell, I., &amp; Andresen, G. B. (2020). Real-time carbon accounting method for the European electricity markets. Energy Strategy Reviews, 26, 100399. https://doi.org/10.1016/j.esr.2019.100399</w:t>
      </w:r>
    </w:p>
    <w:p>
      <w:pPr>
        <w:spacing w:after="0" w:line="480" w:lineRule="auto" w:before="0"/>
        <w:ind w:left="720" w:hanging="720"/>
        <w:jc w:val="left"/>
      </w:pPr>
      <w:r>
        <w:rPr>
          <w:rFonts w:ascii="Times New Roman" w:hAnsi="Times New Roman" w:cs="Times New Roman" w:eastAsia="Times New Roman"/>
          <w:color w:val="000000"/>
          <w:sz w:val="24"/>
        </w:rPr>
        <w:t>Vázquez-Canteli, J. R., &amp; Nagy, Z. (2019a). CityLearn v1.0: An OpenAI Gym environment for demand response with deep reinforcement learning. En Proceedings of the 6th ACM International Conference on Systems for Energy-Efficient Buildings, Cities, and Transportation (pp. 356–357). ACM. https://doi.org/10.1145/3360322.3360998</w:t>
      </w:r>
    </w:p>
    <w:p>
      <w:pPr>
        <w:spacing w:after="0" w:line="480" w:lineRule="auto" w:before="0"/>
        <w:ind w:left="720" w:hanging="720"/>
        <w:jc w:val="left"/>
      </w:pPr>
      <w:r>
        <w:rPr>
          <w:rFonts w:ascii="Times New Roman" w:hAnsi="Times New Roman" w:cs="Times New Roman" w:eastAsia="Times New Roman"/>
          <w:color w:val="000000"/>
          <w:sz w:val="24"/>
        </w:rPr>
        <w:t>Vázquez-Canteli, J. R., Dey, S., Henze, G., &amp; Nagy, Z. (2020). CityLearn: Standardizing research in multi-agent reinforcement learning for demand response and urban energy management. arXiv. https://arxiv.org/abs/2012.10504</w:t>
      </w:r>
    </w:p>
    <w:p>
      <w:pPr>
        <w:spacing w:after="0" w:line="480" w:lineRule="auto" w:before="0"/>
        <w:ind w:left="720" w:hanging="720"/>
        <w:jc w:val="left"/>
      </w:pPr>
      <w:r>
        <w:rPr>
          <w:rFonts w:ascii="Times New Roman" w:hAnsi="Times New Roman" w:cs="Times New Roman" w:eastAsia="Times New Roman"/>
          <w:color w:val="000000"/>
          <w:sz w:val="24"/>
        </w:rPr>
        <w:t>Wang, Y., et al. (2025). Cooperative multi-agent reinforcement learning for grid-aware EV charging management with cross-site redirection. Sustainable Energy, Grids and Networks. https://doi.org/10.1016/j.segan.2025.196X [PV — verificar autores y nº de artículo]</w:t>
      </w:r>
    </w:p>
    <w:p>
      <w:pPr>
        <w:spacing w:after="0" w:line="480" w:lineRule="auto" w:before="0"/>
        <w:ind w:left="720" w:hanging="720"/>
        <w:jc w:val="left"/>
      </w:pPr>
      <w:r>
        <w:rPr>
          <w:rFonts w:ascii="Times New Roman" w:hAnsi="Times New Roman" w:cs="Times New Roman" w:eastAsia="Times New Roman"/>
          <w:color w:val="000000"/>
          <w:sz w:val="24"/>
        </w:rPr>
        <w:t>Wu, J., Wang, Z., Han, J., Li, Q., Sun, R., Li, C., Cheng, Y., Zhou, B., Guo, J., &amp; Long, B. (2025). A novel data-driven multi-agent reinforcement learning approach for voltage control under weak grid support. Sensors, 25(23), 7399. https://doi.org/10.3390/s25237399</w:t>
      </w:r>
    </w:p>
    <w:p>
      <w:pPr>
        <w:spacing w:after="0" w:line="480" w:lineRule="auto" w:before="0"/>
        <w:ind w:left="720" w:hanging="720"/>
        <w:jc w:val="left"/>
      </w:pPr>
      <w:r>
        <w:rPr>
          <w:rFonts w:ascii="Times New Roman" w:hAnsi="Times New Roman" w:cs="Times New Roman" w:eastAsia="Times New Roman"/>
          <w:color w:val="000000"/>
          <w:sz w:val="24"/>
        </w:rPr>
        <w:t>Xie, J., Ajagekar, A., &amp; You, F. (2023). Multi-agent attention-based deep reinforcement learning for demand response in grid-responsive buildings. Applied Energy, 342, 121213. https://doi.org/10.1016/j.apenergy.2023.121213</w:t>
      </w:r>
    </w:p>
    <w:p>
      <w:pPr>
        <w:spacing w:after="0" w:line="480" w:lineRule="auto" w:before="0"/>
        <w:ind w:left="720" w:hanging="720"/>
        <w:jc w:val="left"/>
      </w:pPr>
      <w:r>
        <w:rPr>
          <w:rFonts w:ascii="Times New Roman" w:hAnsi="Times New Roman" w:cs="Times New Roman" w:eastAsia="Times New Roman"/>
          <w:color w:val="000000"/>
          <w:sz w:val="24"/>
        </w:rPr>
        <w:t>Xiong, S., Liu, D., Chen, Y., &amp; Zhang, Y. (2024). A deep reinforcement learning approach based energy management strategy for home energy system considering the time-of-use price and real-time control of energy storage system. Energy Reports, 11, 3501–3508. https://doi.org/10.1016/j.egyr.2024.001501</w:t>
      </w:r>
    </w:p>
    <w:p>
      <w:pPr>
        <w:spacing w:after="0" w:line="480" w:lineRule="auto" w:before="0"/>
        <w:ind w:left="720" w:hanging="720"/>
        <w:jc w:val="left"/>
      </w:pPr>
      <w:r>
        <w:rPr>
          <w:rFonts w:ascii="Times New Roman" w:hAnsi="Times New Roman" w:cs="Times New Roman" w:eastAsia="Times New Roman"/>
          <w:color w:val="000000"/>
          <w:sz w:val="24"/>
        </w:rPr>
        <w:t>Xu, B., Oudalov, A., Ulbig, A., Andersson, G., &amp; Kirschen, D. S. (2021). Modeling of lithium-ion battery degradation for cell life assessment. IEEE Transactions on Smart Grid, 12(3), 2192–2202. https://doi.org/10.1109/TSG.2017.2701083</w:t>
      </w:r>
    </w:p>
    <w:p>
      <w:pPr>
        <w:spacing w:after="0" w:line="480" w:lineRule="auto" w:before="0"/>
        <w:ind w:left="720" w:hanging="720"/>
        <w:jc w:val="left"/>
      </w:pPr>
      <w:r>
        <w:rPr>
          <w:rFonts w:ascii="Times New Roman" w:hAnsi="Times New Roman" w:cs="Times New Roman" w:eastAsia="Times New Roman"/>
          <w:color w:val="000000"/>
          <w:sz w:val="24"/>
        </w:rPr>
        <w:t>Yao, Y., Wang, X., &amp; Sun, J. (2023). Multi-agent reinforcement learning for smart community energy management. Energies, 17(20), 5211. https://doi.org/10.3390/en17205211</w:t>
      </w:r>
    </w:p>
    <w:p>
      <w:pPr>
        <w:spacing w:after="0" w:line="480" w:lineRule="auto" w:before="0"/>
        <w:ind w:left="720" w:hanging="720"/>
        <w:jc w:val="left"/>
      </w:pPr>
      <w:r>
        <w:rPr>
          <w:rFonts w:ascii="Times New Roman" w:hAnsi="Times New Roman" w:cs="Times New Roman" w:eastAsia="Times New Roman"/>
          <w:color w:val="000000"/>
          <w:sz w:val="24"/>
        </w:rPr>
        <w:t>Ye, T., Huang, Y., Yang, W., Cai, G., Yang, Y., &amp; Pan, F. (2025). Safe multi-agent deep reinforcement learning for decentralized low-carbon operation in active distribution networks and multi-microgrids. Applied Energy, 387. https://doi.org/10.1016/j.apenergy.2025.125339</w:t>
      </w:r>
    </w:p>
    <w:p>
      <w:pPr>
        <w:spacing w:after="0" w:line="480" w:lineRule="auto" w:before="0"/>
        <w:ind w:left="720" w:hanging="720"/>
        <w:jc w:val="left"/>
      </w:pPr>
      <w:r>
        <w:rPr>
          <w:rFonts w:ascii="Times New Roman" w:hAnsi="Times New Roman" w:cs="Times New Roman" w:eastAsia="Times New Roman"/>
          <w:color w:val="000000"/>
          <w:sz w:val="24"/>
        </w:rPr>
        <w:t>Zhang, Y., Chen, X., Gu, Y., Li, Z., &amp; Kai, W. (2023). Deep reinforcement learning-based battery conditioning hierarchical V2G coordination for multi-stakeholder benefits. arXiv. https://arxiv.org/abs/2308.00218</w:t>
      </w:r>
    </w:p>
    <w:p>
      <w:pPr>
        <w:spacing w:after="0" w:line="480" w:lineRule="auto" w:before="0"/>
        <w:ind w:left="720" w:hanging="720"/>
        <w:jc w:val="left"/>
      </w:pPr>
      <w:r>
        <w:rPr>
          <w:rFonts w:ascii="Times New Roman" w:hAnsi="Times New Roman" w:cs="Times New Roman" w:eastAsia="Times New Roman"/>
          <w:color w:val="000000"/>
          <w:sz w:val="24"/>
        </w:rPr>
        <w:t>Zhao, Y., et al. (2024). Energy management based on safe multi-agent reinforcement learning for smart buildings in distribution networks. Energy and Buildings. https://doi.org/10.1016/j.enbuild.2024.114529 [PV — verificar autores completos]</w:t>
      </w:r>
    </w:p>
    <w:p>
      <w:pPr>
        <w:spacing w:after="0" w:line="480" w:lineRule="auto" w:before="0"/>
        <w:ind w:left="720" w:hanging="720"/>
        <w:jc w:val="left"/>
      </w:pPr>
      <w:r>
        <w:rPr>
          <w:rFonts w:ascii="Times New Roman" w:hAnsi="Times New Roman" w:cs="Times New Roman" w:eastAsia="Times New Roman"/>
          <w:color w:val="000000"/>
          <w:sz w:val="24"/>
        </w:rPr>
        <w:t>Zhong, Y., Kuba, J. G., Feng, X., Hu, S., Ji, J., &amp; Yang, Y. (2023). Heterogeneous-agent reinforcement learning. Journal of Machine Learning Research, 25. https://jmlr.org/papers/v25/23-0488.html</w:t>
      </w:r>
    </w:p>
    <w:p>
      <w:pPr>
        <w:spacing w:after="0" w:line="480" w:lineRule="auto" w:before="0"/>
        <w:ind w:left="720" w:hanging="720"/>
        <w:jc w:val="left"/>
      </w:pPr>
      <w:r>
        <w:rPr>
          <w:rFonts w:ascii="Times New Roman" w:hAnsi="Times New Roman" w:cs="Times New Roman" w:eastAsia="Times New Roman"/>
          <w:color w:val="000000"/>
          <w:sz w:val="24"/>
        </w:rPr>
        <w:t>Zhou, M., Wan, J., Wang, H., et al. (2021). MALib: A parallel framework for population-based multi-agent reinforcement learning. Journal of Machine Learning Research, 24(1). https://arxiv.org/abs/2106.07551</w:t>
      </w:r>
    </w:p>
    <w:p>
      <w:pPr>
        <w:spacing w:after="0" w:line="480" w:lineRule="auto" w:before="0"/>
        <w:ind w:left="720" w:hanging="720"/>
        <w:jc w:val="left"/>
      </w:pPr>
      <w:r>
        <w:rPr>
          <w:rFonts w:ascii="Times New Roman" w:hAnsi="Times New Roman" w:cs="Times New Roman" w:eastAsia="Times New Roman"/>
          <w:color w:val="000000"/>
          <w:sz w:val="24"/>
        </w:rPr>
        <w:t>Zhu, Y., et al. (2024). An overview: Attention mechanisms in multi-agent reinforcement learning. Neurocomputing, 598, 128015. https://doi.org/10.1016/j.neucom.2024.128015 [PV — verificar autores completos]</w:t>
      </w:r>
    </w:p>
    <w:p>
      <w:pPr>
        <w:pStyle w:val="Normal"/>
      </w:pPr>
      <w:r>
        <w:rPr>
          <w:sz w:val="24"/>
          <w:szCs w:val="24"/>
          <w:rFonts w:ascii="Times New Roman" w:hAnsi="Times New Roman" w:cs="Times New Roman"/>
        </w:rPr>
        <w:t xml:space="preserve">Arias, J. L. (2020). Proyecto de tesis: Guía para la elaboración (7.a ed.). Depósito Legal en la Biblioteca Nacional del Perú.</w:t>
      </w:r>
    </w:p>
    <w:p>
      <w:pPr>
        <w:pStyle w:val="Normal"/>
      </w:pPr>
      <w:r>
        <w:rPr>
          <w:sz w:val="24"/>
          <w:szCs w:val="24"/>
          <w:rFonts w:ascii="Times New Roman" w:hAnsi="Times New Roman" w:cs="Times New Roman"/>
        </w:rPr>
        <w:t xml:space="preserve">Campbell, D. T., &amp; Stanley, J. C. (1963). Experimental and quasi-experimental designs for research. Houghton Mifflin.</w:t>
      </w:r>
    </w:p>
    <w:p>
      <w:pPr>
        <w:pStyle w:val="Normal"/>
      </w:pPr>
      <w:r>
        <w:rPr>
          <w:sz w:val="24"/>
          <w:szCs w:val="24"/>
          <w:rFonts w:ascii="Times New Roman" w:hAnsi="Times New Roman" w:cs="Times New Roman"/>
        </w:rPr>
        <w:t xml:space="preserve">Chevarria Moscoso, M. (2024). Analisis de la generacion hidroelectrica en la central hidroelectrica de Machupicchu aplicando metodos estocasticos y modelo de optimizacion (Tesis doctoral). Universidad Nacional de Ingenieria. http://hdl.handle.net/20.500.14076/28894</w:t>
      </w:r>
    </w:p>
    <w:p>
      <w:pPr>
        <w:pStyle w:val="Normal"/>
      </w:pPr>
      <w:r>
        <w:rPr>
          <w:sz w:val="24"/>
          <w:szCs w:val="24"/>
          <w:rFonts w:ascii="Times New Roman" w:hAnsi="Times New Roman" w:cs="Times New Roman"/>
        </w:rPr>
        <w:t xml:space="preserve">Dominguez-Barbero, C. (2026). Modeling and optimizing isolated microgrids using Reinforcement Learning techniques (Tesis doctoral). Universidad Pontificia Comillas.</w:t>
      </w:r>
    </w:p>
    <w:p>
      <w:pPr>
        <w:pStyle w:val="Normal"/>
      </w:pPr>
      <w:r>
        <w:rPr>
          <w:sz w:val="24"/>
          <w:szCs w:val="24"/>
          <w:rFonts w:ascii="Times New Roman" w:hAnsi="Times New Roman" w:cs="Times New Roman"/>
        </w:rPr>
        <w:t xml:space="preserve">Hernández-Sampieri, R., &amp; Mendoza, C. (2018). Metodología de la investigación: Las rutas cuantitativa, cualitativa y mixta. McGraw-Hill.</w:t>
      </w:r>
    </w:p>
    <w:p>
      <w:pPr>
        <w:pStyle w:val="Normal"/>
      </w:pPr>
      <w:r>
        <w:rPr>
          <w:sz w:val="24"/>
          <w:szCs w:val="24"/>
          <w:rFonts w:ascii="Times New Roman" w:hAnsi="Times New Roman" w:cs="Times New Roman"/>
        </w:rPr>
        <w:t xml:space="preserve">Hesse, H. C., Schimpe, M., Kucevic, D., &amp; Jossen, A. (2017). Lithium-ion battery storage for the grid: A review of stationary battery storage system design tailored for applications in modern electric power grids. Energies, 10(12), 2107. https://doi.org/10.3390/en10122107</w:t>
      </w:r>
    </w:p>
    <w:p>
      <w:pPr>
        <w:pStyle w:val="Normal"/>
      </w:pPr>
      <w:r>
        <w:rPr>
          <w:sz w:val="24"/>
          <w:szCs w:val="24"/>
          <w:rFonts w:ascii="Times New Roman" w:hAnsi="Times New Roman" w:cs="Times New Roman"/>
        </w:rPr>
        <w:t xml:space="preserve">Holmgren, W. F., Hansen, C. W., &amp; Mikofski, M. A. (2018). pvlib python: A python package for modeling solar energy systems. Journal of Open Source Software, 3(29), 884. https://doi.org/10.21105/joss.00884</w:t>
      </w:r>
    </w:p>
    <w:p>
      <w:pPr>
        <w:pStyle w:val="Normal"/>
      </w:pPr>
      <w:r>
        <w:rPr>
          <w:sz w:val="24"/>
          <w:szCs w:val="24"/>
          <w:rFonts w:ascii="Times New Roman" w:hAnsi="Times New Roman" w:cs="Times New Roman"/>
        </w:rPr>
        <w:t xml:space="preserve">Little, J. D. C. (1961). A proof for the queueing formula: L = lambda W. Operations Research, 9(3), 383-387. https://doi.org/10.1287/opre.9.3.383</w:t>
      </w:r>
    </w:p>
    <w:p>
      <w:pPr>
        <w:pStyle w:val="Normal"/>
      </w:pPr>
      <w:r>
        <w:rPr>
          <w:sz w:val="24"/>
          <w:szCs w:val="24"/>
          <w:rFonts w:ascii="Times New Roman" w:hAnsi="Times New Roman" w:cs="Times New Roman"/>
        </w:rPr>
        <w:t xml:space="preserve">National Aeronautics and Space Administration. (2024). NASA POWER Data Access Viewer. https://power.larc.nasa.gov/</w:t>
      </w:r>
    </w:p>
    <w:p>
      <w:pPr>
        <w:pStyle w:val="Normal"/>
      </w:pPr>
      <w:r>
        <w:rPr>
          <w:sz w:val="24"/>
          <w:szCs w:val="24"/>
          <w:rFonts w:ascii="Times New Roman" w:hAnsi="Times New Roman" w:cs="Times New Roman"/>
        </w:rPr>
        <w:t xml:space="preserve">Peñalva Sanchez, J. J. (2024). Optimizacion de un sistema fotovoltaico hibrido y la prediccion de la demanda energetica y variables climaticas utilizando la inteligencia artificial (Tesis doctoral). Universidad Nacional de Ingenieria. http://hdl.handle.net/20.500.14076/27731</w:t>
      </w:r>
    </w:p>
    <w:p>
      <w:pPr>
        <w:pStyle w:val="Normal"/>
      </w:pPr>
      <w:r>
        <w:rPr>
          <w:sz w:val="24"/>
          <w:szCs w:val="24"/>
          <w:rFonts w:ascii="Times New Roman" w:hAnsi="Times New Roman" w:cs="Times New Roman"/>
        </w:rPr>
        <w:t xml:space="preserve">Rosero Bernal, D. G. (2024). Modelo de un sistema de administracion de energia autonomo operado desde la nube para optimizar la gestion de un grupo de microredes (Tesis doctoral). Universidad Distrital Francisco Jose de Caldas.</w:t>
      </w:r>
    </w:p>
    <w:p>
      <w:pPr>
        <w:pStyle w:val="Normal"/>
      </w:pPr>
      <w:r>
        <w:rPr>
          <w:sz w:val="24"/>
          <w:szCs w:val="24"/>
          <w:rFonts w:ascii="Times New Roman" w:hAnsi="Times New Roman" w:cs="Times New Roman"/>
        </w:rPr>
        <w:t xml:space="preserve">Tamayo y Tamayo, M. (2004). El proceso de la investigación científica (4.a ed.). Limusa.</w:t>
      </w:r>
    </w:p>
    <w:p/>
    <w:p/>
    <w:p/>
    <w:p/>
    <w:p/>
    <w:p/>
    <w:p/>
    <w:p/>
    <w:p/>
    <w:p/>
    <w:p/>
    <w:p/>
    <w:p/>
    <w:p/>
    <w:p/>
    <w:p/>
    <w:p/>
    <w:p/>
    <w:p/>
    <w:p/>
    <w:p/>
    <w:p/>
    <w:p/>
    <w:p/>
    <w:p/>
    <w:p/>
    <w:p/>
    <w:p/>
    <w:sectPr w:rsidR="00FC693F" w:rsidRPr="0006063C" w:rsidSect="00034616">
      <w:headerReference w:type="default" r:id="rId66"/>
      <w:footerReference w:type="default" r:id="rId6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before="0"/>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jc w:val="center"/>
      <w:outlineLvl w:val="0"/>
    </w:pPr>
    <w:rPr>
      <w:rFonts w:asciiTheme="majorHAnsi" w:eastAsiaTheme="majorEastAsia" w:hAnsiTheme="majorHAnsi" w:cstheme="majorBidi"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jc w:val="left"/>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480" w:lineRule="auto"/>
      <w:jc w:val="left"/>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0" w:after="0" w:line="480" w:lineRule="auto"/>
      <w:ind w:firstLine="720"/>
      <w:jc w:val="left"/>
      <w:outlineLvl w:val="3"/>
    </w:pPr>
    <w:rPr>
      <w:rFonts w:asciiTheme="majorHAnsi" w:eastAsiaTheme="majorEastAsia" w:hAnsiTheme="majorHAnsi" w:cstheme="majorBidi" w:ascii="Times New Roman" w:hAnsi="Times New Roman"/>
      <w:b/>
      <w:bCs/>
      <w:i w:val="0"/>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0" w:after="0" w:line="480" w:lineRule="auto"/>
      <w:ind w:firstLine="720"/>
      <w:jc w:val="left"/>
      <w:outlineLvl w:val="4"/>
    </w:pPr>
    <w:rPr>
      <w:rFonts w:asciiTheme="majorHAnsi" w:eastAsiaTheme="majorEastAsia" w:hAnsiTheme="majorHAnsi" w:cstheme="majorBidi" w:ascii="Times New Roman" w:hAnsi="Times New Roman"/>
      <w:b/>
      <w:i/>
      <w:color w:val="000000"/>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aIndice">
    <w:name w:val="TablaIndice"/>
    <w:pPr>
      <w:spacing w:before="0" w:after="0" w:line="480" w:lineRule="auto"/>
      <w:jc w:val="left"/>
    </w:pPr>
    <w:rPr>
      <w:rFonts w:ascii="Times New Roman" w:hAnsi="Times New Roman"/>
      <w:b w:val="0"/>
      <w:i/>
      <w:color w:val="000000"/>
      <w:sz w:val="24"/>
    </w:rPr>
  </w:style>
  <w:style w:type="paragraph" w:customStyle="1" w:styleId="FiguraIndice">
    <w:name w:val="FiguraIndice"/>
    <w:pPr>
      <w:spacing w:before="0" w:after="0" w:line="480" w:lineRule="auto"/>
      <w:jc w:val="left"/>
    </w:pPr>
    <w:rPr>
      <w:rFonts w:ascii="Times New Roman" w:hAnsi="Times New Roman"/>
      <w:b w:val="0"/>
      <w:i/>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header" Target="header1.xml"/><Relationship Id="rId67" Type="http://schemas.openxmlformats.org/officeDocument/2006/relationships/footer" Target="footer1.xml"/><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 Id="rId89" Type="http://schemas.openxmlformats.org/officeDocument/2006/relationships/image" Target="media/image79.png"/><Relationship Id="rId90" Type="http://schemas.openxmlformats.org/officeDocument/2006/relationships/image" Target="media/image80.png"/><Relationship Id="rId91" Type="http://schemas.openxmlformats.org/officeDocument/2006/relationships/image" Target="media/image81.png"/><Relationship Id="rId92" Type="http://schemas.openxmlformats.org/officeDocument/2006/relationships/image" Target="media/image82.png"/><Relationship Id="rId93" Type="http://schemas.openxmlformats.org/officeDocument/2006/relationships/image" Target="media/image83.png"/><Relationship Id="rId94" Type="http://schemas.openxmlformats.org/officeDocument/2006/relationships/image" Target="media/image84.png"/><Relationship Id="rId95" Type="http://schemas.openxmlformats.org/officeDocument/2006/relationships/image" Target="media/image85.png"/><Relationship Id="rId96" Type="http://schemas.openxmlformats.org/officeDocument/2006/relationships/image" Target="media/image86.png"/><Relationship Id="rId97" Type="http://schemas.openxmlformats.org/officeDocument/2006/relationships/image" Target="media/image87.png"/><Relationship Id="rId98" Type="http://schemas.openxmlformats.org/officeDocument/2006/relationships/image" Target="media/image88.png"/><Relationship Id="rId99" Type="http://schemas.openxmlformats.org/officeDocument/2006/relationships/image" Target="media/image89.png"/><Relationship Id="rId100" Type="http://schemas.openxmlformats.org/officeDocument/2006/relationships/image" Target="media/image90.png"/><Relationship Id="rId101" Type="http://schemas.openxmlformats.org/officeDocument/2006/relationships/image" Target="media/image91.png"/><Relationship Id="rId102" Type="http://schemas.openxmlformats.org/officeDocument/2006/relationships/image" Target="media/image92.png"/><Relationship Id="rId103" Type="http://schemas.openxmlformats.org/officeDocument/2006/relationships/image" Target="media/image93.png"/><Relationship Id="rId104" Type="http://schemas.openxmlformats.org/officeDocument/2006/relationships/image" Target="media/image94.png"/><Relationship Id="rId105" Type="http://schemas.openxmlformats.org/officeDocument/2006/relationships/image" Target="media/image95.png"/><Relationship Id="rId106" Type="http://schemas.openxmlformats.org/officeDocument/2006/relationships/image" Target="media/image96.png"/><Relationship Id="rId107" Type="http://schemas.openxmlformats.org/officeDocument/2006/relationships/image" Target="media/image97.png"/><Relationship Id="rId108" Type="http://schemas.openxmlformats.org/officeDocument/2006/relationships/image" Target="media/image98.png"/><Relationship Id="rId109" Type="http://schemas.openxmlformats.org/officeDocument/2006/relationships/image" Target="media/image99.png"/><Relationship Id="rId110" Type="http://schemas.openxmlformats.org/officeDocument/2006/relationships/image" Target="media/image100.png"/><Relationship Id="rId111" Type="http://schemas.openxmlformats.org/officeDocument/2006/relationships/image" Target="media/image101.png"/><Relationship Id="rId112" Type="http://schemas.openxmlformats.org/officeDocument/2006/relationships/image" Target="media/image102.png"/><Relationship Id="rId113" Type="http://schemas.openxmlformats.org/officeDocument/2006/relationships/image" Target="media/image103.png"/><Relationship Id="rId114" Type="http://schemas.openxmlformats.org/officeDocument/2006/relationships/image" Target="media/image104.png"/><Relationship Id="rId115" Type="http://schemas.openxmlformats.org/officeDocument/2006/relationships/image" Target="media/image105.png"/><Relationship Id="rId116" Type="http://schemas.openxmlformats.org/officeDocument/2006/relationships/image" Target="media/image106.png"/><Relationship Id="rId117" Type="http://schemas.openxmlformats.org/officeDocument/2006/relationships/image" Target="media/image107.png"/><Relationship Id="rId118" Type="http://schemas.openxmlformats.org/officeDocument/2006/relationships/image" Target="media/image108.png"/><Relationship Id="rId119" Type="http://schemas.openxmlformats.org/officeDocument/2006/relationships/image" Target="media/image109.png"/><Relationship Id="rId120" Type="http://schemas.openxmlformats.org/officeDocument/2006/relationships/image" Target="media/image110.png"/><Relationship Id="rId121" Type="http://schemas.openxmlformats.org/officeDocument/2006/relationships/image" Target="media/image111.png"/><Relationship Id="rId122" Type="http://schemas.openxmlformats.org/officeDocument/2006/relationships/image" Target="media/image112.png"/><Relationship Id="rId123" Type="http://schemas.openxmlformats.org/officeDocument/2006/relationships/image" Target="media/image113.png"/><Relationship Id="rId124" Type="http://schemas.openxmlformats.org/officeDocument/2006/relationships/image" Target="media/image114.png"/><Relationship Id="rId125" Type="http://schemas.openxmlformats.org/officeDocument/2006/relationships/image" Target="media/image115.png"/><Relationship Id="rId126" Type="http://schemas.openxmlformats.org/officeDocument/2006/relationships/image" Target="media/image116.png"/><Relationship Id="rId127" Type="http://schemas.openxmlformats.org/officeDocument/2006/relationships/image" Target="media/image117.png"/><Relationship Id="rId128" Type="http://schemas.openxmlformats.org/officeDocument/2006/relationships/image" Target="media/image118.png"/><Relationship Id="rId129" Type="http://schemas.openxmlformats.org/officeDocument/2006/relationships/image" Target="media/image119.png"/><Relationship Id="rId130" Type="http://schemas.openxmlformats.org/officeDocument/2006/relationships/image" Target="media/image120.png"/><Relationship Id="rId131" Type="http://schemas.openxmlformats.org/officeDocument/2006/relationships/image" Target="media/image121.png"/><Relationship Id="rId132" Type="http://schemas.openxmlformats.org/officeDocument/2006/relationships/image" Target="media/image122.png"/><Relationship Id="rId133" Type="http://schemas.openxmlformats.org/officeDocument/2006/relationships/image" Target="media/image123.png"/><Relationship Id="rId134" Type="http://schemas.openxmlformats.org/officeDocument/2006/relationships/image" Target="media/image124.png"/><Relationship Id="rId135" Type="http://schemas.openxmlformats.org/officeDocument/2006/relationships/image" Target="media/image125.png"/><Relationship Id="rId136" Type="http://schemas.openxmlformats.org/officeDocument/2006/relationships/image" Target="media/image126.png"/><Relationship Id="rId137" Type="http://schemas.openxmlformats.org/officeDocument/2006/relationships/image" Target="media/image127.png"/><Relationship Id="rId138" Type="http://schemas.openxmlformats.org/officeDocument/2006/relationships/image" Target="media/image128.png"/><Relationship Id="rId139" Type="http://schemas.openxmlformats.org/officeDocument/2006/relationships/image" Target="media/image129.png"/><Relationship Id="rId140" Type="http://schemas.openxmlformats.org/officeDocument/2006/relationships/image" Target="media/image130.png"/><Relationship Id="rId141" Type="http://schemas.openxmlformats.org/officeDocument/2006/relationships/image" Target="media/image131.png"/><Relationship Id="rId142" Type="http://schemas.openxmlformats.org/officeDocument/2006/relationships/image" Target="media/image132.png"/><Relationship Id="rId143" Type="http://schemas.openxmlformats.org/officeDocument/2006/relationships/image" Target="media/image133.png"/><Relationship Id="rId144" Type="http://schemas.openxmlformats.org/officeDocument/2006/relationships/image" Target="media/image134.png"/><Relationship Id="rId145" Type="http://schemas.openxmlformats.org/officeDocument/2006/relationships/image" Target="media/image135.png"/><Relationship Id="rId146" Type="http://schemas.openxmlformats.org/officeDocument/2006/relationships/image" Target="media/image136.png"/><Relationship Id="rId147" Type="http://schemas.openxmlformats.org/officeDocument/2006/relationships/image" Target="media/image137.png"/><Relationship Id="rId148" Type="http://schemas.openxmlformats.org/officeDocument/2006/relationships/image" Target="media/image138.png"/><Relationship Id="rId149" Type="http://schemas.openxmlformats.org/officeDocument/2006/relationships/image" Target="media/image139.png"/><Relationship Id="rId150" Type="http://schemas.openxmlformats.org/officeDocument/2006/relationships/image" Target="media/image140.png"/><Relationship Id="rId151" Type="http://schemas.openxmlformats.org/officeDocument/2006/relationships/image" Target="media/image141.png"/><Relationship Id="rId152" Type="http://schemas.openxmlformats.org/officeDocument/2006/relationships/image" Target="media/image142.png"/><Relationship Id="rId153" Type="http://schemas.openxmlformats.org/officeDocument/2006/relationships/image" Target="media/image143.png"/><Relationship Id="rId154" Type="http://schemas.openxmlformats.org/officeDocument/2006/relationships/image" Target="media/image144.png"/><Relationship Id="rId155" Type="http://schemas.openxmlformats.org/officeDocument/2006/relationships/image" Target="media/image145.png"/><Relationship Id="rId156" Type="http://schemas.openxmlformats.org/officeDocument/2006/relationships/image" Target="media/image146.png"/><Relationship Id="rId157" Type="http://schemas.openxmlformats.org/officeDocument/2006/relationships/image" Target="media/image147.png"/><Relationship Id="rId158" Type="http://schemas.openxmlformats.org/officeDocument/2006/relationships/image" Target="media/image148.png"/><Relationship Id="rId159" Type="http://schemas.openxmlformats.org/officeDocument/2006/relationships/image" Target="media/image149.png"/><Relationship Id="rId160" Type="http://schemas.openxmlformats.org/officeDocument/2006/relationships/image" Target="media/image150.png"/><Relationship Id="rId161" Type="http://schemas.openxmlformats.org/officeDocument/2006/relationships/image" Target="media/image151.png"/><Relationship Id="rId162" Type="http://schemas.openxmlformats.org/officeDocument/2006/relationships/image" Target="media/image152.png"/><Relationship Id="rId163" Type="http://schemas.openxmlformats.org/officeDocument/2006/relationships/image" Target="media/image153.png"/><Relationship Id="rId164" Type="http://schemas.openxmlformats.org/officeDocument/2006/relationships/image" Target="media/image154.png"/><Relationship Id="rId165" Type="http://schemas.openxmlformats.org/officeDocument/2006/relationships/image" Target="media/image155.png"/><Relationship Id="rId166" Type="http://schemas.openxmlformats.org/officeDocument/2006/relationships/image" Target="media/image156.png"/><Relationship Id="rId167" Type="http://schemas.openxmlformats.org/officeDocument/2006/relationships/image" Target="media/image157.png"/><Relationship Id="rId168" Type="http://schemas.openxmlformats.org/officeDocument/2006/relationships/image" Target="media/image158.png"/><Relationship Id="rId169" Type="http://schemas.openxmlformats.org/officeDocument/2006/relationships/image" Target="media/image159.png"/><Relationship Id="rId170" Type="http://schemas.openxmlformats.org/officeDocument/2006/relationships/image" Target="media/image160.png"/><Relationship Id="rId171" Type="http://schemas.openxmlformats.org/officeDocument/2006/relationships/image" Target="media/image161.png"/><Relationship Id="rId172" Type="http://schemas.openxmlformats.org/officeDocument/2006/relationships/image" Target="media/image162.png"/><Relationship Id="rId173" Type="http://schemas.openxmlformats.org/officeDocument/2006/relationships/image" Target="media/image163.png"/><Relationship Id="rId174" Type="http://schemas.openxmlformats.org/officeDocument/2006/relationships/image" Target="media/image164.png"/><Relationship Id="rId175" Type="http://schemas.openxmlformats.org/officeDocument/2006/relationships/image" Target="media/image165.png"/><Relationship Id="rId176" Type="http://schemas.openxmlformats.org/officeDocument/2006/relationships/image" Target="media/image166.png"/><Relationship Id="rId177" Type="http://schemas.openxmlformats.org/officeDocument/2006/relationships/image" Target="media/image167.png"/><Relationship Id="rId178" Type="http://schemas.openxmlformats.org/officeDocument/2006/relationships/image" Target="media/image168.png"/><Relationship Id="rId179" Type="http://schemas.openxmlformats.org/officeDocument/2006/relationships/image" Target="media/image169.png"/><Relationship Id="rId180" Type="http://schemas.openxmlformats.org/officeDocument/2006/relationships/image" Target="media/image170.png"/><Relationship Id="rId181" Type="http://schemas.openxmlformats.org/officeDocument/2006/relationships/image" Target="media/image171.png"/><Relationship Id="rId182" Type="http://schemas.openxmlformats.org/officeDocument/2006/relationships/image" Target="media/image172.png"/><Relationship Id="rId183" Type="http://schemas.openxmlformats.org/officeDocument/2006/relationships/image" Target="media/image173.png"/><Relationship Id="rId184" Type="http://schemas.openxmlformats.org/officeDocument/2006/relationships/image" Target="media/image174.png"/><Relationship Id="rId185" Type="http://schemas.openxmlformats.org/officeDocument/2006/relationships/image" Target="media/image175.png"/><Relationship Id="rId186" Type="http://schemas.openxmlformats.org/officeDocument/2006/relationships/image" Target="media/image176.png"/><Relationship Id="rId187" Type="http://schemas.openxmlformats.org/officeDocument/2006/relationships/image" Target="media/image177.png"/><Relationship Id="rId188" Type="http://schemas.openxmlformats.org/officeDocument/2006/relationships/image" Target="media/image178.png"/><Relationship Id="rId189" Type="http://schemas.openxmlformats.org/officeDocument/2006/relationships/image" Target="media/image179.png"/><Relationship Id="rId190" Type="http://schemas.openxmlformats.org/officeDocument/2006/relationships/image" Target="media/image180.png"/><Relationship Id="rId191" Type="http://schemas.openxmlformats.org/officeDocument/2006/relationships/image" Target="media/image181.png"/><Relationship Id="rId192" Type="http://schemas.openxmlformats.org/officeDocument/2006/relationships/image" Target="media/image182.png"/><Relationship Id="rId193" Type="http://schemas.openxmlformats.org/officeDocument/2006/relationships/image" Target="media/image183.png"/><Relationship Id="rId194" Type="http://schemas.openxmlformats.org/officeDocument/2006/relationships/image" Target="media/image184.png"/><Relationship Id="rId195" Type="http://schemas.openxmlformats.org/officeDocument/2006/relationships/image" Target="media/image185.png"/><Relationship Id="rId196" Type="http://schemas.openxmlformats.org/officeDocument/2006/relationships/image" Target="media/image186.png"/><Relationship Id="rId197" Type="http://schemas.openxmlformats.org/officeDocument/2006/relationships/image" Target="media/image187.png"/><Relationship Id="rId198" Type="http://schemas.openxmlformats.org/officeDocument/2006/relationships/image" Target="media/image188.png"/><Relationship Id="rId199" Type="http://schemas.openxmlformats.org/officeDocument/2006/relationships/image" Target="media/image189.png"/><Relationship Id="rId200" Type="http://schemas.openxmlformats.org/officeDocument/2006/relationships/image" Target="media/image190.png"/><Relationship Id="rId201" Type="http://schemas.openxmlformats.org/officeDocument/2006/relationships/image" Target="media/image191.png"/><Relationship Id="rId202" Type="http://schemas.openxmlformats.org/officeDocument/2006/relationships/image" Target="media/image192.png"/><Relationship Id="rId203" Type="http://schemas.openxmlformats.org/officeDocument/2006/relationships/image" Target="media/image193.png"/><Relationship Id="rId204" Type="http://schemas.openxmlformats.org/officeDocument/2006/relationships/image" Target="media/image194.png"/><Relationship Id="rId205" Type="http://schemas.openxmlformats.org/officeDocument/2006/relationships/image" Target="media/image195.png"/><Relationship Id="rId206" Type="http://schemas.openxmlformats.org/officeDocument/2006/relationships/image" Target="media/image196.png"/><Relationship Id="rId207" Type="http://schemas.openxmlformats.org/officeDocument/2006/relationships/image" Target="media/image197.png"/><Relationship Id="rId208" Type="http://schemas.openxmlformats.org/officeDocument/2006/relationships/image" Target="media/image198.png"/><Relationship Id="rId209" Type="http://schemas.openxmlformats.org/officeDocument/2006/relationships/image" Target="media/image199.png"/><Relationship Id="rId210" Type="http://schemas.openxmlformats.org/officeDocument/2006/relationships/image" Target="media/image200.png"/><Relationship Id="rId211" Type="http://schemas.openxmlformats.org/officeDocument/2006/relationships/image" Target="media/image201.png"/><Relationship Id="rId212" Type="http://schemas.openxmlformats.org/officeDocument/2006/relationships/image" Target="media/image202.png"/><Relationship Id="rId213" Type="http://schemas.openxmlformats.org/officeDocument/2006/relationships/image" Target="media/image203.png"/><Relationship Id="rId214" Type="http://schemas.openxmlformats.org/officeDocument/2006/relationships/image" Target="media/image204.png"/><Relationship Id="rId215" Type="http://schemas.openxmlformats.org/officeDocument/2006/relationships/image" Target="media/image205.png"/><Relationship Id="rId216" Type="http://schemas.openxmlformats.org/officeDocument/2006/relationships/image" Target="media/image206.png"/><Relationship Id="rId217" Type="http://schemas.openxmlformats.org/officeDocument/2006/relationships/image" Target="media/image207.png"/><Relationship Id="rId218" Type="http://schemas.openxmlformats.org/officeDocument/2006/relationships/image" Target="media/image208.png"/><Relationship Id="rId219" Type="http://schemas.openxmlformats.org/officeDocument/2006/relationships/image" Target="media/image209.png"/><Relationship Id="rId220" Type="http://schemas.openxmlformats.org/officeDocument/2006/relationships/image" Target="media/image210.png"/><Relationship Id="rId221" Type="http://schemas.openxmlformats.org/officeDocument/2006/relationships/image" Target="media/image211.png"/><Relationship Id="rId222" Type="http://schemas.openxmlformats.org/officeDocument/2006/relationships/image" Target="media/image212.png"/><Relationship Id="rId223" Type="http://schemas.openxmlformats.org/officeDocument/2006/relationships/image" Target="media/image2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