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Results are grounded in audited Drive artifacts; inferential tests on the canonical run remain pending.</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spacing w:after="120" w:line="276" w:lineRule="auto"/>
        <w:jc w:val="both"/>
      </w:pPr>
      <w:r>
        <w:t>El marco teorico de esta tesis no se limita a definir conceptos generales de aprendizaje por refuerzo o energia. Su funcion es sustentar, con literatura especializada, la relacion causal entre la variable independiente -algoritmo MADRL aplicado bajo Dec-POMDP/CTDE- y la variable dependiente -desempeno coordinado de flexibilidad energetica, emisiones de CO2 y costos energeticos-. Por ello, este capitulo se organiza en cuatro ejes: CityLearn y comunidades energeticas, flexibilidad energetica, control bajo intensidad de carbono, optimizacion de costos, y fundamentos formales MADRL. Esta estructura responde directamente a OE.1, OE.2, OE.3 y al objetivo general.</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Antecedentes de la investigacion</w:t>
      </w:r>
    </w:p>
    <w:p>
      <w:pPr>
        <w:pStyle w:val="Heading3"/>
      </w:pPr>
      <w:r>
        <w:t>2.1.1 CityLearn como entorno base de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3"/>
      </w:pPr>
      <w:r>
        <w:t>2.1.2 Flexibilidad energetica y respuesta a la demanda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pStyle w:val="Heading3"/>
      </w:pPr>
      <w:r>
        <w:t>2.1.3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2.1.4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w:t>
      </w:r>
    </w:p>
    <w:p>
      <w:pPr>
        <w:pStyle w:val="Heading3"/>
      </w:pPr>
      <w:r>
        <w:t>2.1.5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w:t>
      </w:r>
    </w:p>
    <w:p>
      <w:r>
        <w:rPr>
          <w:b/>
          <w:color w:val="595959"/>
          <w:sz w:val="19"/>
        </w:rPr>
        <w:t>Tabla 2.1.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&amp; Nagy (2019a, 2019b); Vazquez-Canteli et al. (2020); Nweye et al. (2023c, 2024); Nweye &amp;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&amp; Barto (2018); Oliehoek &amp; Amato (2016); Lowe et al. (2017); Haarnoja et al. (2018); Iqbal &amp;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2"/>
      </w:pPr>
      <w:r>
        <w:t>2.2 Bases teoricas</w:t>
      </w:r>
    </w:p>
    <w:p>
      <w:pPr>
        <w:pStyle w:val="Heading3"/>
      </w:pPr>
      <w:r>
        <w:t>2.2.1 Aprendizaje por refuerzo profundo y decision secuencial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pStyle w:val="Heading3"/>
      </w:pPr>
      <w:r>
        <w:t>2.2.2 Sistemas multiagente, no estacionariedad y cooperacion</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La literatura de CTDE responde a esta dificultad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2.2.3 Dec-POMDP como formalizacion del problema doctoral</w:t>
      </w:r>
    </w:p>
    <w:p>
      <w:pPr>
        <w:spacing w:after="120" w:line="276" w:lineRule="auto"/>
        <w:jc w:val="both"/>
      </w:pPr>
      <w:r>
        <w:t>El Decentralized Partially Observable Markov Decision Process permite formalizar decision cooperativa con informacion local incompleta. Oliehoek y Amato (2016) lo definen como una estructura donde multiples agentes comparten una recompensa o criterio cooperativo, pero cada uno recibe observaciones parciales. Esta tesis adopta esa formulacion porque ningun edificio observa completamente el estado interno de los otros edificios durante la ejecucion. Cada agente observa su demanda, PV, BESS, EV, precio, intensidad de carbono y variables locales, pero no controla ni observa directamente las acciones internas de los demas.</w:t>
      </w:r>
    </w:p>
    <w:p>
      <w:pPr>
        <w:spacing w:after="120" w:line="276" w:lineRule="auto"/>
        <w:jc w:val="both"/>
      </w:pPr>
      <w:r>
        <w:t>La tupla teorica usada es M = &lt;S, {A_i}, T, R, {O_i}, Omega, gamma, T&gt;. S representa el estado global concatenado de las observaciones; A_i es el espacio de accion local de cada edificio; T describe la transicion energetica; R es la recompensa cooperativa; O_i son observaciones locales; Omega es la funcion de observacion; gamma es el factor de descuento; y T el horizonte temporal. Esta formalizacion conecta el marco teorico con la arquitectura del Capitulo 4, donde los 17 edificios del SEAI Iquitos se convierten en agentes.</w:t>
      </w:r>
    </w:p>
    <w:p>
      <w:pPr>
        <w:pStyle w:val="Heading3"/>
      </w:pPr>
      <w:r>
        <w:t>2.2.4 CTDE: entrenamiento centralizado y ejecucion descentralizada</w:t>
      </w:r>
    </w:p>
    <w:p>
      <w:pPr>
        <w:spacing w:after="120" w:line="276" w:lineRule="auto"/>
        <w:jc w:val="both"/>
      </w:pPr>
      <w:r>
        <w:t>El paradigma Centralized Training, Decentralized Execution separa dos fases: durante el entrenamiento, los criticos o funciones de valor pueden acceder al estado global y a informacion conjunta; durante la ejecucion, las politicas actuan solo con observaciones locales. Lowe et al. (2017) muestran este principio en multi-agent actor-critic, e Iqbal y Sha (2019) lo extienden con mecanismos de atencion para seleccionar interacciones relevantes entre agentes. En la tesis, CTDE permite que los agentes aprendan coordinacion distrital sin requerir comunicacion completa en operacion.</w:t>
      </w:r>
    </w:p>
    <w:p>
      <w:pPr>
        <w:spacing w:after="120" w:line="276" w:lineRule="auto"/>
        <w:jc w:val="both"/>
      </w:pPr>
      <w:r>
        <w:t>La validez de CTDE para esta investigacion depende de mantener consistentes los instrumentos de medicion. Si el entrenamiento usa estado global y la ejecucion usa observacion local, los KPIs deben reflejar la ejecucion descentralizada de politicas, no una solucion centralizada ideal. Por ello, trace.csv y timeseries.csv son necesarios para interpretar si el comportamiento aprendido realmente corresponde a acciones por edificio y no solo a resultados agregados.</w:t>
      </w:r>
    </w:p>
    <w:p>
      <w:pPr>
        <w:pStyle w:val="Heading3"/>
      </w:pPr>
      <w:r>
        <w:t>2.2.5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 Sin embargo, su uso en resultados debe respetar la cobertura real: se dispone de timeseries y trace, pero no de todos los artefactos de edificio/checkpoint.</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discretizacion/adaptacion de acciones para el entorno CityLearn v3 propuesto. Su valor teorico esta en contrastar estrategias entropicas frente a politicas deterministicas y de atencion.</w:t>
      </w:r>
    </w:p>
    <w:p>
      <w:pPr>
        <w:spacing w:after="120" w:line="276" w:lineRule="auto"/>
        <w:jc w:val="both"/>
      </w:pPr>
      <w:r>
        <w:t>MATD3 se basa en la idea de reducir sobreestimacion mediante criticos dobles, retraso de actualizacion de politica y ruido objetivo en la familia TD3. Aunque la referencia especifica del backend se implementa en el proyecto, su justificacion teorica se relaciona con estabilidad off-policy en espacios continuos de accion.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 La atencion ofrece una explicacion teorica para coordinacion selectiva entre edificios heterogeneos.</w:t>
      </w:r>
    </w:p>
    <w:p>
      <w:pPr>
        <w:spacing w:after="120" w:line="276" w:lineRule="auto"/>
        <w:jc w:val="both"/>
      </w:pPr>
      <w:r>
        <w:t>MARLlib se considera en la tesis solo como nombre propio de una biblioteca de referencia para aprendizaje por refuerzo multiagente, no como sustituto conceptual de MADRL. Hu et al. (2023) muestran su valor como framework escalable; sin embargo, el proyecto utiliza backends concretos en external/ y wrappers propios. Esta precision terminologica evita confundir marco teorico, herramienta y contribucion experimental.</w:t>
      </w:r>
    </w:p>
    <w:p>
      <w:r>
        <w:rPr>
          <w:b/>
          <w:color w:val="595959"/>
          <w:sz w:val="19"/>
        </w:rPr>
        <w:t>Tabla 2.2.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HG/HE.2/HE.3.</w:t>
            </w:r>
          </w:p>
        </w:tc>
      </w:tr>
      <w:tr>
        <w:tc>
          <w:tcPr>
            <w:tcW w:type="dxa" w:w="1824"/>
          </w:tcPr>
          <w:p>
            <w:r/>
            <w:r>
              <w:rPr>
                <w:sz w:val="14"/>
              </w:rPr>
              <w:t>MAAC</w:t>
            </w:r>
          </w:p>
        </w:tc>
        <w:tc>
          <w:tcPr>
            <w:tcW w:type="dxa" w:w="1824"/>
          </w:tcPr>
          <w:p>
            <w:r/>
            <w:r>
              <w:rPr>
                <w:sz w:val="14"/>
              </w:rPr>
              <w:t>Critico con atencion multiagente (Iqbal &amp;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2.2.6 Bases teoricas de la flexibilidad energetica</w:t>
      </w:r>
    </w:p>
    <w:p>
      <w:pPr>
        <w:spacing w:after="120" w:line="276" w:lineRule="auto"/>
        <w:jc w:val="both"/>
      </w:pPr>
      <w:r>
        <w:t>La flexibilidad energetica es la capacidad de ajustar demanda, generacion distribuida y almacenamiento en respuesta a objetivos operativos. Lund et al. (2017) ubican esta capacidad dentro de los sistemas energeticos inteligentes, mientras CityLearn la operacionaliza con KPIs de pico, rampa y factor de carga (Vazquez-Canteli et al., 2020; Nweye et al., 2024). En el contexto de la tesis, D-VD.1 no se reduce a una metrica; es una dimension compuesta que incluye peak_average, ramping_average, one_minus_load_factor_average, autoconsumo PV, autosuficiencia, importacion/exportacion y respuesta de carga controlable.</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2.2.7 Bases teoricas de emisiones de CO2</w:t>
      </w:r>
    </w:p>
    <w:p>
      <w:pPr>
        <w:spacing w:after="120" w:line="276" w:lineRule="auto"/>
        <w:jc w:val="both"/>
      </w:pPr>
      <w:r>
        <w:t>Las emisiones de CO2 asociadas al consumo electrico dependen de la energia importada y de la intensidad de carbono de la fuente. Tranberg et al. (2020) plantean la importancia de contabilidad temporal de carbono, y Cao et al. (2023) muestran la utilidad de pronosticar intensidad de carbono para gestion de edificios. En redes aisladas, la intensidad de carbono puede ser mayor y mas sensible a la generacion local. Por eso, el uso de MINAM (2019) como referencia del factor base peruano conecta la tesis con el contexto SEAI Iquitos.</w:t>
      </w:r>
    </w:p>
    <w:p>
      <w:pPr>
        <w:spacing w:after="120" w:line="276" w:lineRule="auto"/>
        <w:jc w:val="both"/>
      </w:pPr>
      <w:r>
        <w:t>D-VD.2 se operacionaliza mediante carbon_emissions_total, carbon_emissions_delta y consumo ponderado por intensidad de carbono. A diferencia de estudios donde el carbono es un KPI posterior, en esta tesis E2 modifica directamente la funcion de recompensa, asignando peso dominante al componente carbono. Esto permite contrastar si el algoritmo MADRL produce un efecto diferenciado sobre emisiones y si el efecto corresponde al algoritmo planteado en las hipotesis.</w:t>
      </w:r>
    </w:p>
    <w:p>
      <w:pPr>
        <w:pStyle w:val="Heading3"/>
      </w:pPr>
      <w:r>
        <w:t>2.2.8 Bases teoricas de costos energeticos</w:t>
      </w:r>
    </w:p>
    <w:p>
      <w:pPr>
        <w:spacing w:after="120" w:line="276" w:lineRule="auto"/>
        <w:jc w:val="both"/>
      </w:pPr>
      <w:r>
        <w:t>Los costos energeticos se explican por consumo, horario, precio, picos y capacidad de respuesta. OSINERGMIN (2024) justifica el uso de maxima demanda y tarifa en el contexto regulatorio peruano; Dang et al. (2023) muestran que BESS puede reducir cargos de demanda bajo precios dinamicos; y Xiong et al. (2024) confirma que DRL puede responder a TOU y almacenamiento. En la tesis, D-VD.3 se mide con electricity_cost_total, electricity_cost_delta y price_signal_deviation, lo que conecta costos con politicas concretas de carga/descarga y desplazamiento.</w:t>
      </w:r>
    </w:p>
    <w:p>
      <w:pPr>
        <w:spacing w:after="120" w:line="276" w:lineRule="auto"/>
        <w:jc w:val="both"/>
      </w:pPr>
      <w:r>
        <w:t>La importancia doctoral de este eje es que costo, flexibilidad y carbono pueden entrar en conflicto. Cargar BESS en una hora barata puede no coincidir con la hora de menor carbono; reducir pico puede aumentar emisiones si desplaza consumo a periodos diesel; y optimizar costo puede sacrificar flexibilidad. Por eso, la recompensa multiobjetivo y los escenarios E1/E2/E3 son teoricamente necesarios y no una decision arbitraria de implementacion.</w:t>
      </w:r>
    </w:p>
    <w:p>
      <w:pPr>
        <w:pStyle w:val="Heading3"/>
      </w:pPr>
      <w:r>
        <w:t>2.2.9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Este aporte conecta clima, generacion y decision multiagente.</w:t>
      </w:r>
    </w:p>
    <w:p>
      <w:pPr>
        <w:spacing w:after="120" w:line="276" w:lineRule="auto"/>
        <w:jc w:val="both"/>
      </w:pPr>
      <w:r>
        <w:t>El KPI de pico con ventana de facturacion se fundamenta en OSINERGMIN (2024) y en estudios de reduccion de demanda maxima con BESS, como Dang et al. (2023). Finalmente, CarbonIntensityModel se sostiene en MINAM (2019), Tranberg et al. (2020) y Cao et al. (2023), permitiendo que el eje de carbono sea parametrizable y no una constante exogena sin estructura teorica.</w:t>
      </w:r>
    </w:p>
    <w:p>
      <w:r>
        <w:rPr>
          <w:b/>
          <w:color w:val="595959"/>
          <w:sz w:val="19"/>
        </w:rPr>
        <w:t>Tabla 2.3.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&amp; Amato (2016); Iqbal &amp;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2.3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2"/>
      </w:pPr>
      <w:r>
        <w:t>2.4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pPr>
      <w:r>
        <w:t>2.5 Antecedentes internacionales y nacionales usados en la version final</w:t>
      </w:r>
    </w:p>
    <w:p>
      <w:pPr>
        <w:spacing w:after="120" w:line="276" w:lineRule="auto"/>
        <w:jc w:val="both"/>
      </w:pPr>
      <w:r>
        <w:t>Para cerrar el marco teorico, se incorporan antecedentes internacionales y nacionales/contextuales. Los internacionales provienen de la lista APA del proyecto y sustentan CityLearn, MADRL, flexibilidad, CO2 y costos. Los nacionales sustentan el contexto peruano de emisiones, tarifas, red aislada, vehiculos electricos y evidencia local de aprendizaje automatico aplicado al sector energetico. Las fuentes nacionales no se usan para inventar resultados MADRL; se emplean para justificar pertinencia del caso SEAI Iquitos y condiciones de frontera.</w:t>
      </w:r>
    </w:p>
    <w:p>
      <w:r>
        <w:rPr>
          <w:b/>
          <w:color w:val="595959"/>
          <w:sz w:val="19"/>
        </w:rPr>
        <w:t>Tabla 2.4. Cinco antecedentes internacionales y cinco nacionales/contextuales.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Tipo</w:t>
            </w:r>
          </w:p>
        </w:tc>
        <w:tc>
          <w:tcPr>
            <w:tcW w:type="dxa" w:w="2280"/>
            <w:shd w:val="clear" w:color="auto" w:fill="1F4E79"/>
          </w:tcPr>
          <w:p>
            <w:r/>
            <w:r>
              <w:rPr>
                <w:b/>
                <w:color w:val="FFFFFF"/>
                <w:sz w:val="14"/>
              </w:rPr>
              <w:t>Fuente</w:t>
            </w:r>
          </w:p>
        </w:tc>
        <w:tc>
          <w:tcPr>
            <w:tcW w:type="dxa" w:w="2280"/>
            <w:shd w:val="clear" w:color="auto" w:fill="1F4E79"/>
          </w:tcPr>
          <w:p>
            <w:r/>
            <w:r>
              <w:rPr>
                <w:b/>
                <w:color w:val="FFFFFF"/>
                <w:sz w:val="14"/>
              </w:rPr>
              <w:t>Aporte</w:t>
            </w:r>
          </w:p>
        </w:tc>
        <w:tc>
          <w:tcPr>
            <w:tcW w:type="dxa" w:w="2280"/>
            <w:shd w:val="clear" w:color="auto" w:fill="1F4E79"/>
          </w:tcPr>
          <w:p>
            <w:r/>
            <w:r>
              <w:rPr>
                <w:b/>
                <w:color w:val="FFFFFF"/>
                <w:sz w:val="14"/>
              </w:rPr>
              <w:t>Uso en la tesis</w:t>
            </w:r>
          </w:p>
        </w:tc>
      </w:tr>
      <w:tr>
        <w:tc>
          <w:tcPr>
            <w:tcW w:type="dxa" w:w="2280"/>
          </w:tcPr>
          <w:p>
            <w:r/>
            <w:r>
              <w:rPr>
                <w:sz w:val="14"/>
              </w:rPr>
              <w:t>Internacional</w:t>
            </w:r>
          </w:p>
        </w:tc>
        <w:tc>
          <w:tcPr>
            <w:tcW w:type="dxa" w:w="2280"/>
          </w:tcPr>
          <w:p>
            <w:r/>
            <w:r>
              <w:rPr>
                <w:sz w:val="14"/>
              </w:rPr>
              <w:t>Vazquez-Canteli &amp; Nagy (2019a)</w:t>
            </w:r>
          </w:p>
        </w:tc>
        <w:tc>
          <w:tcPr>
            <w:tcW w:type="dxa" w:w="2280"/>
          </w:tcPr>
          <w:p>
            <w:r/>
            <w:r>
              <w:rPr>
                <w:sz w:val="14"/>
              </w:rPr>
              <w:t>CityLearn v1.0 para respuesta a la demanda multiedificio.</w:t>
            </w:r>
          </w:p>
        </w:tc>
        <w:tc>
          <w:tcPr>
            <w:tcW w:type="dxa" w:w="2280"/>
          </w:tcPr>
          <w:p>
            <w:r/>
            <w:r>
              <w:rPr>
                <w:sz w:val="14"/>
              </w:rPr>
              <w:t>Base historica del entorno de simulacion y KPIs de flexibilidad.</w:t>
            </w:r>
          </w:p>
        </w:tc>
      </w:tr>
      <w:tr>
        <w:tc>
          <w:tcPr>
            <w:tcW w:type="dxa" w:w="2280"/>
          </w:tcPr>
          <w:p>
            <w:r/>
            <w:r>
              <w:rPr>
                <w:sz w:val="14"/>
              </w:rPr>
              <w:t>Internacional</w:t>
            </w:r>
          </w:p>
        </w:tc>
        <w:tc>
          <w:tcPr>
            <w:tcW w:type="dxa" w:w="2280"/>
          </w:tcPr>
          <w:p>
            <w:r/>
            <w:r>
              <w:rPr>
                <w:sz w:val="14"/>
              </w:rPr>
              <w:t>Nweye et al. (2024)</w:t>
            </w:r>
          </w:p>
        </w:tc>
        <w:tc>
          <w:tcPr>
            <w:tcW w:type="dxa" w:w="2280"/>
          </w:tcPr>
          <w:p>
            <w:r/>
            <w:r>
              <w:rPr>
                <w:sz w:val="14"/>
              </w:rPr>
              <w:t>CityLearn v2 integra EV, BESS, PV, carbono y comunidades grid-interactive.</w:t>
            </w:r>
          </w:p>
        </w:tc>
        <w:tc>
          <w:tcPr>
            <w:tcW w:type="dxa" w:w="2280"/>
          </w:tcPr>
          <w:p>
            <w:r/>
            <w:r>
              <w:rPr>
                <w:sz w:val="14"/>
              </w:rPr>
              <w:t>Base oficial sobre la que se construye CityLearn v3 propuesto.</w:t>
            </w:r>
          </w:p>
        </w:tc>
      </w:tr>
      <w:tr>
        <w:tc>
          <w:tcPr>
            <w:tcW w:type="dxa" w:w="2280"/>
          </w:tcPr>
          <w:p>
            <w:r/>
            <w:r>
              <w:rPr>
                <w:sz w:val="14"/>
              </w:rPr>
              <w:t>Internacional</w:t>
            </w:r>
          </w:p>
        </w:tc>
        <w:tc>
          <w:tcPr>
            <w:tcW w:type="dxa" w:w="2280"/>
          </w:tcPr>
          <w:p>
            <w:r/>
            <w:r>
              <w:rPr>
                <w:sz w:val="14"/>
              </w:rPr>
              <w:t>Yao et al. (2023)</w:t>
            </w:r>
          </w:p>
        </w:tc>
        <w:tc>
          <w:tcPr>
            <w:tcW w:type="dxa" w:w="2280"/>
          </w:tcPr>
          <w:p>
            <w:r/>
            <w:r>
              <w:rPr>
                <w:sz w:val="14"/>
              </w:rPr>
              <w:t>MADRL para gestion energetica de comunidades con PV/BESS/EV.</w:t>
            </w:r>
          </w:p>
        </w:tc>
        <w:tc>
          <w:tcPr>
            <w:tcW w:type="dxa" w:w="2280"/>
          </w:tcPr>
          <w:p>
            <w:r/>
            <w:r>
              <w:rPr>
                <w:sz w:val="14"/>
              </w:rPr>
              <w:t>Antecedente directo para OE.1 y OE.3.</w:t>
            </w:r>
          </w:p>
        </w:tc>
      </w:tr>
      <w:tr>
        <w:tc>
          <w:tcPr>
            <w:tcW w:type="dxa" w:w="2280"/>
          </w:tcPr>
          <w:p>
            <w:r/>
            <w:r>
              <w:rPr>
                <w:sz w:val="14"/>
              </w:rPr>
              <w:t>Internacional</w:t>
            </w:r>
          </w:p>
        </w:tc>
        <w:tc>
          <w:tcPr>
            <w:tcW w:type="dxa" w:w="2280"/>
          </w:tcPr>
          <w:p>
            <w:r/>
            <w:r>
              <w:rPr>
                <w:sz w:val="14"/>
              </w:rPr>
              <w:t>Liu et al. (2022)</w:t>
            </w:r>
          </w:p>
        </w:tc>
        <w:tc>
          <w:tcPr>
            <w:tcW w:type="dxa" w:w="2280"/>
          </w:tcPr>
          <w:p>
            <w:r/>
            <w:r>
              <w:rPr>
                <w:sz w:val="14"/>
              </w:rPr>
              <w:t>MADRL en edificios con renovables para costo y CO2.</w:t>
            </w:r>
          </w:p>
        </w:tc>
        <w:tc>
          <w:tcPr>
            <w:tcW w:type="dxa" w:w="2280"/>
          </w:tcPr>
          <w:p>
            <w:r/>
            <w:r>
              <w:rPr>
                <w:sz w:val="14"/>
              </w:rPr>
              <w:t>Antecedente directo para OE.2 y multiobjetivo.</w:t>
            </w:r>
          </w:p>
        </w:tc>
      </w:tr>
      <w:tr>
        <w:tc>
          <w:tcPr>
            <w:tcW w:type="dxa" w:w="2280"/>
          </w:tcPr>
          <w:p>
            <w:r/>
            <w:r>
              <w:rPr>
                <w:sz w:val="14"/>
              </w:rPr>
              <w:t>Internacional</w:t>
            </w:r>
          </w:p>
        </w:tc>
        <w:tc>
          <w:tcPr>
            <w:tcW w:type="dxa" w:w="2280"/>
          </w:tcPr>
          <w:p>
            <w:r/>
            <w:r>
              <w:rPr>
                <w:sz w:val="14"/>
              </w:rPr>
              <w:t>Iqbal &amp; Sha (2019)</w:t>
            </w:r>
          </w:p>
        </w:tc>
        <w:tc>
          <w:tcPr>
            <w:tcW w:type="dxa" w:w="2280"/>
          </w:tcPr>
          <w:p>
            <w:r/>
            <w:r>
              <w:rPr>
                <w:sz w:val="14"/>
              </w:rPr>
              <w:t>Actor-Attention-Critic para coordinacion multiagente.</w:t>
            </w:r>
          </w:p>
        </w:tc>
        <w:tc>
          <w:tcPr>
            <w:tcW w:type="dxa" w:w="2280"/>
          </w:tcPr>
          <w:p>
            <w:r/>
            <w:r>
              <w:rPr>
                <w:sz w:val="14"/>
              </w:rPr>
              <w:t>Fundamento teorico de MAAC y coordinacion selectiva.</w:t>
            </w:r>
          </w:p>
        </w:tc>
      </w:tr>
      <w:tr>
        <w:tc>
          <w:tcPr>
            <w:tcW w:type="dxa" w:w="2280"/>
          </w:tcPr>
          <w:p>
            <w:r/>
            <w:r>
              <w:rPr>
                <w:sz w:val="14"/>
              </w:rPr>
              <w:t>Nacional</w:t>
            </w:r>
          </w:p>
        </w:tc>
        <w:tc>
          <w:tcPr>
            <w:tcW w:type="dxa" w:w="2280"/>
          </w:tcPr>
          <w:p>
            <w:r/>
            <w:r>
              <w:rPr>
                <w:sz w:val="14"/>
              </w:rPr>
              <w:t>MINAM (2019)</w:t>
            </w:r>
          </w:p>
        </w:tc>
        <w:tc>
          <w:tcPr>
            <w:tcW w:type="dxa" w:w="2280"/>
          </w:tcPr>
          <w:p>
            <w:r/>
            <w:r>
              <w:rPr>
                <w:sz w:val="14"/>
              </w:rPr>
              <w:t>Factor de emision RAGEI para energia en Peru.</w:t>
            </w:r>
          </w:p>
        </w:tc>
        <w:tc>
          <w:tcPr>
            <w:tcW w:type="dxa" w:w="2280"/>
          </w:tcPr>
          <w:p>
            <w:r/>
            <w:r>
              <w:rPr>
                <w:sz w:val="14"/>
              </w:rPr>
              <w:t>Sustenta CI base 0,790 kgCO2/kWh del SEAI Iquitos.</w:t>
            </w:r>
          </w:p>
        </w:tc>
      </w:tr>
      <w:tr>
        <w:tc>
          <w:tcPr>
            <w:tcW w:type="dxa" w:w="2280"/>
          </w:tcPr>
          <w:p>
            <w:r/>
            <w:r>
              <w:rPr>
                <w:sz w:val="14"/>
              </w:rPr>
              <w:t>Nacional</w:t>
            </w:r>
          </w:p>
        </w:tc>
        <w:tc>
          <w:tcPr>
            <w:tcW w:type="dxa" w:w="2280"/>
          </w:tcPr>
          <w:p>
            <w:r/>
            <w:r>
              <w:rPr>
                <w:sz w:val="14"/>
              </w:rPr>
              <w:t>OSINERGMIN (2024)</w:t>
            </w:r>
          </w:p>
        </w:tc>
        <w:tc>
          <w:tcPr>
            <w:tcW w:type="dxa" w:w="2280"/>
          </w:tcPr>
          <w:p>
            <w:r/>
            <w:r>
              <w:rPr>
                <w:sz w:val="14"/>
              </w:rPr>
              <w:t>Tarifas de distribucion y demanda maxima para Electro Oriente.</w:t>
            </w:r>
          </w:p>
        </w:tc>
        <w:tc>
          <w:tcPr>
            <w:tcW w:type="dxa" w:w="2280"/>
          </w:tcPr>
          <w:p>
            <w:r/>
            <w:r>
              <w:rPr>
                <w:sz w:val="14"/>
              </w:rPr>
              <w:t>Sustenta costos, TOU y KPI de pico facturable.</w:t>
            </w:r>
          </w:p>
        </w:tc>
      </w:tr>
      <w:tr>
        <w:tc>
          <w:tcPr>
            <w:tcW w:type="dxa" w:w="2280"/>
          </w:tcPr>
          <w:p>
            <w:r/>
            <w:r>
              <w:rPr>
                <w:sz w:val="14"/>
              </w:rPr>
              <w:t>Nacional</w:t>
            </w:r>
          </w:p>
        </w:tc>
        <w:tc>
          <w:tcPr>
            <w:tcW w:type="dxa" w:w="2280"/>
          </w:tcPr>
          <w:p>
            <w:r/>
            <w:r>
              <w:rPr>
                <w:sz w:val="14"/>
              </w:rPr>
              <w:t>Electro Oriente S.A. / dataset del proyecto</w:t>
            </w:r>
          </w:p>
        </w:tc>
        <w:tc>
          <w:tcPr>
            <w:tcW w:type="dxa" w:w="2280"/>
          </w:tcPr>
          <w:p>
            <w:r/>
            <w:r>
              <w:rPr>
                <w:sz w:val="14"/>
              </w:rPr>
              <w:t>Facturacion y perfiles de edificios reales del SEAI Iquitos.</w:t>
            </w:r>
          </w:p>
        </w:tc>
        <w:tc>
          <w:tcPr>
            <w:tcW w:type="dxa" w:w="2280"/>
          </w:tcPr>
          <w:p>
            <w:r/>
            <w:r>
              <w:rPr>
                <w:sz w:val="14"/>
              </w:rPr>
              <w:t>Sustenta demanda, edificios y caso aplicado nacional.</w:t>
            </w:r>
          </w:p>
        </w:tc>
      </w:tr>
      <w:tr>
        <w:tc>
          <w:tcPr>
            <w:tcW w:type="dxa" w:w="2280"/>
          </w:tcPr>
          <w:p>
            <w:r/>
            <w:r>
              <w:rPr>
                <w:sz w:val="14"/>
              </w:rPr>
              <w:t>Nacional</w:t>
            </w:r>
          </w:p>
        </w:tc>
        <w:tc>
          <w:tcPr>
            <w:tcW w:type="dxa" w:w="2280"/>
          </w:tcPr>
          <w:p>
            <w:r/>
            <w:r>
              <w:rPr>
                <w:sz w:val="14"/>
              </w:rPr>
              <w:t>Juarez Valles (2024), registro ALICIA/CONCYTEC</w:t>
            </w:r>
          </w:p>
        </w:tc>
        <w:tc>
          <w:tcPr>
            <w:tcW w:type="dxa" w:w="2280"/>
          </w:tcPr>
          <w:p>
            <w:r/>
            <w:r>
              <w:rPr>
                <w:sz w:val="14"/>
              </w:rPr>
              <w:t>Aprendizaje por refuerzo y LSTM para eficiencia de subestacion de 215 kVA.</w:t>
            </w:r>
          </w:p>
        </w:tc>
        <w:tc>
          <w:tcPr>
            <w:tcW w:type="dxa" w:w="2280"/>
          </w:tcPr>
          <w:p>
            <w:r/>
            <w:r>
              <w:rPr>
                <w:sz w:val="14"/>
              </w:rPr>
              <w:t>Antecedente peruano de IA/RL aplicada a eficiencia electrica; requiere ficha APA completa antes de deposito final.</w:t>
            </w:r>
          </w:p>
        </w:tc>
      </w:tr>
      <w:tr>
        <w:tc>
          <w:tcPr>
            <w:tcW w:type="dxa" w:w="2280"/>
          </w:tcPr>
          <w:p>
            <w:r/>
            <w:r>
              <w:rPr>
                <w:sz w:val="14"/>
              </w:rPr>
              <w:t>Nacional</w:t>
            </w:r>
          </w:p>
        </w:tc>
        <w:tc>
          <w:tcPr>
            <w:tcW w:type="dxa" w:w="2280"/>
          </w:tcPr>
          <w:p>
            <w:r/>
            <w:r>
              <w:rPr>
                <w:sz w:val="14"/>
              </w:rPr>
              <w:t>Prociencia (2024), proyecto PUCP 94714</w:t>
            </w:r>
          </w:p>
        </w:tc>
        <w:tc>
          <w:tcPr>
            <w:tcW w:type="dxa" w:w="2280"/>
          </w:tcPr>
          <w:p>
            <w:r/>
            <w:r>
              <w:rPr>
                <w:sz w:val="14"/>
              </w:rPr>
              <w:t>IA e ISO 15118 para gestion inteligente de estaciones de recarga EV con PV y baterias de segundo uso.</w:t>
            </w:r>
          </w:p>
        </w:tc>
        <w:tc>
          <w:tcPr>
            <w:tcW w:type="dxa" w:w="2280"/>
          </w:tcPr>
          <w:p>
            <w:r/>
            <w:r>
              <w:rPr>
                <w:sz w:val="14"/>
              </w:rPr>
              <w:t>Antecedente nacional de I+D en EV, PV, baterias e IA aplicada.</w:t>
            </w:r>
          </w:p>
        </w:tc>
      </w:tr>
    </w:tbl>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jc w:val="both"/>
      </w:pPr>
      <w:r>
        <w:rPr>
          <w:b w:val="0"/>
          <w:i w:val="0"/>
        </w:rPr>
        <w:t>Este capitulo reporta la corrida canonica Colab/Drive (madrl_v3_20260627_164047) como evidencia principal y la corrida local v4 (5 episodios) como referencia historica. Los KPIs por edificio provienen del analisis multiobjetivo integrado (17 edificios × 3 algoritmos × 3 escenarios).</w:t>
      </w:r>
    </w:p>
    <w:p>
      <w:pPr>
        <w:pStyle w:val="Heading2"/>
      </w:pPr>
      <w:r>
        <w:t>5.1 Experimentos realizados</w:t>
      </w:r>
    </w:p>
    <w:p>
      <w:r>
        <w:rPr>
          <w:b/>
          <w:color w:val="595959"/>
          <w:sz w:val="19"/>
        </w:rPr>
        <w:t>Tabla 5.1. Cobertura de episodios auditada (episodes_recorded).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701"/>
            <w:shd w:val="clear" w:color="auto" w:fill="1F4E79"/>
          </w:tcPr>
          <w:p>
            <w:r/>
            <w:r>
              <w:rPr>
                <w:b/>
                <w:color w:val="FFFFFF"/>
                <w:sz w:val="18"/>
              </w:rPr>
              <w:t>Algoritmo</w:t>
            </w:r>
          </w:p>
        </w:tc>
        <w:tc>
          <w:tcPr>
            <w:tcW w:type="dxa" w:w="1247"/>
            <w:shd w:val="clear" w:color="auto" w:fill="1F4E79"/>
          </w:tcPr>
          <w:p>
            <w:r/>
            <w:r>
              <w:rPr>
                <w:b/>
                <w:color w:val="FFFFFF"/>
                <w:sz w:val="18"/>
              </w:rPr>
              <w:t>E1 ep.</w:t>
            </w:r>
          </w:p>
        </w:tc>
        <w:tc>
          <w:tcPr>
            <w:tcW w:type="dxa" w:w="1247"/>
            <w:shd w:val="clear" w:color="auto" w:fill="1F4E79"/>
          </w:tcPr>
          <w:p>
            <w:r/>
            <w:r>
              <w:rPr>
                <w:b/>
                <w:color w:val="FFFFFF"/>
                <w:sz w:val="18"/>
              </w:rPr>
              <w:t>E2 ep.</w:t>
            </w:r>
          </w:p>
        </w:tc>
        <w:tc>
          <w:tcPr>
            <w:tcW w:type="dxa" w:w="1247"/>
            <w:shd w:val="clear" w:color="auto" w:fill="1F4E79"/>
          </w:tcPr>
          <w:p>
            <w:r/>
            <w:r>
              <w:rPr>
                <w:b/>
                <w:color w:val="FFFFFF"/>
                <w:sz w:val="18"/>
              </w:rPr>
              <w:t>E3 ep.</w:t>
            </w:r>
          </w:p>
        </w:tc>
        <w:tc>
          <w:tcPr>
            <w:tcW w:type="dxa" w:w="3061"/>
            <w:shd w:val="clear" w:color="auto" w:fill="1F4E79"/>
          </w:tcPr>
          <w:p>
            <w:r/>
            <w:r>
              <w:rPr>
                <w:b/>
                <w:color w:val="FFFFFF"/>
                <w:sz w:val="18"/>
              </w:rPr>
              <w:t>KPIs finales</w:t>
            </w:r>
          </w:p>
        </w:tc>
      </w:tr>
      <w:tr>
        <w:tc>
          <w:tcPr>
            <w:tcW w:type="dxa" w:w="1701"/>
          </w:tcPr>
          <w:p>
            <w:r/>
            <w:r>
              <w:rPr>
                <w:sz w:val="18"/>
              </w:rPr>
              <w:t>MATD3</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MASAC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HAPPO</w:t>
            </w:r>
          </w:p>
        </w:tc>
        <w:tc>
          <w:tcPr>
            <w:tcW w:type="dxa" w:w="1247"/>
          </w:tcPr>
          <w:p>
            <w:r/>
            <w:r>
              <w:rPr>
                <w:sz w:val="18"/>
              </w:rPr>
              <w:t>49</w:t>
            </w:r>
          </w:p>
        </w:tc>
        <w:tc>
          <w:tcPr>
            <w:tcW w:type="dxa" w:w="1247"/>
          </w:tcPr>
          <w:p>
            <w:r/>
            <w:r>
              <w:rPr>
                <w:sz w:val="18"/>
              </w:rPr>
              <w:t>49</w:t>
            </w:r>
          </w:p>
        </w:tc>
        <w:tc>
          <w:tcPr>
            <w:tcW w:type="dxa" w:w="1247"/>
          </w:tcPr>
          <w:p>
            <w:r/>
            <w:r>
              <w:rPr>
                <w:sz w:val="18"/>
              </w:rPr>
              <w:t>49</w:t>
            </w:r>
          </w:p>
        </w:tc>
        <w:tc>
          <w:tcPr>
            <w:tcW w:type="dxa" w:w="3061"/>
          </w:tcPr>
          <w:p>
            <w:r/>
            <w:r>
              <w:rPr>
                <w:sz w:val="18"/>
              </w:rPr>
              <w:t>No (error VecEnvWrapper)</w:t>
            </w:r>
          </w:p>
        </w:tc>
      </w:tr>
    </w:tbl>
    <w:p/>
    <w:p>
      <w:pPr>
        <w:pStyle w:val="Heading2"/>
      </w:pPr>
      <w:r>
        <w:t>5.2 Seleccion del mejor MADRL (distrito)</w:t>
      </w:r>
    </w:p>
    <w:p>
      <w:pPr>
        <w:jc w:val="both"/>
      </w:pPr>
      <w:r>
        <w:rPr>
          <w:b/>
          <w:i w:val="0"/>
        </w:rPr>
        <w:t>Mejor algoritmo MADRL seleccionado: MATD3.</w:t>
      </w:r>
    </w:p>
    <w:p>
      <w:r>
        <w:rPr>
          <w:b/>
          <w:color w:val="595959"/>
          <w:sz w:val="19"/>
        </w:rPr>
        <w:t>Tabla 5.2. Ranking global Colab/Drive (best_madrl_report.json).</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417"/>
            <w:shd w:val="clear" w:color="auto" w:fill="1F4E79"/>
          </w:tcPr>
          <w:p>
            <w:r/>
            <w:r>
              <w:rPr>
                <w:b/>
                <w:color w:val="FFFFFF"/>
                <w:sz w:val="18"/>
              </w:rPr>
              <w:t>Score global</w:t>
            </w:r>
          </w:p>
        </w:tc>
        <w:tc>
          <w:tcPr>
            <w:tcW w:type="dxa" w:w="1020"/>
            <w:shd w:val="clear" w:color="auto" w:fill="1F4E79"/>
          </w:tcPr>
          <w:p>
            <w:r/>
            <w:r>
              <w:rPr>
                <w:b/>
                <w:color w:val="FFFFFF"/>
                <w:sz w:val="18"/>
              </w:rPr>
              <w:t>OE1</w:t>
            </w:r>
          </w:p>
        </w:tc>
        <w:tc>
          <w:tcPr>
            <w:tcW w:type="dxa" w:w="1020"/>
            <w:shd w:val="clear" w:color="auto" w:fill="1F4E79"/>
          </w:tcPr>
          <w:p>
            <w:r/>
            <w:r>
              <w:rPr>
                <w:b/>
                <w:color w:val="FFFFFF"/>
                <w:sz w:val="18"/>
              </w:rPr>
              <w:t>OE2</w:t>
            </w:r>
          </w:p>
        </w:tc>
        <w:tc>
          <w:tcPr>
            <w:tcW w:type="dxa" w:w="1020"/>
            <w:shd w:val="clear" w:color="auto" w:fill="1F4E79"/>
          </w:tcPr>
          <w:p>
            <w:r/>
            <w:r>
              <w:rPr>
                <w:b/>
                <w:color w:val="FFFFFF"/>
                <w:sz w:val="18"/>
              </w:rPr>
              <w:t>OE3</w:t>
            </w:r>
          </w:p>
        </w:tc>
        <w:tc>
          <w:tcPr>
            <w:tcW w:type="dxa" w:w="1417"/>
            <w:shd w:val="clear" w:color="auto" w:fill="1F4E79"/>
          </w:tcPr>
          <w:p>
            <w:r/>
            <w:r>
              <w:rPr>
                <w:b/>
                <w:color w:val="FFFFFF"/>
                <w:sz w:val="18"/>
              </w:rPr>
              <w:t>Seleccionado</w:t>
            </w:r>
          </w:p>
        </w:tc>
      </w:tr>
      <w:tr>
        <w:tc>
          <w:tcPr>
            <w:tcW w:type="dxa" w:w="850"/>
          </w:tcPr>
          <w:p>
            <w:r/>
            <w:r>
              <w:rPr>
                <w:sz w:val="18"/>
              </w:rPr>
              <w:t>1</w:t>
            </w:r>
          </w:p>
        </w:tc>
        <w:tc>
          <w:tcPr>
            <w:tcW w:type="dxa" w:w="1417"/>
          </w:tcPr>
          <w:p>
            <w:r/>
            <w:r>
              <w:rPr>
                <w:sz w:val="18"/>
              </w:rPr>
              <w:t>MATD3</w:t>
            </w:r>
          </w:p>
        </w:tc>
        <w:tc>
          <w:tcPr>
            <w:tcW w:type="dxa" w:w="1417"/>
          </w:tcPr>
          <w:p>
            <w:r/>
            <w:r>
              <w:rPr>
                <w:sz w:val="18"/>
              </w:rPr>
              <w:t>0.6667</w:t>
            </w:r>
          </w:p>
        </w:tc>
        <w:tc>
          <w:tcPr>
            <w:tcW w:type="dxa" w:w="1020"/>
          </w:tcPr>
          <w:p>
            <w:r/>
            <w:r>
              <w:rPr>
                <w:sz w:val="18"/>
              </w:rPr>
              <w:t>1.0000</w:t>
            </w:r>
          </w:p>
        </w:tc>
        <w:tc>
          <w:tcPr>
            <w:tcW w:type="dxa" w:w="1020"/>
          </w:tcPr>
          <w:p>
            <w:r/>
            <w:r>
              <w:rPr>
                <w:sz w:val="18"/>
              </w:rPr>
              <w:t>1.0000</w:t>
            </w:r>
          </w:p>
        </w:tc>
        <w:tc>
          <w:tcPr>
            <w:tcW w:type="dxa" w:w="1020"/>
          </w:tcPr>
          <w:p>
            <w:r/>
            <w:r>
              <w:rPr>
                <w:sz w:val="18"/>
              </w:rPr>
              <w:t>0.0000</w:t>
            </w:r>
          </w:p>
        </w:tc>
        <w:tc>
          <w:tcPr>
            <w:tcW w:type="dxa" w:w="1417"/>
          </w:tcPr>
          <w:p>
            <w:r/>
            <w:r>
              <w:rPr>
                <w:sz w:val="18"/>
              </w:rPr>
              <w:t>Si</w:t>
            </w:r>
          </w:p>
        </w:tc>
      </w:tr>
      <w:tr>
        <w:tc>
          <w:tcPr>
            <w:tcW w:type="dxa" w:w="850"/>
          </w:tcPr>
          <w:p>
            <w:r/>
            <w:r>
              <w:rPr>
                <w:sz w:val="18"/>
              </w:rPr>
              <w:t>2</w:t>
            </w:r>
          </w:p>
        </w:tc>
        <w:tc>
          <w:tcPr>
            <w:tcW w:type="dxa" w:w="1417"/>
          </w:tcPr>
          <w:p>
            <w:r/>
            <w:r>
              <w:rPr>
                <w:sz w:val="18"/>
              </w:rPr>
              <w:t>MAAC</w:t>
            </w:r>
          </w:p>
        </w:tc>
        <w:tc>
          <w:tcPr>
            <w:tcW w:type="dxa" w:w="1417"/>
          </w:tcPr>
          <w:p>
            <w:r/>
            <w:r>
              <w:rPr>
                <w:sz w:val="18"/>
              </w:rPr>
              <w:t>0.5706</w:t>
            </w:r>
          </w:p>
        </w:tc>
        <w:tc>
          <w:tcPr>
            <w:tcW w:type="dxa" w:w="1020"/>
          </w:tcPr>
          <w:p>
            <w:r/>
            <w:r>
              <w:rPr>
                <w:sz w:val="18"/>
              </w:rPr>
              <w:t>0.5837</w:t>
            </w:r>
          </w:p>
        </w:tc>
        <w:tc>
          <w:tcPr>
            <w:tcW w:type="dxa" w:w="1020"/>
          </w:tcPr>
          <w:p>
            <w:r/>
            <w:r>
              <w:rPr>
                <w:sz w:val="18"/>
              </w:rPr>
              <w:t>0.1282</w:t>
            </w:r>
          </w:p>
        </w:tc>
        <w:tc>
          <w:tcPr>
            <w:tcW w:type="dxa" w:w="1020"/>
          </w:tcPr>
          <w:p>
            <w:r/>
            <w:r>
              <w:rPr>
                <w:sz w:val="18"/>
              </w:rPr>
              <w:t>1.0000</w:t>
            </w:r>
          </w:p>
        </w:tc>
        <w:tc>
          <w:tcPr>
            <w:tcW w:type="dxa" w:w="1417"/>
          </w:tcPr>
          <w:p>
            <w:r/>
            <w:r>
              <w:rPr>
                <w:sz w:val="18"/>
              </w:rPr>
              <w:t>No</w:t>
            </w:r>
          </w:p>
        </w:tc>
      </w:tr>
      <w:tr>
        <w:tc>
          <w:tcPr>
            <w:tcW w:type="dxa" w:w="850"/>
          </w:tcPr>
          <w:p>
            <w:r/>
            <w:r>
              <w:rPr>
                <w:sz w:val="18"/>
              </w:rPr>
              <w:t>3</w:t>
            </w:r>
          </w:p>
        </w:tc>
        <w:tc>
          <w:tcPr>
            <w:tcW w:type="dxa" w:w="1417"/>
          </w:tcPr>
          <w:p>
            <w:r/>
            <w:r>
              <w:rPr>
                <w:sz w:val="18"/>
              </w:rPr>
              <w:t>MASAC</w:t>
            </w:r>
          </w:p>
        </w:tc>
        <w:tc>
          <w:tcPr>
            <w:tcW w:type="dxa" w:w="1417"/>
          </w:tcPr>
          <w:p>
            <w:r/>
            <w:r>
              <w:rPr>
                <w:sz w:val="18"/>
              </w:rPr>
              <w:t>0.2351</w:t>
            </w:r>
          </w:p>
        </w:tc>
        <w:tc>
          <w:tcPr>
            <w:tcW w:type="dxa" w:w="1020"/>
          </w:tcPr>
          <w:p>
            <w:r/>
            <w:r>
              <w:rPr>
                <w:sz w:val="18"/>
              </w:rPr>
              <w:t>0.0000</w:t>
            </w:r>
          </w:p>
        </w:tc>
        <w:tc>
          <w:tcPr>
            <w:tcW w:type="dxa" w:w="1020"/>
          </w:tcPr>
          <w:p>
            <w:r/>
            <w:r>
              <w:rPr>
                <w:sz w:val="18"/>
              </w:rPr>
              <w:t>0.0000</w:t>
            </w:r>
          </w:p>
        </w:tc>
        <w:tc>
          <w:tcPr>
            <w:tcW w:type="dxa" w:w="1020"/>
          </w:tcPr>
          <w:p>
            <w:r/>
            <w:r>
              <w:rPr>
                <w:sz w:val="18"/>
              </w:rPr>
              <w:t>0.7054</w:t>
            </w:r>
          </w:p>
        </w:tc>
        <w:tc>
          <w:tcPr>
            <w:tcW w:type="dxa" w:w="1417"/>
          </w:tcPr>
          <w:p>
            <w:r/>
            <w:r>
              <w:rPr>
                <w:sz w:val="18"/>
              </w:rPr>
              <w:t>No</w:t>
            </w:r>
          </w:p>
        </w:tc>
      </w:tr>
    </w:tbl>
    <w:p/>
    <w:p>
      <w:pPr>
        <w:pStyle w:val="Heading2"/>
      </w:pPr>
      <w:r>
        <w:t>5.3 KPIs fisicos por objetivo (distrito)</w:t>
      </w:r>
    </w:p>
    <w:p>
      <w:r>
        <w:rPr>
          <w:b/>
          <w:color w:val="595959"/>
          <w:sz w:val="19"/>
        </w:rPr>
        <w:t>Tabla 5.3. KPIs fisicos agregados de distrito.</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417"/>
            <w:shd w:val="clear" w:color="auto" w:fill="1F4E79"/>
          </w:tcPr>
          <w:p>
            <w:r/>
            <w:r>
              <w:rPr>
                <w:b/>
                <w:color w:val="FFFFFF"/>
                <w:sz w:val="18"/>
              </w:rPr>
              <w:t>Algoritmo</w:t>
            </w:r>
          </w:p>
        </w:tc>
        <w:tc>
          <w:tcPr>
            <w:tcW w:type="dxa" w:w="850"/>
            <w:shd w:val="clear" w:color="auto" w:fill="1F4E79"/>
          </w:tcPr>
          <w:p>
            <w:r/>
            <w:r>
              <w:rPr>
                <w:b/>
                <w:color w:val="FFFFFF"/>
                <w:sz w:val="18"/>
              </w:rPr>
              <w:t>Esc.</w:t>
            </w:r>
          </w:p>
        </w:tc>
        <w:tc>
          <w:tcPr>
            <w:tcW w:type="dxa" w:w="1417"/>
            <w:shd w:val="clear" w:color="auto" w:fill="1F4E79"/>
          </w:tcPr>
          <w:p>
            <w:r/>
            <w:r>
              <w:rPr>
                <w:b/>
                <w:color w:val="FFFFFF"/>
                <w:sz w:val="18"/>
              </w:rPr>
              <w:t>Flex comp.</w:t>
            </w:r>
          </w:p>
        </w:tc>
        <w:tc>
          <w:tcPr>
            <w:tcW w:type="dxa" w:w="1701"/>
            <w:shd w:val="clear" w:color="auto" w:fill="1F4E79"/>
          </w:tcPr>
          <w:p>
            <w:r/>
            <w:r>
              <w:rPr>
                <w:b/>
                <w:color w:val="FFFFFF"/>
                <w:sz w:val="18"/>
              </w:rPr>
              <w:t>Delta CO2 (kg)</w:t>
            </w:r>
          </w:p>
        </w:tc>
        <w:tc>
          <w:tcPr>
            <w:tcW w:type="dxa" w:w="1701"/>
            <w:shd w:val="clear" w:color="auto" w:fill="1F4E79"/>
          </w:tcPr>
          <w:p>
            <w:r/>
            <w:r>
              <w:rPr>
                <w:b/>
                <w:color w:val="FFFFFF"/>
                <w:sz w:val="18"/>
              </w:rPr>
              <w:t>Delta costo (EUR)</w:t>
            </w:r>
          </w:p>
        </w:tc>
        <w:tc>
          <w:tcPr>
            <w:tcW w:type="dxa" w:w="1417"/>
            <w:shd w:val="clear" w:color="auto" w:fill="1F4E79"/>
          </w:tcPr>
          <w:p>
            <w:r/>
            <w:r>
              <w:rPr>
                <w:b/>
                <w:color w:val="FFFFFF"/>
                <w:sz w:val="18"/>
              </w:rPr>
              <w:t>EV exito</w:t>
            </w:r>
          </w:p>
        </w:tc>
      </w:tr>
      <w:tr>
        <w:tc>
          <w:tcPr>
            <w:tcW w:type="dxa" w:w="1417"/>
          </w:tcPr>
          <w:p>
            <w:r/>
            <w:r>
              <w:rPr>
                <w:sz w:val="18"/>
              </w:rPr>
              <w:t>MASAC</w:t>
            </w:r>
          </w:p>
        </w:tc>
        <w:tc>
          <w:tcPr>
            <w:tcW w:type="dxa" w:w="850"/>
          </w:tcPr>
          <w:p>
            <w:r/>
            <w:r>
              <w:rPr>
                <w:sz w:val="18"/>
              </w:rPr>
              <w:t>E1</w:t>
            </w:r>
          </w:p>
        </w:tc>
        <w:tc>
          <w:tcPr>
            <w:tcW w:type="dxa" w:w="1417"/>
          </w:tcPr>
          <w:p>
            <w:r/>
            <w:r>
              <w:rPr>
                <w:sz w:val="18"/>
              </w:rPr>
              <w:t>1.0286</w:t>
            </w:r>
          </w:p>
        </w:tc>
        <w:tc>
          <w:tcPr>
            <w:tcW w:type="dxa" w:w="1701"/>
          </w:tcPr>
          <w:p>
            <w:r/>
            <w:r>
              <w:rPr>
                <w:sz w:val="18"/>
              </w:rPr>
              <w:t>81,227</w:t>
            </w:r>
          </w:p>
        </w:tc>
        <w:tc>
          <w:tcPr>
            <w:tcW w:type="dxa" w:w="1701"/>
          </w:tcPr>
          <w:p>
            <w:r/>
            <w:r>
              <w:rPr>
                <w:sz w:val="18"/>
              </w:rPr>
              <w:t>14,672</w:t>
            </w:r>
          </w:p>
        </w:tc>
        <w:tc>
          <w:tcPr>
            <w:tcW w:type="dxa" w:w="1417"/>
          </w:tcPr>
          <w:p>
            <w:r/>
            <w:r>
              <w:rPr>
                <w:sz w:val="18"/>
              </w:rPr>
              <w:t>3.9%</w:t>
            </w:r>
          </w:p>
        </w:tc>
      </w:tr>
      <w:tr>
        <w:tc>
          <w:tcPr>
            <w:tcW w:type="dxa" w:w="1417"/>
          </w:tcPr>
          <w:p>
            <w:r/>
            <w:r>
              <w:rPr>
                <w:sz w:val="18"/>
              </w:rPr>
              <w:t>MASAC</w:t>
            </w:r>
          </w:p>
        </w:tc>
        <w:tc>
          <w:tcPr>
            <w:tcW w:type="dxa" w:w="850"/>
          </w:tcPr>
          <w:p>
            <w:r/>
            <w:r>
              <w:rPr>
                <w:sz w:val="18"/>
              </w:rPr>
              <w:t>E2</w:t>
            </w:r>
          </w:p>
        </w:tc>
        <w:tc>
          <w:tcPr>
            <w:tcW w:type="dxa" w:w="1417"/>
          </w:tcPr>
          <w:p>
            <w:r/>
            <w:r>
              <w:rPr>
                <w:sz w:val="18"/>
              </w:rPr>
              <w:t>1.0318</w:t>
            </w:r>
          </w:p>
        </w:tc>
        <w:tc>
          <w:tcPr>
            <w:tcW w:type="dxa" w:w="1701"/>
          </w:tcPr>
          <w:p>
            <w:r/>
            <w:r>
              <w:rPr>
                <w:sz w:val="18"/>
              </w:rPr>
              <w:t>77,649</w:t>
            </w:r>
          </w:p>
        </w:tc>
        <w:tc>
          <w:tcPr>
            <w:tcW w:type="dxa" w:w="1701"/>
          </w:tcPr>
          <w:p>
            <w:r/>
            <w:r>
              <w:rPr>
                <w:sz w:val="18"/>
              </w:rPr>
              <w:t>15,020</w:t>
            </w:r>
          </w:p>
        </w:tc>
        <w:tc>
          <w:tcPr>
            <w:tcW w:type="dxa" w:w="1417"/>
          </w:tcPr>
          <w:p>
            <w:r/>
            <w:r>
              <w:rPr>
                <w:sz w:val="18"/>
              </w:rPr>
              <w:t>4.1%</w:t>
            </w:r>
          </w:p>
        </w:tc>
      </w:tr>
      <w:tr>
        <w:tc>
          <w:tcPr>
            <w:tcW w:type="dxa" w:w="1417"/>
          </w:tcPr>
          <w:p>
            <w:r/>
            <w:r>
              <w:rPr>
                <w:sz w:val="18"/>
              </w:rPr>
              <w:t>MASAC</w:t>
            </w:r>
          </w:p>
        </w:tc>
        <w:tc>
          <w:tcPr>
            <w:tcW w:type="dxa" w:w="850"/>
          </w:tcPr>
          <w:p>
            <w:r/>
            <w:r>
              <w:rPr>
                <w:sz w:val="18"/>
              </w:rPr>
              <w:t>E3</w:t>
            </w:r>
          </w:p>
        </w:tc>
        <w:tc>
          <w:tcPr>
            <w:tcW w:type="dxa" w:w="1417"/>
          </w:tcPr>
          <w:p>
            <w:r/>
            <w:r>
              <w:rPr>
                <w:sz w:val="18"/>
              </w:rPr>
              <w:t>1.0297</w:t>
            </w:r>
          </w:p>
        </w:tc>
        <w:tc>
          <w:tcPr>
            <w:tcW w:type="dxa" w:w="1701"/>
          </w:tcPr>
          <w:p>
            <w:r/>
            <w:r>
              <w:rPr>
                <w:sz w:val="18"/>
              </w:rPr>
              <w:t>90,900</w:t>
            </w:r>
          </w:p>
        </w:tc>
        <w:tc>
          <w:tcPr>
            <w:tcW w:type="dxa" w:w="1701"/>
          </w:tcPr>
          <w:p>
            <w:r/>
            <w:r>
              <w:rPr>
                <w:sz w:val="18"/>
              </w:rPr>
              <w:t>19,793</w:t>
            </w:r>
          </w:p>
        </w:tc>
        <w:tc>
          <w:tcPr>
            <w:tcW w:type="dxa" w:w="1417"/>
          </w:tcPr>
          <w:p>
            <w:r/>
            <w:r>
              <w:rPr>
                <w:sz w:val="18"/>
              </w:rPr>
              <w:t>4.1%</w:t>
            </w:r>
          </w:p>
        </w:tc>
      </w:tr>
      <w:tr>
        <w:tc>
          <w:tcPr>
            <w:tcW w:type="dxa" w:w="1417"/>
          </w:tcPr>
          <w:p>
            <w:r/>
            <w:r>
              <w:rPr>
                <w:sz w:val="18"/>
              </w:rPr>
              <w:t>MATD3</w:t>
            </w:r>
          </w:p>
        </w:tc>
        <w:tc>
          <w:tcPr>
            <w:tcW w:type="dxa" w:w="850"/>
          </w:tcPr>
          <w:p>
            <w:r/>
            <w:r>
              <w:rPr>
                <w:sz w:val="18"/>
              </w:rPr>
              <w:t>E1</w:t>
            </w:r>
          </w:p>
        </w:tc>
        <w:tc>
          <w:tcPr>
            <w:tcW w:type="dxa" w:w="1417"/>
          </w:tcPr>
          <w:p>
            <w:r/>
            <w:r>
              <w:rPr>
                <w:sz w:val="18"/>
              </w:rPr>
              <w:t>1.0009</w:t>
            </w:r>
          </w:p>
        </w:tc>
        <w:tc>
          <w:tcPr>
            <w:tcW w:type="dxa" w:w="1701"/>
          </w:tcPr>
          <w:p>
            <w:r/>
            <w:r>
              <w:rPr>
                <w:sz w:val="18"/>
              </w:rPr>
              <w:t>36,723</w:t>
            </w:r>
          </w:p>
        </w:tc>
        <w:tc>
          <w:tcPr>
            <w:tcW w:type="dxa" w:w="1701"/>
          </w:tcPr>
          <w:p>
            <w:r/>
            <w:r>
              <w:rPr>
                <w:sz w:val="18"/>
              </w:rPr>
              <w:t>33,075</w:t>
            </w:r>
          </w:p>
        </w:tc>
        <w:tc>
          <w:tcPr>
            <w:tcW w:type="dxa" w:w="1417"/>
          </w:tcPr>
          <w:p>
            <w:r/>
            <w:r>
              <w:rPr>
                <w:sz w:val="18"/>
              </w:rPr>
              <w:t>43.9%</w:t>
            </w:r>
          </w:p>
        </w:tc>
      </w:tr>
      <w:tr>
        <w:tc>
          <w:tcPr>
            <w:tcW w:type="dxa" w:w="1417"/>
          </w:tcPr>
          <w:p>
            <w:r/>
            <w:r>
              <w:rPr>
                <w:sz w:val="18"/>
              </w:rPr>
              <w:t>MATD3</w:t>
            </w:r>
          </w:p>
        </w:tc>
        <w:tc>
          <w:tcPr>
            <w:tcW w:type="dxa" w:w="850"/>
          </w:tcPr>
          <w:p>
            <w:r/>
            <w:r>
              <w:rPr>
                <w:sz w:val="18"/>
              </w:rPr>
              <w:t>E2</w:t>
            </w:r>
          </w:p>
        </w:tc>
        <w:tc>
          <w:tcPr>
            <w:tcW w:type="dxa" w:w="1417"/>
          </w:tcPr>
          <w:p>
            <w:r/>
            <w:r>
              <w:rPr>
                <w:sz w:val="18"/>
              </w:rPr>
              <w:t>1.0007</w:t>
            </w:r>
          </w:p>
        </w:tc>
        <w:tc>
          <w:tcPr>
            <w:tcW w:type="dxa" w:w="1701"/>
          </w:tcPr>
          <w:p>
            <w:r/>
            <w:r>
              <w:rPr>
                <w:sz w:val="18"/>
              </w:rPr>
              <w:t>23,070</w:t>
            </w:r>
          </w:p>
        </w:tc>
        <w:tc>
          <w:tcPr>
            <w:tcW w:type="dxa" w:w="1701"/>
          </w:tcPr>
          <w:p>
            <w:r/>
            <w:r>
              <w:rPr>
                <w:sz w:val="18"/>
              </w:rPr>
              <w:t>13,935</w:t>
            </w:r>
          </w:p>
        </w:tc>
        <w:tc>
          <w:tcPr>
            <w:tcW w:type="dxa" w:w="1417"/>
          </w:tcPr>
          <w:p>
            <w:r/>
            <w:r>
              <w:rPr>
                <w:sz w:val="18"/>
              </w:rPr>
              <w:t>36.4%</w:t>
            </w:r>
          </w:p>
        </w:tc>
      </w:tr>
      <w:tr>
        <w:tc>
          <w:tcPr>
            <w:tcW w:type="dxa" w:w="1417"/>
          </w:tcPr>
          <w:p>
            <w:r/>
            <w:r>
              <w:rPr>
                <w:sz w:val="18"/>
              </w:rPr>
              <w:t>MATD3</w:t>
            </w:r>
          </w:p>
        </w:tc>
        <w:tc>
          <w:tcPr>
            <w:tcW w:type="dxa" w:w="850"/>
          </w:tcPr>
          <w:p>
            <w:r/>
            <w:r>
              <w:rPr>
                <w:sz w:val="18"/>
              </w:rPr>
              <w:t>E3</w:t>
            </w:r>
          </w:p>
        </w:tc>
        <w:tc>
          <w:tcPr>
            <w:tcW w:type="dxa" w:w="1417"/>
          </w:tcPr>
          <w:p>
            <w:r/>
            <w:r>
              <w:rPr>
                <w:sz w:val="18"/>
              </w:rPr>
              <w:t>1.0006</w:t>
            </w:r>
          </w:p>
        </w:tc>
        <w:tc>
          <w:tcPr>
            <w:tcW w:type="dxa" w:w="1701"/>
          </w:tcPr>
          <w:p>
            <w:r/>
            <w:r>
              <w:rPr>
                <w:sz w:val="18"/>
              </w:rPr>
              <w:t>41,293</w:t>
            </w:r>
          </w:p>
        </w:tc>
        <w:tc>
          <w:tcPr>
            <w:tcW w:type="dxa" w:w="1701"/>
          </w:tcPr>
          <w:p>
            <w:r/>
            <w:r>
              <w:rPr>
                <w:sz w:val="18"/>
              </w:rPr>
              <w:t>44,399</w:t>
            </w:r>
          </w:p>
        </w:tc>
        <w:tc>
          <w:tcPr>
            <w:tcW w:type="dxa" w:w="1417"/>
          </w:tcPr>
          <w:p>
            <w:r/>
            <w:r>
              <w:rPr>
                <w:sz w:val="18"/>
              </w:rPr>
              <w:t>48.2%</w:t>
            </w:r>
          </w:p>
        </w:tc>
      </w:tr>
      <w:tr>
        <w:tc>
          <w:tcPr>
            <w:tcW w:type="dxa" w:w="1417"/>
          </w:tcPr>
          <w:p>
            <w:r/>
            <w:r>
              <w:rPr>
                <w:sz w:val="18"/>
              </w:rPr>
              <w:t>MAAC</w:t>
            </w:r>
          </w:p>
        </w:tc>
        <w:tc>
          <w:tcPr>
            <w:tcW w:type="dxa" w:w="850"/>
          </w:tcPr>
          <w:p>
            <w:r/>
            <w:r>
              <w:rPr>
                <w:sz w:val="18"/>
              </w:rPr>
              <w:t>E1</w:t>
            </w:r>
          </w:p>
        </w:tc>
        <w:tc>
          <w:tcPr>
            <w:tcW w:type="dxa" w:w="1417"/>
          </w:tcPr>
          <w:p>
            <w:r/>
            <w:r>
              <w:rPr>
                <w:sz w:val="18"/>
              </w:rPr>
              <w:t>1.0124</w:t>
            </w:r>
          </w:p>
        </w:tc>
        <w:tc>
          <w:tcPr>
            <w:tcW w:type="dxa" w:w="1701"/>
          </w:tcPr>
          <w:p>
            <w:r/>
            <w:r>
              <w:rPr>
                <w:sz w:val="18"/>
              </w:rPr>
              <w:t>38,566</w:t>
            </w:r>
          </w:p>
        </w:tc>
        <w:tc>
          <w:tcPr>
            <w:tcW w:type="dxa" w:w="1701"/>
          </w:tcPr>
          <w:p>
            <w:r/>
            <w:r>
              <w:rPr>
                <w:sz w:val="18"/>
              </w:rPr>
              <w:t>3,628</w:t>
            </w:r>
          </w:p>
        </w:tc>
        <w:tc>
          <w:tcPr>
            <w:tcW w:type="dxa" w:w="1417"/>
          </w:tcPr>
          <w:p>
            <w:r/>
            <w:r>
              <w:rPr>
                <w:sz w:val="18"/>
              </w:rPr>
              <w:t>4.2%</w:t>
            </w:r>
          </w:p>
        </w:tc>
      </w:tr>
      <w:tr>
        <w:tc>
          <w:tcPr>
            <w:tcW w:type="dxa" w:w="1417"/>
          </w:tcPr>
          <w:p>
            <w:r/>
            <w:r>
              <w:rPr>
                <w:sz w:val="18"/>
              </w:rPr>
              <w:t>MAAC</w:t>
            </w:r>
          </w:p>
        </w:tc>
        <w:tc>
          <w:tcPr>
            <w:tcW w:type="dxa" w:w="850"/>
          </w:tcPr>
          <w:p>
            <w:r/>
            <w:r>
              <w:rPr>
                <w:sz w:val="18"/>
              </w:rPr>
              <w:t>E2</w:t>
            </w:r>
          </w:p>
        </w:tc>
        <w:tc>
          <w:tcPr>
            <w:tcW w:type="dxa" w:w="1417"/>
          </w:tcPr>
          <w:p>
            <w:r/>
            <w:r>
              <w:rPr>
                <w:sz w:val="18"/>
              </w:rPr>
              <w:t>1.0172</w:t>
            </w:r>
          </w:p>
        </w:tc>
        <w:tc>
          <w:tcPr>
            <w:tcW w:type="dxa" w:w="1701"/>
          </w:tcPr>
          <w:p>
            <w:r/>
            <w:r>
              <w:rPr>
                <w:sz w:val="18"/>
              </w:rPr>
              <w:t>70,654</w:t>
            </w:r>
          </w:p>
        </w:tc>
        <w:tc>
          <w:tcPr>
            <w:tcW w:type="dxa" w:w="1701"/>
          </w:tcPr>
          <w:p>
            <w:r/>
            <w:r>
              <w:rPr>
                <w:sz w:val="18"/>
              </w:rPr>
              <w:t>13,275</w:t>
            </w:r>
          </w:p>
        </w:tc>
        <w:tc>
          <w:tcPr>
            <w:tcW w:type="dxa" w:w="1417"/>
          </w:tcPr>
          <w:p>
            <w:r/>
            <w:r>
              <w:rPr>
                <w:sz w:val="18"/>
              </w:rPr>
              <w:t>4.1%</w:t>
            </w:r>
          </w:p>
        </w:tc>
      </w:tr>
      <w:tr>
        <w:tc>
          <w:tcPr>
            <w:tcW w:type="dxa" w:w="1417"/>
          </w:tcPr>
          <w:p>
            <w:r/>
            <w:r>
              <w:rPr>
                <w:sz w:val="18"/>
              </w:rPr>
              <w:t>MAAC</w:t>
            </w:r>
          </w:p>
        </w:tc>
        <w:tc>
          <w:tcPr>
            <w:tcW w:type="dxa" w:w="850"/>
          </w:tcPr>
          <w:p>
            <w:r/>
            <w:r>
              <w:rPr>
                <w:sz w:val="18"/>
              </w:rPr>
              <w:t>E3</w:t>
            </w:r>
          </w:p>
        </w:tc>
        <w:tc>
          <w:tcPr>
            <w:tcW w:type="dxa" w:w="1417"/>
          </w:tcPr>
          <w:p>
            <w:r/>
            <w:r>
              <w:rPr>
                <w:sz w:val="18"/>
              </w:rPr>
              <w:t>1.0138</w:t>
            </w:r>
          </w:p>
        </w:tc>
        <w:tc>
          <w:tcPr>
            <w:tcW w:type="dxa" w:w="1701"/>
          </w:tcPr>
          <w:p>
            <w:r/>
            <w:r>
              <w:rPr>
                <w:sz w:val="18"/>
              </w:rPr>
              <w:t>73,411</w:t>
            </w:r>
          </w:p>
        </w:tc>
        <w:tc>
          <w:tcPr>
            <w:tcW w:type="dxa" w:w="1701"/>
          </w:tcPr>
          <w:p>
            <w:r/>
            <w:r>
              <w:rPr>
                <w:sz w:val="18"/>
              </w:rPr>
              <w:t>9,515</w:t>
            </w:r>
          </w:p>
        </w:tc>
        <w:tc>
          <w:tcPr>
            <w:tcW w:type="dxa" w:w="1417"/>
          </w:tcPr>
          <w:p>
            <w:r/>
            <w:r>
              <w:rPr>
                <w:sz w:val="18"/>
              </w:rPr>
              <w:t>4.1%</w:t>
            </w:r>
          </w:p>
        </w:tc>
      </w:tr>
    </w:tbl>
    <w:p/>
    <w:p>
      <w:pPr>
        <w:pStyle w:val="Heading2"/>
      </w:pPr>
      <w:r>
        <w:t>5.5 Figuras de entrenamiento (artefactos Drive reales)</w:t>
      </w:r>
    </w:p>
    <w:p>
      <w:pPr>
        <w:jc w:val="both"/>
      </w:pPr>
      <w:r>
        <w:rPr>
          <w:b w:val="0"/>
          <w:i w:val="0"/>
        </w:rPr>
        <w:t>Las siguientes figuras se generan exclusivamente desde timeseries.csv, trace.csv y results.json descargados de la corrida Colab/Drive (carpeta 1ihH6RqL2KpevfCQEUXj7PP1aS2QYssAX). No se utilizan datos sinteticos ni regeneracion desde episode_summaries.</w:t>
      </w:r>
    </w:p>
    <w:p>
      <w:r>
        <w:br w:type="page"/>
      </w:r>
    </w:p>
    <w:p>
      <w:r>
        <w:drawing>
          <wp:inline xmlns:a="http://schemas.openxmlformats.org/drawingml/2006/main" xmlns:pic="http://schemas.openxmlformats.org/drawingml/2006/picture">
            <wp:extent cx="5580000" cy="2536364"/>
            <wp:docPr id="1" name="Picture 1"/>
            <wp:cNvGraphicFramePr>
              <a:graphicFrameLocks noChangeAspect="1"/>
            </wp:cNvGraphicFramePr>
            <a:graphic>
              <a:graphicData uri="http://schemas.openxmlformats.org/drawingml/2006/picture">
                <pic:pic>
                  <pic:nvPicPr>
                    <pic:cNvPr id="0" name="comparativo_E1_convergence_reward_mean.png"/>
                    <pic:cNvPicPr/>
                  </pic:nvPicPr>
                  <pic:blipFill>
                    <a:blip r:embed="rId9"/>
                    <a:stretch>
                      <a:fillRect/>
                    </a:stretch>
                  </pic:blipFill>
                  <pic:spPr>
                    <a:xfrm>
                      <a:off x="0" y="0"/>
                      <a:ext cx="5580000" cy="2536364"/>
                    </a:xfrm>
                    <a:prstGeom prst="rect"/>
                  </pic:spPr>
                </pic:pic>
              </a:graphicData>
            </a:graphic>
          </wp:inline>
        </w:drawing>
      </w:r>
    </w:p>
    <w:p>
      <w:pPr>
        <w:jc w:val="center"/>
      </w:pPr>
      <w:r>
        <w:rPr>
          <w:i/>
          <w:color w:val="595959"/>
          <w:sz w:val="18"/>
        </w:rPr>
        <w:t>Figura 5.1. Convergencia E1 (reward_mean) — datos reales Drive.</w:t>
      </w:r>
    </w:p>
    <w:p/>
    <w:p>
      <w:r>
        <w:br w:type="page"/>
      </w:r>
    </w:p>
    <w:p>
      <w:r>
        <w:drawing>
          <wp:inline xmlns:a="http://schemas.openxmlformats.org/drawingml/2006/main" xmlns:pic="http://schemas.openxmlformats.org/drawingml/2006/picture">
            <wp:extent cx="5580000" cy="2536364"/>
            <wp:docPr id="2" name="Picture 2"/>
            <wp:cNvGraphicFramePr>
              <a:graphicFrameLocks noChangeAspect="1"/>
            </wp:cNvGraphicFramePr>
            <a:graphic>
              <a:graphicData uri="http://schemas.openxmlformats.org/drawingml/2006/picture">
                <pic:pic>
                  <pic:nvPicPr>
                    <pic:cNvPr id="0" name="comparativo_E2_convergence_reward_mean.png"/>
                    <pic:cNvPicPr/>
                  </pic:nvPicPr>
                  <pic:blipFill>
                    <a:blip r:embed="rId10"/>
                    <a:stretch>
                      <a:fillRect/>
                    </a:stretch>
                  </pic:blipFill>
                  <pic:spPr>
                    <a:xfrm>
                      <a:off x="0" y="0"/>
                      <a:ext cx="5580000" cy="2536364"/>
                    </a:xfrm>
                    <a:prstGeom prst="rect"/>
                  </pic:spPr>
                </pic:pic>
              </a:graphicData>
            </a:graphic>
          </wp:inline>
        </w:drawing>
      </w:r>
    </w:p>
    <w:p>
      <w:pPr>
        <w:jc w:val="center"/>
      </w:pPr>
      <w:r>
        <w:rPr>
          <w:i/>
          <w:color w:val="595959"/>
          <w:sz w:val="18"/>
        </w:rPr>
        <w:t>Figura 5.2. Convergencia E2 (reward_mean) — datos reales Drive.</w:t>
      </w:r>
    </w:p>
    <w:p/>
    <w:p>
      <w:r>
        <w:br w:type="page"/>
      </w:r>
    </w:p>
    <w:p>
      <w:r>
        <w:drawing>
          <wp:inline xmlns:a="http://schemas.openxmlformats.org/drawingml/2006/main" xmlns:pic="http://schemas.openxmlformats.org/drawingml/2006/picture">
            <wp:extent cx="5580000" cy="2536364"/>
            <wp:docPr id="3" name="Picture 3"/>
            <wp:cNvGraphicFramePr>
              <a:graphicFrameLocks noChangeAspect="1"/>
            </wp:cNvGraphicFramePr>
            <a:graphic>
              <a:graphicData uri="http://schemas.openxmlformats.org/drawingml/2006/picture">
                <pic:pic>
                  <pic:nvPicPr>
                    <pic:cNvPr id="0" name="comparativo_E3_convergence_reward_mean.png"/>
                    <pic:cNvPicPr/>
                  </pic:nvPicPr>
                  <pic:blipFill>
                    <a:blip r:embed="rId11"/>
                    <a:stretch>
                      <a:fillRect/>
                    </a:stretch>
                  </pic:blipFill>
                  <pic:spPr>
                    <a:xfrm>
                      <a:off x="0" y="0"/>
                      <a:ext cx="5580000" cy="2536364"/>
                    </a:xfrm>
                    <a:prstGeom prst="rect"/>
                  </pic:spPr>
                </pic:pic>
              </a:graphicData>
            </a:graphic>
          </wp:inline>
        </w:drawing>
      </w:r>
    </w:p>
    <w:p>
      <w:pPr>
        <w:jc w:val="center"/>
      </w:pPr>
      <w:r>
        <w:rPr>
          <w:i/>
          <w:color w:val="595959"/>
          <w:sz w:val="18"/>
        </w:rPr>
        <w:t>Figura 5.3. Convergencia E3 (reward_mean) — datos reales Drive.</w:t>
      </w:r>
    </w:p>
    <w:p/>
    <w:p>
      <w:r>
        <w:br w:type="page"/>
      </w:r>
    </w:p>
    <w:p>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comparativo_global_ranking_oe.png"/>
                    <pic:cNvPicPr/>
                  </pic:nvPicPr>
                  <pic:blipFill>
                    <a:blip r:embed="rId12"/>
                    <a:stretch>
                      <a:fillRect/>
                    </a:stretch>
                  </pic:blipFill>
                  <pic:spPr>
                    <a:xfrm>
                      <a:off x="0" y="0"/>
                      <a:ext cx="5580000" cy="2146154"/>
                    </a:xfrm>
                    <a:prstGeom prst="rect"/>
                  </pic:spPr>
                </pic:pic>
              </a:graphicData>
            </a:graphic>
          </wp:inline>
        </w:drawing>
      </w:r>
    </w:p>
    <w:p>
      <w:pPr>
        <w:jc w:val="center"/>
      </w:pPr>
      <w:r>
        <w:rPr>
          <w:i/>
          <w:color w:val="595959"/>
          <w:sz w:val="18"/>
        </w:rPr>
        <w:t>Figura 5.4. Ranking global OE1/OE2/OE3 (KPIs Drive).</w:t>
      </w:r>
    </w:p>
    <w:p/>
    <w:p>
      <w:r>
        <w:br w:type="page"/>
      </w:r>
    </w:p>
    <w:p>
      <w:r>
        <w:drawing>
          <wp:inline xmlns:a="http://schemas.openxmlformats.org/drawingml/2006/main" xmlns:pic="http://schemas.openxmlformats.org/drawingml/2006/picture">
            <wp:extent cx="5580000" cy="2232000"/>
            <wp:docPr id="5" name="Picture 5"/>
            <wp:cNvGraphicFramePr>
              <a:graphicFrameLocks noChangeAspect="1"/>
            </wp:cNvGraphicFramePr>
            <a:graphic>
              <a:graphicData uri="http://schemas.openxmlformats.org/drawingml/2006/picture">
                <pic:pic>
                  <pic:nvPicPr>
                    <pic:cNvPr id="0" name="comparativo_best_worst_por_escenario.png"/>
                    <pic:cNvPicPr/>
                  </pic:nvPicPr>
                  <pic:blipFill>
                    <a:blip r:embed="rId13"/>
                    <a:stretch>
                      <a:fillRect/>
                    </a:stretch>
                  </pic:blipFill>
                  <pic:spPr>
                    <a:xfrm>
                      <a:off x="0" y="0"/>
                      <a:ext cx="5580000" cy="2232000"/>
                    </a:xfrm>
                    <a:prstGeom prst="rect"/>
                  </pic:spPr>
                </pic:pic>
              </a:graphicData>
            </a:graphic>
          </wp:inline>
        </w:drawing>
      </w:r>
    </w:p>
    <w:p>
      <w:pPr>
        <w:jc w:val="center"/>
      </w:pPr>
      <w:r>
        <w:rPr>
          <w:i/>
          <w:color w:val="595959"/>
          <w:sz w:val="18"/>
        </w:rPr>
        <w:t>Figura 5.5. Mejor y peor MADRL por escenario.</w:t>
      </w:r>
    </w:p>
    <w:p/>
    <w:p>
      <w:r>
        <w:br w:type="page"/>
      </w:r>
    </w:p>
    <w:p>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comparativo_E1_OE1_kpi.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595959"/>
          <w:sz w:val="18"/>
        </w:rPr>
        <w:t>Figura 5.6. KPI OE1 flexibilidad — comparativa E1.</w:t>
      </w:r>
    </w:p>
    <w:p/>
    <w:p>
      <w:r>
        <w:br w:type="page"/>
      </w:r>
    </w:p>
    <w:p>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comparativo_E2_OE2_kpi.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595959"/>
          <w:sz w:val="18"/>
        </w:rPr>
        <w:t>Figura 5.7. KPI OE2 emisiones CO2 — comparativa E2.</w:t>
      </w:r>
    </w:p>
    <w:p/>
    <w:p>
      <w:r>
        <w:br w:type="page"/>
      </w:r>
    </w:p>
    <w:p>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comparativo_E3_OE3_kpi.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595959"/>
          <w:sz w:val="18"/>
        </w:rPr>
        <w:t>Figura 5.8. KPI OE3 costo energetico — comparativa E3.</w:t>
      </w:r>
    </w:p>
    <w:p/>
    <w:p>
      <w:r>
        <w:br w:type="page"/>
      </w:r>
    </w:p>
    <w:p>
      <w:r>
        <w:drawing>
          <wp:inline xmlns:a="http://schemas.openxmlformats.org/drawingml/2006/main" xmlns:pic="http://schemas.openxmlformats.org/drawingml/2006/picture">
            <wp:extent cx="5580000" cy="2325000"/>
            <wp:docPr id="9" name="Picture 9"/>
            <wp:cNvGraphicFramePr>
              <a:graphicFrameLocks noChangeAspect="1"/>
            </wp:cNvGraphicFramePr>
            <a:graphic>
              <a:graphicData uri="http://schemas.openxmlformats.org/drawingml/2006/picture">
                <pic:pic>
                  <pic:nvPicPr>
                    <pic:cNvPr id="0" name="comparativo_E2_control_trace.png"/>
                    <pic:cNvPicPr/>
                  </pic:nvPicPr>
                  <pic:blipFill>
                    <a:blip r:embed="rId17"/>
                    <a:stretch>
                      <a:fillRect/>
                    </a:stretch>
                  </pic:blipFill>
                  <pic:spPr>
                    <a:xfrm>
                      <a:off x="0" y="0"/>
                      <a:ext cx="5580000" cy="2325000"/>
                    </a:xfrm>
                    <a:prstGeom prst="rect"/>
                  </pic:spPr>
                </pic:pic>
              </a:graphicData>
            </a:graphic>
          </wp:inline>
        </w:drawing>
      </w:r>
    </w:p>
    <w:p>
      <w:pPr>
        <w:jc w:val="center"/>
      </w:pPr>
      <w:r>
        <w:rPr>
          <w:i/>
          <w:color w:val="595959"/>
          <w:sz w:val="18"/>
        </w:rPr>
        <w:t>Figura 5.9. Control MADRL por edificio (trace.csv) — E2.</w:t>
      </w:r>
    </w:p>
    <w:p/>
    <w:p>
      <w:pPr>
        <w:pStyle w:val="Heading2"/>
      </w:pPr>
      <w:r>
        <w:t>5.6 Analisis multiobjetivo por edificio</w:t>
      </w:r>
    </w:p>
    <w:p>
      <w:pPr>
        <w:jc w:val="both"/>
      </w:pPr>
      <w:r>
        <w:rPr>
          <w:b w:val="0"/>
          <w:i w:val="0"/>
        </w:rPr>
        <w:t>Se analizan 17 edificios institucionales/comerciales con inventario de 185 cargadores EV controlables (96 equipos Modo 3 doble toma). Elementos controlados: BESS, cargadores EV y carga desplazable; no controlados: carga base, refrigeracion/ACS modeladas y FV fija.</w:t>
      </w:r>
    </w:p>
    <w:p>
      <w:r>
        <w:rPr>
          <w:b/>
          <w:color w:val="595959"/>
          <w:sz w:val="19"/>
        </w:rPr>
        <w:t>Tabla 5.4. Inventario multiobjetivo (extracto B01–B08; completo en anexo CSV).</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850"/>
            <w:shd w:val="clear" w:color="auto" w:fill="1F4E79"/>
          </w:tcPr>
          <w:p>
            <w:r/>
            <w:r>
              <w:rPr>
                <w:b/>
                <w:color w:val="FFFFFF"/>
                <w:sz w:val="18"/>
              </w:rPr>
              <w:t>ID</w:t>
            </w:r>
          </w:p>
        </w:tc>
        <w:tc>
          <w:tcPr>
            <w:tcW w:type="dxa" w:w="3118"/>
            <w:shd w:val="clear" w:color="auto" w:fill="1F4E79"/>
          </w:tcPr>
          <w:p>
            <w:r/>
            <w:r>
              <w:rPr>
                <w:b/>
                <w:color w:val="FFFFFF"/>
                <w:sz w:val="18"/>
              </w:rPr>
              <w:t>Edificio</w:t>
            </w:r>
          </w:p>
        </w:tc>
        <w:tc>
          <w:tcPr>
            <w:tcW w:type="dxa" w:w="850"/>
            <w:shd w:val="clear" w:color="auto" w:fill="1F4E79"/>
          </w:tcPr>
          <w:p>
            <w:r/>
            <w:r>
              <w:rPr>
                <w:b/>
                <w:color w:val="FFFFFF"/>
                <w:sz w:val="18"/>
              </w:rPr>
              <w:t>EV</w:t>
            </w:r>
          </w:p>
        </w:tc>
        <w:tc>
          <w:tcPr>
            <w:tcW w:type="dxa" w:w="3685"/>
            <w:shd w:val="clear" w:color="auto" w:fill="1F4E79"/>
          </w:tcPr>
          <w:p>
            <w:r/>
            <w:r>
              <w:rPr>
                <w:b/>
                <w:color w:val="FFFFFF"/>
                <w:sz w:val="18"/>
              </w:rPr>
              <w:t>Controlados</w:t>
            </w:r>
          </w:p>
        </w:tc>
      </w:tr>
      <w:tr>
        <w:tc>
          <w:tcPr>
            <w:tcW w:type="dxa" w:w="850"/>
          </w:tcPr>
          <w:p>
            <w:r/>
            <w:r>
              <w:rPr>
                <w:sz w:val="18"/>
              </w:rPr>
              <w:t>B01</w:t>
            </w:r>
          </w:p>
        </w:tc>
        <w:tc>
          <w:tcPr>
            <w:tcW w:type="dxa" w:w="3118"/>
          </w:tcPr>
          <w:p>
            <w:r/>
            <w:r>
              <w:rPr>
                <w:sz w:val="18"/>
              </w:rPr>
              <w:t>ELECTRO ORIENTE S.A.</w:t>
            </w:r>
          </w:p>
        </w:tc>
        <w:tc>
          <w:tcPr>
            <w:tcW w:type="dxa" w:w="850"/>
          </w:tcPr>
          <w:p>
            <w:r/>
            <w:r>
              <w:rPr>
                <w:sz w:val="18"/>
              </w:rPr>
              <w:t>4</w:t>
            </w:r>
          </w:p>
        </w:tc>
        <w:tc>
          <w:tcPr>
            <w:tcW w:type="dxa" w:w="3685"/>
          </w:tcPr>
          <w:p>
            <w:r/>
            <w:r>
              <w:rPr>
                <w:sz w:val="18"/>
              </w:rPr>
              <w:t>BESS (electrical_storage) x1, Carga desplazab…</w:t>
            </w:r>
          </w:p>
        </w:tc>
      </w:tr>
      <w:tr>
        <w:tc>
          <w:tcPr>
            <w:tcW w:type="dxa" w:w="850"/>
          </w:tcPr>
          <w:p>
            <w:r/>
            <w:r>
              <w:rPr>
                <w:sz w:val="18"/>
              </w:rPr>
              <w:t>B02</w:t>
            </w:r>
          </w:p>
        </w:tc>
        <w:tc>
          <w:tcPr>
            <w:tcW w:type="dxa" w:w="3118"/>
          </w:tcPr>
          <w:p>
            <w:r/>
            <w:r>
              <w:rPr>
                <w:sz w:val="18"/>
              </w:rPr>
              <w:t>MUNICIPALIDAD DISTRITAL DE SAN JUAN</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B03</w:t>
            </w:r>
          </w:p>
        </w:tc>
        <w:tc>
          <w:tcPr>
            <w:tcW w:type="dxa" w:w="3118"/>
          </w:tcPr>
          <w:p>
            <w:r/>
            <w:r>
              <w:rPr>
                <w:sz w:val="18"/>
              </w:rPr>
              <w:t>AEROPUERTO INTERNACIONAL</w:t>
            </w:r>
          </w:p>
        </w:tc>
        <w:tc>
          <w:tcPr>
            <w:tcW w:type="dxa" w:w="850"/>
          </w:tcPr>
          <w:p>
            <w:r/>
            <w:r>
              <w:rPr>
                <w:sz w:val="18"/>
              </w:rPr>
              <w:t>8</w:t>
            </w:r>
          </w:p>
        </w:tc>
        <w:tc>
          <w:tcPr>
            <w:tcW w:type="dxa" w:w="3685"/>
          </w:tcPr>
          <w:p>
            <w:r/>
            <w:r>
              <w:rPr>
                <w:sz w:val="18"/>
              </w:rPr>
              <w:t>BESS (electrical_storage) x1, Carga desplazab…</w:t>
            </w:r>
          </w:p>
        </w:tc>
      </w:tr>
      <w:tr>
        <w:tc>
          <w:tcPr>
            <w:tcW w:type="dxa" w:w="850"/>
          </w:tcPr>
          <w:p>
            <w:r/>
            <w:r>
              <w:rPr>
                <w:sz w:val="18"/>
              </w:rPr>
              <w:t>B04</w:t>
            </w:r>
          </w:p>
        </w:tc>
        <w:tc>
          <w:tcPr>
            <w:tcW w:type="dxa" w:w="3118"/>
          </w:tcPr>
          <w:p>
            <w:r/>
            <w:r>
              <w:rPr>
                <w:sz w:val="18"/>
              </w:rPr>
              <w:t>HIPERMERCADOS TOTTUS ORIENTE SAC</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B05</w:t>
            </w:r>
          </w:p>
        </w:tc>
        <w:tc>
          <w:tcPr>
            <w:tcW w:type="dxa" w:w="3118"/>
          </w:tcPr>
          <w:p>
            <w:r/>
            <w:r>
              <w:rPr>
                <w:sz w:val="18"/>
              </w:rPr>
              <w:t>HOTEL PLAZA S.A.</w:t>
            </w:r>
          </w:p>
        </w:tc>
        <w:tc>
          <w:tcPr>
            <w:tcW w:type="dxa" w:w="850"/>
          </w:tcPr>
          <w:p>
            <w:r/>
            <w:r>
              <w:rPr>
                <w:sz w:val="18"/>
              </w:rPr>
              <w:t>3</w:t>
            </w:r>
          </w:p>
        </w:tc>
        <w:tc>
          <w:tcPr>
            <w:tcW w:type="dxa" w:w="3685"/>
          </w:tcPr>
          <w:p>
            <w:r/>
            <w:r>
              <w:rPr>
                <w:sz w:val="18"/>
              </w:rPr>
              <w:t>BESS (electrical_storage) x1, Carga desplazab…</w:t>
            </w:r>
          </w:p>
        </w:tc>
      </w:tr>
      <w:tr>
        <w:tc>
          <w:tcPr>
            <w:tcW w:type="dxa" w:w="850"/>
          </w:tcPr>
          <w:p>
            <w:r/>
            <w:r>
              <w:rPr>
                <w:sz w:val="18"/>
              </w:rPr>
              <w:t>B06</w:t>
            </w:r>
          </w:p>
        </w:tc>
        <w:tc>
          <w:tcPr>
            <w:tcW w:type="dxa" w:w="3118"/>
          </w:tcPr>
          <w:p>
            <w:r/>
            <w:r>
              <w:rPr>
                <w:sz w:val="18"/>
              </w:rPr>
              <w:t>MALL AVENTURA S.A.</w:t>
            </w:r>
          </w:p>
        </w:tc>
        <w:tc>
          <w:tcPr>
            <w:tcW w:type="dxa" w:w="850"/>
          </w:tcPr>
          <w:p>
            <w:r/>
            <w:r>
              <w:rPr>
                <w:sz w:val="18"/>
              </w:rPr>
              <w:t>32</w:t>
            </w:r>
          </w:p>
        </w:tc>
        <w:tc>
          <w:tcPr>
            <w:tcW w:type="dxa" w:w="3685"/>
          </w:tcPr>
          <w:p>
            <w:r/>
            <w:r>
              <w:rPr>
                <w:sz w:val="18"/>
              </w:rPr>
              <w:t>BESS (electrical_storage) x1, Carga desplazab…</w:t>
            </w:r>
          </w:p>
        </w:tc>
      </w:tr>
      <w:tr>
        <w:tc>
          <w:tcPr>
            <w:tcW w:type="dxa" w:w="850"/>
          </w:tcPr>
          <w:p>
            <w:r/>
            <w:r>
              <w:rPr>
                <w:sz w:val="18"/>
              </w:rPr>
              <w:t>B07</w:t>
            </w:r>
          </w:p>
        </w:tc>
        <w:tc>
          <w:tcPr>
            <w:tcW w:type="dxa" w:w="3118"/>
          </w:tcPr>
          <w:p>
            <w:r/>
            <w:r>
              <w:rPr>
                <w:sz w:val="18"/>
              </w:rPr>
              <w:t>UNAP-FACULTAD DE BIOLOGIA-AULAS</w:t>
            </w:r>
          </w:p>
        </w:tc>
        <w:tc>
          <w:tcPr>
            <w:tcW w:type="dxa" w:w="850"/>
          </w:tcPr>
          <w:p>
            <w:r/>
            <w:r>
              <w:rPr>
                <w:sz w:val="18"/>
              </w:rPr>
              <w:t>42</w:t>
            </w:r>
          </w:p>
        </w:tc>
        <w:tc>
          <w:tcPr>
            <w:tcW w:type="dxa" w:w="3685"/>
          </w:tcPr>
          <w:p>
            <w:r/>
            <w:r>
              <w:rPr>
                <w:sz w:val="18"/>
              </w:rPr>
              <w:t>BESS (electrical_storage) x1, Carga desplazab…</w:t>
            </w:r>
          </w:p>
        </w:tc>
      </w:tr>
      <w:tr>
        <w:tc>
          <w:tcPr>
            <w:tcW w:type="dxa" w:w="850"/>
          </w:tcPr>
          <w:p>
            <w:r/>
            <w:r>
              <w:rPr>
                <w:sz w:val="18"/>
              </w:rPr>
              <w:t>B08</w:t>
            </w:r>
          </w:p>
        </w:tc>
        <w:tc>
          <w:tcPr>
            <w:tcW w:type="dxa" w:w="3118"/>
          </w:tcPr>
          <w:p>
            <w:r/>
            <w:r>
              <w:rPr>
                <w:sz w:val="18"/>
              </w:rPr>
              <w:t>PNP- ESCUELA TECNICA SUPERIOR-IQUIT</w:t>
            </w:r>
          </w:p>
        </w:tc>
        <w:tc>
          <w:tcPr>
            <w:tcW w:type="dxa" w:w="850"/>
          </w:tcPr>
          <w:p>
            <w:r/>
            <w:r>
              <w:rPr>
                <w:sz w:val="18"/>
              </w:rPr>
              <w:t>17</w:t>
            </w:r>
          </w:p>
        </w:tc>
        <w:tc>
          <w:tcPr>
            <w:tcW w:type="dxa" w:w="3685"/>
          </w:tcPr>
          <w:p>
            <w:r/>
            <w:r>
              <w:rPr>
                <w:sz w:val="18"/>
              </w:rPr>
              <w:t>BESS (electrical_storage) x1, Carga desplazab…</w:t>
            </w:r>
          </w:p>
        </w:tc>
      </w:tr>
    </w:tbl>
    <w:p/>
    <w:p>
      <w:pPr>
        <w:pStyle w:val="Heading2"/>
      </w:pPr>
      <w:r>
        <w:t>5.7 Figuras multiobjetivo (distrito y edificio)</w:t>
      </w:r>
    </w:p>
    <w:p>
      <w:r>
        <w:br w:type="page"/>
      </w:r>
    </w:p>
    <w:p>
      <w:r>
        <w:drawing>
          <wp:inline xmlns:a="http://schemas.openxmlformats.org/drawingml/2006/main" xmlns:pic="http://schemas.openxmlformats.org/drawingml/2006/picture">
            <wp:extent cx="5580000" cy="1931538"/>
            <wp:docPr id="10" name="Picture 10"/>
            <wp:cNvGraphicFramePr>
              <a:graphicFrameLocks noChangeAspect="1"/>
            </wp:cNvGraphicFramePr>
            <a:graphic>
              <a:graphicData uri="http://schemas.openxmlformats.org/drawingml/2006/picture">
                <pic:pic>
                  <pic:nvPicPr>
                    <pic:cNvPr id="0" name="drive_district_objectives.png"/>
                    <pic:cNvPicPr/>
                  </pic:nvPicPr>
                  <pic:blipFill>
                    <a:blip r:embed="rId18"/>
                    <a:stretch>
                      <a:fillRect/>
                    </a:stretch>
                  </pic:blipFill>
                  <pic:spPr>
                    <a:xfrm>
                      <a:off x="0" y="0"/>
                      <a:ext cx="5580000" cy="1931538"/>
                    </a:xfrm>
                    <a:prstGeom prst="rect"/>
                  </pic:spPr>
                </pic:pic>
              </a:graphicData>
            </a:graphic>
          </wp:inline>
        </w:drawing>
      </w:r>
    </w:p>
    <w:p>
      <w:pPr>
        <w:jc w:val="center"/>
      </w:pPr>
      <w:r>
        <w:rPr>
          <w:i/>
          <w:color w:val="595959"/>
          <w:sz w:val="18"/>
        </w:rPr>
        <w:t>Figura 5.10. KPIs multiobjetivo — distrito.</w:t>
      </w:r>
    </w:p>
    <w:p/>
    <w:p>
      <w:r>
        <w:br w:type="page"/>
      </w:r>
    </w:p>
    <w:p>
      <w:r>
        <w:drawing>
          <wp:inline xmlns:a="http://schemas.openxmlformats.org/drawingml/2006/main" xmlns:pic="http://schemas.openxmlformats.org/drawingml/2006/picture">
            <wp:extent cx="5580000" cy="6975000"/>
            <wp:docPr id="11" name="Picture 11"/>
            <wp:cNvGraphicFramePr>
              <a:graphicFrameLocks noChangeAspect="1"/>
            </wp:cNvGraphicFramePr>
            <a:graphic>
              <a:graphicData uri="http://schemas.openxmlformats.org/drawingml/2006/picture">
                <pic:pic>
                  <pic:nvPicPr>
                    <pic:cNvPr id="0" name="drive_building_E1_flex_composite_proxy.png"/>
                    <pic:cNvPicPr/>
                  </pic:nvPicPr>
                  <pic:blipFill>
                    <a:blip r:embed="rId19"/>
                    <a:stretch>
                      <a:fillRect/>
                    </a:stretch>
                  </pic:blipFill>
                  <pic:spPr>
                    <a:xfrm>
                      <a:off x="0" y="0"/>
                      <a:ext cx="5580000" cy="6975000"/>
                    </a:xfrm>
                    <a:prstGeom prst="rect"/>
                  </pic:spPr>
                </pic:pic>
              </a:graphicData>
            </a:graphic>
          </wp:inline>
        </w:drawing>
      </w:r>
    </w:p>
    <w:p>
      <w:pPr>
        <w:jc w:val="center"/>
      </w:pPr>
      <w:r>
        <w:rPr>
          <w:i/>
          <w:color w:val="595959"/>
          <w:sz w:val="18"/>
        </w:rPr>
        <w:t>Figura 5.11. OE1 flexibilidad por edificio.</w:t>
      </w:r>
    </w:p>
    <w:p/>
    <w:p>
      <w:r>
        <w:br w:type="page"/>
      </w:r>
    </w:p>
    <w:p>
      <w:r>
        <w:drawing>
          <wp:inline xmlns:a="http://schemas.openxmlformats.org/drawingml/2006/main" xmlns:pic="http://schemas.openxmlformats.org/drawingml/2006/picture">
            <wp:extent cx="5580000" cy="6975000"/>
            <wp:docPr id="12" name="Picture 12"/>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0"/>
                    <a:stretch>
                      <a:fillRect/>
                    </a:stretch>
                  </pic:blipFill>
                  <pic:spPr>
                    <a:xfrm>
                      <a:off x="0" y="0"/>
                      <a:ext cx="5580000" cy="6975000"/>
                    </a:xfrm>
                    <a:prstGeom prst="rect"/>
                  </pic:spPr>
                </pic:pic>
              </a:graphicData>
            </a:graphic>
          </wp:inline>
        </w:drawing>
      </w:r>
    </w:p>
    <w:p>
      <w:pPr>
        <w:jc w:val="center"/>
      </w:pPr>
      <w:r>
        <w:rPr>
          <w:i/>
          <w:color w:val="595959"/>
          <w:sz w:val="18"/>
        </w:rPr>
        <w:t>Figura 5.12. OE2 delta CO2 por edificio.</w:t>
      </w:r>
    </w:p>
    <w:p/>
    <w:p>
      <w:r>
        <w:br w:type="page"/>
      </w:r>
    </w:p>
    <w:p>
      <w:r>
        <w:drawing>
          <wp:inline xmlns:a="http://schemas.openxmlformats.org/drawingml/2006/main" xmlns:pic="http://schemas.openxmlformats.org/drawingml/2006/picture">
            <wp:extent cx="5580000" cy="6975000"/>
            <wp:docPr id="13" name="Picture 13"/>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1"/>
                    <a:stretch>
                      <a:fillRect/>
                    </a:stretch>
                  </pic:blipFill>
                  <pic:spPr>
                    <a:xfrm>
                      <a:off x="0" y="0"/>
                      <a:ext cx="5580000" cy="6975000"/>
                    </a:xfrm>
                    <a:prstGeom prst="rect"/>
                  </pic:spPr>
                </pic:pic>
              </a:graphicData>
            </a:graphic>
          </wp:inline>
        </w:drawing>
      </w:r>
    </w:p>
    <w:p>
      <w:pPr>
        <w:jc w:val="center"/>
      </w:pPr>
      <w:r>
        <w:rPr>
          <w:i/>
          <w:color w:val="595959"/>
          <w:sz w:val="18"/>
        </w:rPr>
        <w:t>Figura 5.13. OE3 delta costo por edificio.</w:t>
      </w:r>
    </w:p>
    <w:p/>
    <w:p>
      <w:r>
        <w:br w:type="page"/>
      </w:r>
    </w:p>
    <w:p>
      <w:r>
        <w:drawing>
          <wp:inline xmlns:a="http://schemas.openxmlformats.org/drawingml/2006/main" xmlns:pic="http://schemas.openxmlformats.org/drawingml/2006/picture">
            <wp:extent cx="5580000" cy="1992857"/>
            <wp:docPr id="14" name="Picture 14"/>
            <wp:cNvGraphicFramePr>
              <a:graphicFrameLocks noChangeAspect="1"/>
            </wp:cNvGraphicFramePr>
            <a:graphic>
              <a:graphicData uri="http://schemas.openxmlformats.org/drawingml/2006/picture">
                <pic:pic>
                  <pic:nvPicPr>
                    <pic:cNvPr id="0" name="drive_building_ev_inventory.png"/>
                    <pic:cNvPicPr/>
                  </pic:nvPicPr>
                  <pic:blipFill>
                    <a:blip r:embed="rId22"/>
                    <a:stretch>
                      <a:fillRect/>
                    </a:stretch>
                  </pic:blipFill>
                  <pic:spPr>
                    <a:xfrm>
                      <a:off x="0" y="0"/>
                      <a:ext cx="5580000" cy="1992857"/>
                    </a:xfrm>
                    <a:prstGeom prst="rect"/>
                  </pic:spPr>
                </pic:pic>
              </a:graphicData>
            </a:graphic>
          </wp:inline>
        </w:drawing>
      </w:r>
    </w:p>
    <w:p>
      <w:pPr>
        <w:jc w:val="center"/>
      </w:pPr>
      <w:r>
        <w:rPr>
          <w:i/>
          <w:color w:val="595959"/>
          <w:sz w:val="18"/>
        </w:rPr>
        <w:t>Figura 5.14. Inventario EV por edificio.</w:t>
      </w:r>
    </w:p>
    <w:p/>
    <w:p>
      <w:r>
        <w:br w:type="page"/>
      </w:r>
    </w:p>
    <w:p>
      <w:r>
        <w:drawing>
          <wp:inline xmlns:a="http://schemas.openxmlformats.org/drawingml/2006/main" xmlns:pic="http://schemas.openxmlformats.org/drawingml/2006/picture">
            <wp:extent cx="5580000" cy="1992857"/>
            <wp:docPr id="15" name="Picture 15"/>
            <wp:cNvGraphicFramePr>
              <a:graphicFrameLocks noChangeAspect="1"/>
            </wp:cNvGraphicFramePr>
            <a:graphic>
              <a:graphicData uri="http://schemas.openxmlformats.org/drawingml/2006/picture">
                <pic:pic>
                  <pic:nvPicPr>
                    <pic:cNvPr id="0" name="drive_building_ev_success_matd3_e2.png"/>
                    <pic:cNvPicPr/>
                  </pic:nvPicPr>
                  <pic:blipFill>
                    <a:blip r:embed="rId23"/>
                    <a:stretch>
                      <a:fillRect/>
                    </a:stretch>
                  </pic:blipFill>
                  <pic:spPr>
                    <a:xfrm>
                      <a:off x="0" y="0"/>
                      <a:ext cx="5580000" cy="1992857"/>
                    </a:xfrm>
                    <a:prstGeom prst="rect"/>
                  </pic:spPr>
                </pic:pic>
              </a:graphicData>
            </a:graphic>
          </wp:inline>
        </w:drawing>
      </w:r>
    </w:p>
    <w:p>
      <w:pPr>
        <w:jc w:val="center"/>
      </w:pPr>
      <w:r>
        <w:rPr>
          <w:i/>
          <w:color w:val="595959"/>
          <w:sz w:val="18"/>
        </w:rPr>
        <w:t>Figura 5.15. Desempeno EV — MATD3/E2.</w:t>
      </w:r>
    </w:p>
    <w:p/>
    <w:p>
      <w:pPr>
        <w:pStyle w:val="Heading2"/>
      </w:pPr>
      <w:r>
        <w:t>5.8 Pruebas estadisticas</w:t>
      </w:r>
    </w:p>
    <w:p>
      <w:pPr>
        <w:jc w:val="both"/>
      </w:pPr>
      <w:r>
        <w:rPr>
          <w:b w:val="0"/>
          <w:i w:val="0"/>
        </w:rPr>
        <w:t>La bateria inferencial se ejecuto localmente sobre KPIs auditados de la corrida Colab/Drive (madrl_v3_20260627_164047) con tools/run_colab_drive_statistical_analysis.py (231 filas signed_relative_gain; MATD3, MAAC, MASAC; HAPPO excluido sin KPIs). La corrida local v4 (5 ep, 4 algoritmos) se conserva solo como referencia historica.</w:t>
      </w:r>
    </w:p>
    <w:p>
      <w:r>
        <w:rPr>
          <w:b/>
          <w:color w:val="595959"/>
          <w:sz w:val="19"/>
        </w:rPr>
        <w:t>Tabla 5.5. Contrastacion inferencial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Alcance</w:t>
            </w:r>
          </w:p>
        </w:tc>
        <w:tc>
          <w:tcPr>
            <w:tcW w:type="dxa" w:w="1701"/>
            <w:shd w:val="clear" w:color="auto" w:fill="1F4E79"/>
          </w:tcPr>
          <w:p>
            <w:r/>
            <w:r>
              <w:rPr>
                <w:b/>
                <w:color w:val="FFFFFF"/>
                <w:sz w:val="18"/>
              </w:rPr>
              <w:t>Prueba</w:t>
            </w:r>
          </w:p>
        </w:tc>
        <w:tc>
          <w:tcPr>
            <w:tcW w:type="dxa" w:w="1984"/>
            <w:shd w:val="clear" w:color="auto" w:fill="1F4E79"/>
          </w:tcPr>
          <w:p>
            <w:r/>
            <w:r>
              <w:rPr>
                <w:b/>
                <w:color w:val="FFFFFF"/>
                <w:sz w:val="18"/>
              </w:rPr>
              <w:t>Estadistico / p</w:t>
            </w:r>
          </w:p>
        </w:tc>
        <w:tc>
          <w:tcPr>
            <w:tcW w:type="dxa" w:w="2268"/>
            <w:shd w:val="clear" w:color="auto" w:fill="1F4E79"/>
          </w:tcPr>
          <w:p>
            <w:r/>
            <w:r>
              <w:rPr>
                <w:b/>
                <w:color w:val="FFFFFF"/>
                <w:sz w:val="18"/>
              </w:rPr>
              <w:t>Decision alpha=0.05</w:t>
            </w:r>
          </w:p>
        </w:tc>
      </w:tr>
      <w:tr>
        <w:tc>
          <w:tcPr>
            <w:tcW w:type="dxa" w:w="1984"/>
          </w:tcPr>
          <w:p>
            <w:r/>
            <w:r>
              <w:rPr>
                <w:sz w:val="18"/>
              </w:rPr>
              <w:t>Colab ALL (KPI-level)</w:t>
            </w:r>
          </w:p>
        </w:tc>
        <w:tc>
          <w:tcPr>
            <w:tcW w:type="dxa" w:w="1701"/>
          </w:tcPr>
          <w:p>
            <w:r/>
            <w:r>
              <w:rPr>
                <w:sz w:val="18"/>
              </w:rPr>
              <w:t>Shapiro-Wilk</w:t>
            </w:r>
          </w:p>
        </w:tc>
        <w:tc>
          <w:tcPr>
            <w:tcW w:type="dxa" w:w="1984"/>
          </w:tcPr>
          <w:p>
            <w:r/>
            <w:r>
              <w:rPr>
                <w:sz w:val="18"/>
              </w:rPr>
              <w:t>MASAC/MATD3/MAAC: p&lt;1e-11</w:t>
            </w:r>
          </w:p>
        </w:tc>
        <w:tc>
          <w:tcPr>
            <w:tcW w:type="dxa" w:w="2268"/>
          </w:tcPr>
          <w:p>
            <w:r/>
            <w:r>
              <w:rPr>
                <w:sz w:val="18"/>
              </w:rPr>
              <w:t>No normal → no parametricos</w:t>
            </w:r>
          </w:p>
        </w:tc>
      </w:tr>
      <w:tr>
        <w:tc>
          <w:tcPr>
            <w:tcW w:type="dxa" w:w="1984"/>
          </w:tcPr>
          <w:p>
            <w:r/>
            <w:r>
              <w:rPr>
                <w:sz w:val="18"/>
              </w:rPr>
              <w:t>Colab ALL (KPI-level)</w:t>
            </w:r>
          </w:p>
        </w:tc>
        <w:tc>
          <w:tcPr>
            <w:tcW w:type="dxa" w:w="1701"/>
          </w:tcPr>
          <w:p>
            <w:r/>
            <w:r>
              <w:rPr>
                <w:sz w:val="18"/>
              </w:rPr>
              <w:t>Kruskal-Wallis</w:t>
            </w:r>
          </w:p>
        </w:tc>
        <w:tc>
          <w:tcPr>
            <w:tcW w:type="dxa" w:w="1984"/>
          </w:tcPr>
          <w:p>
            <w:r/>
            <w:r>
              <w:rPr>
                <w:sz w:val="18"/>
              </w:rPr>
              <w:t>H=3.72, p=0.155</w:t>
            </w:r>
          </w:p>
        </w:tc>
        <w:tc>
          <w:tcPr>
            <w:tcW w:type="dxa" w:w="2268"/>
          </w:tcPr>
          <w:p>
            <w:r/>
            <w:r>
              <w:rPr>
                <w:sz w:val="18"/>
              </w:rPr>
              <w:t>No rechaza H0 global</w:t>
            </w:r>
          </w:p>
        </w:tc>
      </w:tr>
      <w:tr>
        <w:tc>
          <w:tcPr>
            <w:tcW w:type="dxa" w:w="1984"/>
          </w:tcPr>
          <w:p>
            <w:r/>
            <w:r>
              <w:rPr>
                <w:sz w:val="18"/>
              </w:rPr>
              <w:t>Colab ALL (KPI-level)</w:t>
            </w:r>
          </w:p>
        </w:tc>
        <w:tc>
          <w:tcPr>
            <w:tcW w:type="dxa" w:w="1701"/>
          </w:tcPr>
          <w:p>
            <w:r/>
            <w:r>
              <w:rPr>
                <w:sz w:val="18"/>
              </w:rPr>
              <w:t>Wilcoxon SR</w:t>
            </w:r>
          </w:p>
        </w:tc>
        <w:tc>
          <w:tcPr>
            <w:tcW w:type="dxa" w:w="1984"/>
          </w:tcPr>
          <w:p>
            <w:r/>
            <w:r>
              <w:rPr>
                <w:sz w:val="18"/>
              </w:rPr>
              <w:t>MASAC vs MATD3: p=0.0049</w:t>
            </w:r>
          </w:p>
        </w:tc>
        <w:tc>
          <w:tcPr>
            <w:tcW w:type="dxa" w:w="2268"/>
          </w:tcPr>
          <w:p>
            <w:r/>
            <w:r>
              <w:rPr>
                <w:sz w:val="18"/>
              </w:rPr>
              <w:t>Significativo (pareado)</w:t>
            </w:r>
          </w:p>
        </w:tc>
      </w:tr>
      <w:tr>
        <w:tc>
          <w:tcPr>
            <w:tcW w:type="dxa" w:w="1984"/>
          </w:tcPr>
          <w:p>
            <w:r/>
            <w:r>
              <w:rPr>
                <w:sz w:val="18"/>
              </w:rPr>
              <w:t>Colab ALL (KPI-level)</w:t>
            </w:r>
          </w:p>
        </w:tc>
        <w:tc>
          <w:tcPr>
            <w:tcW w:type="dxa" w:w="1701"/>
          </w:tcPr>
          <w:p>
            <w:r/>
            <w:r>
              <w:rPr>
                <w:sz w:val="18"/>
              </w:rPr>
              <w:t>Mann-Whitney U</w:t>
            </w:r>
          </w:p>
        </w:tc>
        <w:tc>
          <w:tcPr>
            <w:tcW w:type="dxa" w:w="1984"/>
          </w:tcPr>
          <w:p>
            <w:r/>
            <w:r>
              <w:rPr>
                <w:sz w:val="18"/>
              </w:rPr>
              <w:t>MASAC vs MATD3: p=0.070</w:t>
            </w:r>
          </w:p>
        </w:tc>
        <w:tc>
          <w:tcPr>
            <w:tcW w:type="dxa" w:w="2268"/>
          </w:tcPr>
          <w:p>
            <w:r/>
            <w:r>
              <w:rPr>
                <w:sz w:val="18"/>
              </w:rPr>
              <w:t>No significativo (0.05)</w:t>
            </w:r>
          </w:p>
        </w:tc>
      </w:tr>
      <w:tr>
        <w:tc>
          <w:tcPr>
            <w:tcW w:type="dxa" w:w="1984"/>
          </w:tcPr>
          <w:p>
            <w:r/>
            <w:r>
              <w:rPr>
                <w:sz w:val="18"/>
              </w:rPr>
              <w:t>Colab OE1</w:t>
            </w:r>
          </w:p>
        </w:tc>
        <w:tc>
          <w:tcPr>
            <w:tcW w:type="dxa" w:w="1701"/>
          </w:tcPr>
          <w:p>
            <w:r/>
            <w:r>
              <w:rPr>
                <w:sz w:val="18"/>
              </w:rPr>
              <w:t>Kruskal-Wallis</w:t>
            </w:r>
          </w:p>
        </w:tc>
        <w:tc>
          <w:tcPr>
            <w:tcW w:type="dxa" w:w="1984"/>
          </w:tcPr>
          <w:p>
            <w:r/>
            <w:r>
              <w:rPr>
                <w:sz w:val="18"/>
              </w:rPr>
              <w:t>p=0.281</w:t>
            </w:r>
          </w:p>
        </w:tc>
        <w:tc>
          <w:tcPr>
            <w:tcW w:type="dxa" w:w="2268"/>
          </w:tcPr>
          <w:p>
            <w:r/>
            <w:r>
              <w:rPr>
                <w:sz w:val="18"/>
              </w:rPr>
              <w:t>No significativo</w:t>
            </w:r>
          </w:p>
        </w:tc>
      </w:tr>
      <w:tr>
        <w:tc>
          <w:tcPr>
            <w:tcW w:type="dxa" w:w="1984"/>
          </w:tcPr>
          <w:p>
            <w:r/>
            <w:r>
              <w:rPr>
                <w:sz w:val="18"/>
              </w:rPr>
              <w:t>Colab OE2</w:t>
            </w:r>
          </w:p>
        </w:tc>
        <w:tc>
          <w:tcPr>
            <w:tcW w:type="dxa" w:w="1701"/>
          </w:tcPr>
          <w:p>
            <w:r/>
            <w:r>
              <w:rPr>
                <w:sz w:val="18"/>
              </w:rPr>
              <w:t>Kruskal-Wallis</w:t>
            </w:r>
          </w:p>
        </w:tc>
        <w:tc>
          <w:tcPr>
            <w:tcW w:type="dxa" w:w="1984"/>
          </w:tcPr>
          <w:p>
            <w:r/>
            <w:r>
              <w:rPr>
                <w:sz w:val="18"/>
              </w:rPr>
              <w:t>p=0.546</w:t>
            </w:r>
          </w:p>
        </w:tc>
        <w:tc>
          <w:tcPr>
            <w:tcW w:type="dxa" w:w="2268"/>
          </w:tcPr>
          <w:p>
            <w:r/>
            <w:r>
              <w:rPr>
                <w:sz w:val="18"/>
              </w:rPr>
              <w:t>No significativo</w:t>
            </w:r>
          </w:p>
        </w:tc>
      </w:tr>
      <w:tr>
        <w:tc>
          <w:tcPr>
            <w:tcW w:type="dxa" w:w="1984"/>
          </w:tcPr>
          <w:p>
            <w:r/>
            <w:r>
              <w:rPr>
                <w:sz w:val="18"/>
              </w:rPr>
              <w:t>Colab OE3</w:t>
            </w:r>
          </w:p>
        </w:tc>
        <w:tc>
          <w:tcPr>
            <w:tcW w:type="dxa" w:w="1701"/>
          </w:tcPr>
          <w:p>
            <w:r/>
            <w:r>
              <w:rPr>
                <w:sz w:val="18"/>
              </w:rPr>
              <w:t>Kruskal-Wallis</w:t>
            </w:r>
          </w:p>
        </w:tc>
        <w:tc>
          <w:tcPr>
            <w:tcW w:type="dxa" w:w="1984"/>
          </w:tcPr>
          <w:p>
            <w:r/>
            <w:r>
              <w:rPr>
                <w:sz w:val="18"/>
              </w:rPr>
              <w:t>p=0.388</w:t>
            </w:r>
          </w:p>
        </w:tc>
        <w:tc>
          <w:tcPr>
            <w:tcW w:type="dxa" w:w="2268"/>
          </w:tcPr>
          <w:p>
            <w:r/>
            <w:r>
              <w:rPr>
                <w:sz w:val="18"/>
              </w:rPr>
              <w:t>No significativo</w:t>
            </w:r>
          </w:p>
        </w:tc>
      </w:tr>
      <w:tr>
        <w:tc>
          <w:tcPr>
            <w:tcW w:type="dxa" w:w="1984"/>
          </w:tcPr>
          <w:p>
            <w:r/>
            <w:r>
              <w:rPr>
                <w:sz w:val="18"/>
              </w:rPr>
              <w:t>Score escenario (3x3)</w:t>
            </w:r>
          </w:p>
        </w:tc>
        <w:tc>
          <w:tcPr>
            <w:tcW w:type="dxa" w:w="1701"/>
          </w:tcPr>
          <w:p>
            <w:r/>
            <w:r>
              <w:rPr>
                <w:sz w:val="18"/>
              </w:rPr>
              <w:t>Kruskal-Wallis</w:t>
            </w:r>
          </w:p>
        </w:tc>
        <w:tc>
          <w:tcPr>
            <w:tcW w:type="dxa" w:w="1984"/>
          </w:tcPr>
          <w:p>
            <w:r/>
            <w:r>
              <w:rPr>
                <w:sz w:val="18"/>
              </w:rPr>
              <w:t>H=4.36, p=0.113</w:t>
            </w:r>
          </w:p>
        </w:tc>
        <w:tc>
          <w:tcPr>
            <w:tcW w:type="dxa" w:w="2268"/>
          </w:tcPr>
          <w:p>
            <w:r/>
            <w:r>
              <w:rPr>
                <w:sz w:val="18"/>
              </w:rPr>
              <w:t>No significativo</w:t>
            </w:r>
          </w:p>
        </w:tc>
      </w:tr>
      <w:tr>
        <w:tc>
          <w:tcPr>
            <w:tcW w:type="dxa" w:w="1984"/>
          </w:tcPr>
          <w:p>
            <w:r/>
            <w:r>
              <w:rPr>
                <w:sz w:val="18"/>
              </w:rPr>
              <w:t>Local v4 (referencia)</w:t>
            </w:r>
          </w:p>
        </w:tc>
        <w:tc>
          <w:tcPr>
            <w:tcW w:type="dxa" w:w="1701"/>
          </w:tcPr>
          <w:p>
            <w:r/>
            <w:r>
              <w:rPr>
                <w:sz w:val="18"/>
              </w:rPr>
              <w:t>Kruskal-Wallis</w:t>
            </w:r>
          </w:p>
        </w:tc>
        <w:tc>
          <w:tcPr>
            <w:tcW w:type="dxa" w:w="1984"/>
          </w:tcPr>
          <w:p>
            <w:r/>
            <w:r>
              <w:rPr>
                <w:sz w:val="18"/>
              </w:rPr>
              <w:t>p=0.0459</w:t>
            </w:r>
          </w:p>
        </w:tc>
        <w:tc>
          <w:tcPr>
            <w:tcW w:type="dxa" w:w="2268"/>
          </w:tcPr>
          <w:p>
            <w:r/>
            <w:r>
              <w:rPr>
                <w:sz w:val="18"/>
              </w:rPr>
              <w:t>Significativo (5 ep, exploratorio)</w:t>
            </w:r>
          </w:p>
        </w:tc>
      </w:tr>
    </w:tbl>
    <w:p/>
    <w:p>
      <w:pPr>
        <w:jc w:val="both"/>
      </w:pPr>
      <w:r>
        <w:rPr>
          <w:b w:val="0"/>
          <w:i w:val="0"/>
        </w:rPr>
        <w:t>Interpretacion: el ranking descriptivo Colab (MATD3 score global 0.6667) se sostiene por KPIs de distrito y edificio; la significancia global KW sobre KPI-gains no alcanza alpha=0.05 con una semilla y sin HAPPO. Wilcoxon pareado detecta diferencia MASAC-MATD3 en el agregado ALL. Se requiere multi-semilla para elevar conclusiones causales (Colas et al., 2019).</w:t>
      </w:r>
    </w:p>
    <w:p>
      <w:pPr>
        <w:pStyle w:val="Heading2"/>
      </w:pPr>
      <w:r>
        <w:t>5.9 Discusion</w:t>
      </w:r>
    </w:p>
    <w:p>
      <w:pPr>
        <w:jc w:val="both"/>
      </w:pPr>
      <w:r>
        <w:rPr>
          <w:b w:val="0"/>
          <w:i w:val="0"/>
        </w:rPr>
        <w:t>MATD3 domina flexibilidad y emisiones en la corrida canonica, con mayor tasa de exito EV que MASAC/MAAC. MAAC es competitivo en costo energetico del distrito. El analisis por edificio revela heterogeneidad estructural (B06 Mall: 32 EV; B07 UNAP: 42 EV). La interpretacion exige frontera de Pareto por eje, no solo score global. HAPPO requiere re-evaluacion tras corregir VecEnvWrapper.</w:t>
      </w:r>
    </w:p>
    <w:p>
      <w:r>
        <w:br w:type="page"/>
      </w:r>
    </w:p>
    <w:p>
      <w:pPr>
        <w:pStyle w:val="Heading2"/>
      </w:pPr>
      <w:r>
        <w:t>5.10 Resultados reales de entrenamiento por MADRL y cobertura de 50 episodios</w:t>
      </w:r>
    </w:p>
    <w:p>
      <w:pPr>
        <w:spacing w:after="120" w:line="276" w:lineRule="auto"/>
        <w:jc w:val="both"/>
      </w:pPr>
      <w:r>
        <w:t>La version final reporta la cobertura real de episodios observada en los artefactos descargados desde Google Drive. MAAC, MASAC y MATD3 tienen 50 episodios por escenario E1/E2/E3. HAPPO contiene 49 episodios reales por escenario en timeseries.csv y trace.csv; no se imputa ni se declara un episodio 50 inexistente. Por tanto, HAPPO se incluye en resultados distritales y de traza, pero queda excluido de comparaciones por edificio y checkpoints por ausencia de building_kpis.csv, building_behavior_summary.csv y checkpoint_manifest.json.</w:t>
      </w:r>
    </w:p>
    <w:p>
      <w:r>
        <w:rPr>
          <w:b/>
          <w:color w:val="595959"/>
          <w:sz w:val="19"/>
        </w:rPr>
        <w:t>Tabla 5.10. Cobertura y KPIs distritales reales por algoritmo y escenario.</w:t>
      </w:r>
    </w:p>
    <w:tbl>
      <w:tblPr>
        <w:tblStyle w:val="LightGrid-Accent1"/>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shd w:val="clear" w:color="auto" w:fill="1F4E79"/>
          </w:tcPr>
          <w:p>
            <w:r/>
            <w:r>
              <w:rPr>
                <w:b/>
                <w:color w:val="FFFFFF"/>
                <w:sz w:val="13"/>
              </w:rPr>
              <w:t>MADRL</w:t>
            </w:r>
          </w:p>
        </w:tc>
        <w:tc>
          <w:tcPr>
            <w:tcW w:type="dxa" w:w="1014"/>
            <w:shd w:val="clear" w:color="auto" w:fill="1F4E79"/>
          </w:tcPr>
          <w:p>
            <w:r/>
            <w:r>
              <w:rPr>
                <w:b/>
                <w:color w:val="FFFFFF"/>
                <w:sz w:val="13"/>
              </w:rPr>
              <w:t>Esc.</w:t>
            </w:r>
          </w:p>
        </w:tc>
        <w:tc>
          <w:tcPr>
            <w:tcW w:type="dxa" w:w="1014"/>
            <w:shd w:val="clear" w:color="auto" w:fill="1F4E79"/>
          </w:tcPr>
          <w:p>
            <w:r/>
            <w:r>
              <w:rPr>
                <w:b/>
                <w:color w:val="FFFFFF"/>
                <w:sz w:val="13"/>
              </w:rPr>
              <w:t>Epis.</w:t>
            </w:r>
          </w:p>
        </w:tc>
        <w:tc>
          <w:tcPr>
            <w:tcW w:type="dxa" w:w="1014"/>
            <w:shd w:val="clear" w:color="auto" w:fill="1F4E79"/>
          </w:tcPr>
          <w:p>
            <w:r/>
            <w:r>
              <w:rPr>
                <w:b/>
                <w:color w:val="FFFFFF"/>
                <w:sz w:val="13"/>
              </w:rPr>
              <w:t>Pasos</w:t>
            </w:r>
          </w:p>
        </w:tc>
        <w:tc>
          <w:tcPr>
            <w:tcW w:type="dxa" w:w="1014"/>
            <w:shd w:val="clear" w:color="auto" w:fill="1F4E79"/>
          </w:tcPr>
          <w:p>
            <w:r/>
            <w:r>
              <w:rPr>
                <w:b/>
                <w:color w:val="FFFFFF"/>
                <w:sz w:val="13"/>
              </w:rPr>
              <w:t>Reward medio</w:t>
            </w:r>
          </w:p>
        </w:tc>
        <w:tc>
          <w:tcPr>
            <w:tcW w:type="dxa" w:w="1014"/>
            <w:shd w:val="clear" w:color="auto" w:fill="1F4E79"/>
          </w:tcPr>
          <w:p>
            <w:r/>
            <w:r>
              <w:rPr>
                <w:b/>
                <w:color w:val="FFFFFF"/>
                <w:sz w:val="13"/>
              </w:rPr>
              <w:t>Net kWh medio</w:t>
            </w:r>
          </w:p>
        </w:tc>
        <w:tc>
          <w:tcPr>
            <w:tcW w:type="dxa" w:w="1014"/>
            <w:shd w:val="clear" w:color="auto" w:fill="1F4E79"/>
          </w:tcPr>
          <w:p>
            <w:r/>
            <w:r>
              <w:rPr>
                <w:b/>
                <w:color w:val="FFFFFF"/>
                <w:sz w:val="13"/>
              </w:rPr>
              <w:t>Costo medio</w:t>
            </w:r>
          </w:p>
        </w:tc>
        <w:tc>
          <w:tcPr>
            <w:tcW w:type="dxa" w:w="1014"/>
            <w:shd w:val="clear" w:color="auto" w:fill="1F4E79"/>
          </w:tcPr>
          <w:p>
            <w:r/>
            <w:r>
              <w:rPr>
                <w:b/>
                <w:color w:val="FFFFFF"/>
                <w:sz w:val="13"/>
              </w:rPr>
              <w:t>CO2 medio</w:t>
            </w:r>
          </w:p>
        </w:tc>
        <w:tc>
          <w:tcPr>
            <w:tcW w:type="dxa" w:w="1014"/>
            <w:shd w:val="clear" w:color="auto" w:fill="1F4E79"/>
          </w:tcPr>
          <w:p>
            <w:r/>
            <w:r>
              <w:rPr>
                <w:b/>
                <w:color w:val="FFFFFF"/>
                <w:sz w:val="13"/>
              </w:rPr>
              <w:t>Estado</w:t>
            </w:r>
          </w:p>
        </w:tc>
      </w:tr>
      <w:tr>
        <w:tc>
          <w:tcPr>
            <w:tcW w:type="dxa" w:w="1014"/>
          </w:tcPr>
          <w:p>
            <w:r/>
            <w:r>
              <w:rPr>
                <w:sz w:val="13"/>
              </w:rPr>
              <w:t>HAPPO</w:t>
            </w:r>
          </w:p>
        </w:tc>
        <w:tc>
          <w:tcPr>
            <w:tcW w:type="dxa" w:w="1014"/>
          </w:tcPr>
          <w:p>
            <w:r/>
            <w:r>
              <w:rPr>
                <w:sz w:val="13"/>
              </w:rPr>
              <w:t>E1</w:t>
            </w:r>
          </w:p>
        </w:tc>
        <w:tc>
          <w:tcPr>
            <w:tcW w:type="dxa" w:w="1014"/>
          </w:tcPr>
          <w:p>
            <w:r/>
            <w:r>
              <w:rPr>
                <w:sz w:val="13"/>
              </w:rPr>
              <w:t>49</w:t>
            </w:r>
          </w:p>
        </w:tc>
        <w:tc>
          <w:tcPr>
            <w:tcW w:type="dxa" w:w="1014"/>
          </w:tcPr>
          <w:p>
            <w:r/>
            <w:r>
              <w:rPr>
                <w:sz w:val="13"/>
              </w:rPr>
              <w:t>429212</w:t>
            </w:r>
          </w:p>
        </w:tc>
        <w:tc>
          <w:tcPr>
            <w:tcW w:type="dxa" w:w="1014"/>
          </w:tcPr>
          <w:p>
            <w:r/>
            <w:r>
              <w:rPr>
                <w:sz w:val="13"/>
              </w:rPr>
              <w:t>-0.630260</w:t>
            </w:r>
          </w:p>
        </w:tc>
        <w:tc>
          <w:tcPr>
            <w:tcW w:type="dxa" w:w="1014"/>
          </w:tcPr>
          <w:p>
            <w:r/>
            <w:r>
              <w:rPr>
                <w:sz w:val="13"/>
              </w:rPr>
              <w:t>797.41</w:t>
            </w:r>
          </w:p>
        </w:tc>
        <w:tc>
          <w:tcPr>
            <w:tcW w:type="dxa" w:w="1014"/>
          </w:tcPr>
          <w:p>
            <w:r/>
            <w:r>
              <w:rPr>
                <w:sz w:val="13"/>
              </w:rPr>
              <w:t>463.72</w:t>
            </w:r>
          </w:p>
        </w:tc>
        <w:tc>
          <w:tcPr>
            <w:tcW w:type="dxa" w:w="1014"/>
          </w:tcPr>
          <w:p>
            <w:r/>
            <w:r>
              <w:rPr>
                <w:sz w:val="13"/>
              </w:rPr>
              <w:t>1,046.35</w:t>
            </w:r>
          </w:p>
        </w:tc>
        <w:tc>
          <w:tcPr>
            <w:tcW w:type="dxa" w:w="1014"/>
          </w:tcPr>
          <w:p>
            <w:r/>
            <w:r>
              <w:rPr>
                <w:sz w:val="13"/>
              </w:rPr>
              <w:t>49 episodios reales; no completar artificialmente</w:t>
            </w:r>
          </w:p>
        </w:tc>
      </w:tr>
      <w:tr>
        <w:tc>
          <w:tcPr>
            <w:tcW w:type="dxa" w:w="1014"/>
          </w:tcPr>
          <w:p>
            <w:r/>
            <w:r>
              <w:rPr>
                <w:sz w:val="13"/>
              </w:rPr>
              <w:t>HAPPO</w:t>
            </w:r>
          </w:p>
        </w:tc>
        <w:tc>
          <w:tcPr>
            <w:tcW w:type="dxa" w:w="1014"/>
          </w:tcPr>
          <w:p>
            <w:r/>
            <w:r>
              <w:rPr>
                <w:sz w:val="13"/>
              </w:rPr>
              <w:t>E2</w:t>
            </w:r>
          </w:p>
        </w:tc>
        <w:tc>
          <w:tcPr>
            <w:tcW w:type="dxa" w:w="1014"/>
          </w:tcPr>
          <w:p>
            <w:r/>
            <w:r>
              <w:rPr>
                <w:sz w:val="13"/>
              </w:rPr>
              <w:t>49</w:t>
            </w:r>
          </w:p>
        </w:tc>
        <w:tc>
          <w:tcPr>
            <w:tcW w:type="dxa" w:w="1014"/>
          </w:tcPr>
          <w:p>
            <w:r/>
            <w:r>
              <w:rPr>
                <w:sz w:val="13"/>
              </w:rPr>
              <w:t>429212</w:t>
            </w:r>
          </w:p>
        </w:tc>
        <w:tc>
          <w:tcPr>
            <w:tcW w:type="dxa" w:w="1014"/>
          </w:tcPr>
          <w:p>
            <w:r/>
            <w:r>
              <w:rPr>
                <w:sz w:val="13"/>
              </w:rPr>
              <w:t>-0.484196</w:t>
            </w:r>
          </w:p>
        </w:tc>
        <w:tc>
          <w:tcPr>
            <w:tcW w:type="dxa" w:w="1014"/>
          </w:tcPr>
          <w:p>
            <w:r/>
            <w:r>
              <w:rPr>
                <w:sz w:val="13"/>
              </w:rPr>
              <w:t>-15.09</w:t>
            </w:r>
          </w:p>
        </w:tc>
        <w:tc>
          <w:tcPr>
            <w:tcW w:type="dxa" w:w="1014"/>
          </w:tcPr>
          <w:p>
            <w:r/>
            <w:r>
              <w:rPr>
                <w:sz w:val="13"/>
              </w:rPr>
              <w:t>195.45</w:t>
            </w:r>
          </w:p>
        </w:tc>
        <w:tc>
          <w:tcPr>
            <w:tcW w:type="dxa" w:w="1014"/>
          </w:tcPr>
          <w:p>
            <w:r/>
            <w:r>
              <w:rPr>
                <w:sz w:val="13"/>
              </w:rPr>
              <w:t>883.00</w:t>
            </w:r>
          </w:p>
        </w:tc>
        <w:tc>
          <w:tcPr>
            <w:tcW w:type="dxa" w:w="1014"/>
          </w:tcPr>
          <w:p>
            <w:r/>
            <w:r>
              <w:rPr>
                <w:sz w:val="13"/>
              </w:rPr>
              <w:t>49 episodios reales; no completar artificialmente</w:t>
            </w:r>
          </w:p>
        </w:tc>
      </w:tr>
      <w:tr>
        <w:tc>
          <w:tcPr>
            <w:tcW w:type="dxa" w:w="1014"/>
          </w:tcPr>
          <w:p>
            <w:r/>
            <w:r>
              <w:rPr>
                <w:sz w:val="13"/>
              </w:rPr>
              <w:t>HAPPO</w:t>
            </w:r>
          </w:p>
        </w:tc>
        <w:tc>
          <w:tcPr>
            <w:tcW w:type="dxa" w:w="1014"/>
          </w:tcPr>
          <w:p>
            <w:r/>
            <w:r>
              <w:rPr>
                <w:sz w:val="13"/>
              </w:rPr>
              <w:t>E3</w:t>
            </w:r>
          </w:p>
        </w:tc>
        <w:tc>
          <w:tcPr>
            <w:tcW w:type="dxa" w:w="1014"/>
          </w:tcPr>
          <w:p>
            <w:r/>
            <w:r>
              <w:rPr>
                <w:sz w:val="13"/>
              </w:rPr>
              <w:t>49</w:t>
            </w:r>
          </w:p>
        </w:tc>
        <w:tc>
          <w:tcPr>
            <w:tcW w:type="dxa" w:w="1014"/>
          </w:tcPr>
          <w:p>
            <w:r/>
            <w:r>
              <w:rPr>
                <w:sz w:val="13"/>
              </w:rPr>
              <w:t>429212</w:t>
            </w:r>
          </w:p>
        </w:tc>
        <w:tc>
          <w:tcPr>
            <w:tcW w:type="dxa" w:w="1014"/>
          </w:tcPr>
          <w:p>
            <w:r/>
            <w:r>
              <w:rPr>
                <w:sz w:val="13"/>
              </w:rPr>
              <w:t>-0.520814</w:t>
            </w:r>
          </w:p>
        </w:tc>
        <w:tc>
          <w:tcPr>
            <w:tcW w:type="dxa" w:w="1014"/>
          </w:tcPr>
          <w:p>
            <w:r/>
            <w:r>
              <w:rPr>
                <w:sz w:val="13"/>
              </w:rPr>
              <w:t>343.26</w:t>
            </w:r>
          </w:p>
        </w:tc>
        <w:tc>
          <w:tcPr>
            <w:tcW w:type="dxa" w:w="1014"/>
          </w:tcPr>
          <w:p>
            <w:r/>
            <w:r>
              <w:rPr>
                <w:sz w:val="13"/>
              </w:rPr>
              <w:t>352.57</w:t>
            </w:r>
          </w:p>
        </w:tc>
        <w:tc>
          <w:tcPr>
            <w:tcW w:type="dxa" w:w="1014"/>
          </w:tcPr>
          <w:p>
            <w:r/>
            <w:r>
              <w:rPr>
                <w:sz w:val="13"/>
              </w:rPr>
              <w:t>839.72</w:t>
            </w:r>
          </w:p>
        </w:tc>
        <w:tc>
          <w:tcPr>
            <w:tcW w:type="dxa" w:w="1014"/>
          </w:tcPr>
          <w:p>
            <w:r/>
            <w:r>
              <w:rPr>
                <w:sz w:val="13"/>
              </w:rPr>
              <w:t>49 episodios reales; no completar artificialmente</w:t>
            </w:r>
          </w:p>
        </w:tc>
      </w:tr>
      <w:tr>
        <w:tc>
          <w:tcPr>
            <w:tcW w:type="dxa" w:w="1014"/>
          </w:tcPr>
          <w:p>
            <w:r/>
            <w:r>
              <w:rPr>
                <w:sz w:val="13"/>
              </w:rPr>
              <w:t>MAAC</w:t>
            </w:r>
          </w:p>
        </w:tc>
        <w:tc>
          <w:tcPr>
            <w:tcW w:type="dxa" w:w="1014"/>
          </w:tcPr>
          <w:p>
            <w:r/>
            <w:r>
              <w:rPr>
                <w:sz w:val="13"/>
              </w:rPr>
              <w:t>E1</w:t>
            </w:r>
          </w:p>
        </w:tc>
        <w:tc>
          <w:tcPr>
            <w:tcW w:type="dxa" w:w="1014"/>
          </w:tcPr>
          <w:p>
            <w:r/>
            <w:r>
              <w:rPr>
                <w:sz w:val="13"/>
              </w:rPr>
              <w:t>50</w:t>
            </w:r>
          </w:p>
        </w:tc>
        <w:tc>
          <w:tcPr>
            <w:tcW w:type="dxa" w:w="1014"/>
          </w:tcPr>
          <w:p>
            <w:r/>
            <w:r>
              <w:rPr>
                <w:sz w:val="13"/>
              </w:rPr>
              <w:t>437950</w:t>
            </w:r>
          </w:p>
        </w:tc>
        <w:tc>
          <w:tcPr>
            <w:tcW w:type="dxa" w:w="1014"/>
          </w:tcPr>
          <w:p>
            <w:r/>
            <w:r>
              <w:rPr>
                <w:sz w:val="13"/>
              </w:rPr>
              <w:t>-0.605157</w:t>
            </w:r>
          </w:p>
        </w:tc>
        <w:tc>
          <w:tcPr>
            <w:tcW w:type="dxa" w:w="1014"/>
          </w:tcPr>
          <w:p>
            <w:r/>
            <w:r>
              <w:rPr>
                <w:sz w:val="13"/>
              </w:rPr>
              <w:t>1,292.15</w:t>
            </w:r>
          </w:p>
        </w:tc>
        <w:tc>
          <w:tcPr>
            <w:tcW w:type="dxa" w:w="1014"/>
          </w:tcPr>
          <w:p>
            <w:r/>
            <w:r>
              <w:rPr>
                <w:sz w:val="13"/>
              </w:rPr>
              <w:t>642.61</w:t>
            </w:r>
          </w:p>
        </w:tc>
        <w:tc>
          <w:tcPr>
            <w:tcW w:type="dxa" w:w="1014"/>
          </w:tcPr>
          <w:p>
            <w:r/>
            <w:r>
              <w:rPr>
                <w:sz w:val="13"/>
              </w:rPr>
              <w:t>1,054.33</w:t>
            </w:r>
          </w:p>
        </w:tc>
        <w:tc>
          <w:tcPr>
            <w:tcW w:type="dxa" w:w="1014"/>
          </w:tcPr>
          <w:p>
            <w:r/>
            <w:r>
              <w:rPr>
                <w:sz w:val="13"/>
              </w:rPr>
              <w:t>50 episodios completos</w:t>
            </w:r>
          </w:p>
        </w:tc>
      </w:tr>
      <w:tr>
        <w:tc>
          <w:tcPr>
            <w:tcW w:type="dxa" w:w="1014"/>
          </w:tcPr>
          <w:p>
            <w:r/>
            <w:r>
              <w:rPr>
                <w:sz w:val="13"/>
              </w:rPr>
              <w:t>MAAC</w:t>
            </w:r>
          </w:p>
        </w:tc>
        <w:tc>
          <w:tcPr>
            <w:tcW w:type="dxa" w:w="1014"/>
          </w:tcPr>
          <w:p>
            <w:r/>
            <w:r>
              <w:rPr>
                <w:sz w:val="13"/>
              </w:rPr>
              <w:t>E2</w:t>
            </w:r>
          </w:p>
        </w:tc>
        <w:tc>
          <w:tcPr>
            <w:tcW w:type="dxa" w:w="1014"/>
          </w:tcPr>
          <w:p>
            <w:r/>
            <w:r>
              <w:rPr>
                <w:sz w:val="13"/>
              </w:rPr>
              <w:t>50</w:t>
            </w:r>
          </w:p>
        </w:tc>
        <w:tc>
          <w:tcPr>
            <w:tcW w:type="dxa" w:w="1014"/>
          </w:tcPr>
          <w:p>
            <w:r/>
            <w:r>
              <w:rPr>
                <w:sz w:val="13"/>
              </w:rPr>
              <w:t>437950</w:t>
            </w:r>
          </w:p>
        </w:tc>
        <w:tc>
          <w:tcPr>
            <w:tcW w:type="dxa" w:w="1014"/>
          </w:tcPr>
          <w:p>
            <w:r/>
            <w:r>
              <w:rPr>
                <w:sz w:val="13"/>
              </w:rPr>
              <w:t>-0.523716</w:t>
            </w:r>
          </w:p>
        </w:tc>
        <w:tc>
          <w:tcPr>
            <w:tcW w:type="dxa" w:w="1014"/>
          </w:tcPr>
          <w:p>
            <w:r/>
            <w:r>
              <w:rPr>
                <w:sz w:val="13"/>
              </w:rPr>
              <w:t>1,328.60</w:t>
            </w:r>
          </w:p>
        </w:tc>
        <w:tc>
          <w:tcPr>
            <w:tcW w:type="dxa" w:w="1014"/>
          </w:tcPr>
          <w:p>
            <w:r/>
            <w:r>
              <w:rPr>
                <w:sz w:val="13"/>
              </w:rPr>
              <w:t>707.47</w:t>
            </w:r>
          </w:p>
        </w:tc>
        <w:tc>
          <w:tcPr>
            <w:tcW w:type="dxa" w:w="1014"/>
          </w:tcPr>
          <w:p>
            <w:r/>
            <w:r>
              <w:rPr>
                <w:sz w:val="13"/>
              </w:rPr>
              <w:t>1,056.39</w:t>
            </w:r>
          </w:p>
        </w:tc>
        <w:tc>
          <w:tcPr>
            <w:tcW w:type="dxa" w:w="1014"/>
          </w:tcPr>
          <w:p>
            <w:r/>
            <w:r>
              <w:rPr>
                <w:sz w:val="13"/>
              </w:rPr>
              <w:t>50 episodios completos</w:t>
            </w:r>
          </w:p>
        </w:tc>
      </w:tr>
      <w:tr>
        <w:tc>
          <w:tcPr>
            <w:tcW w:type="dxa" w:w="1014"/>
          </w:tcPr>
          <w:p>
            <w:r/>
            <w:r>
              <w:rPr>
                <w:sz w:val="13"/>
              </w:rPr>
              <w:t>MAAC</w:t>
            </w:r>
          </w:p>
        </w:tc>
        <w:tc>
          <w:tcPr>
            <w:tcW w:type="dxa" w:w="1014"/>
          </w:tcPr>
          <w:p>
            <w:r/>
            <w:r>
              <w:rPr>
                <w:sz w:val="13"/>
              </w:rPr>
              <w:t>E3</w:t>
            </w:r>
          </w:p>
        </w:tc>
        <w:tc>
          <w:tcPr>
            <w:tcW w:type="dxa" w:w="1014"/>
          </w:tcPr>
          <w:p>
            <w:r/>
            <w:r>
              <w:rPr>
                <w:sz w:val="13"/>
              </w:rPr>
              <w:t>50</w:t>
            </w:r>
          </w:p>
        </w:tc>
        <w:tc>
          <w:tcPr>
            <w:tcW w:type="dxa" w:w="1014"/>
          </w:tcPr>
          <w:p>
            <w:r/>
            <w:r>
              <w:rPr>
                <w:sz w:val="13"/>
              </w:rPr>
              <w:t>437950</w:t>
            </w:r>
          </w:p>
        </w:tc>
        <w:tc>
          <w:tcPr>
            <w:tcW w:type="dxa" w:w="1014"/>
          </w:tcPr>
          <w:p>
            <w:r/>
            <w:r>
              <w:rPr>
                <w:sz w:val="13"/>
              </w:rPr>
              <w:t>-0.538671</w:t>
            </w:r>
          </w:p>
        </w:tc>
        <w:tc>
          <w:tcPr>
            <w:tcW w:type="dxa" w:w="1014"/>
          </w:tcPr>
          <w:p>
            <w:r/>
            <w:r>
              <w:rPr>
                <w:sz w:val="13"/>
              </w:rPr>
              <w:t>1,324.21</w:t>
            </w:r>
          </w:p>
        </w:tc>
        <w:tc>
          <w:tcPr>
            <w:tcW w:type="dxa" w:w="1014"/>
          </w:tcPr>
          <w:p>
            <w:r/>
            <w:r>
              <w:rPr>
                <w:sz w:val="13"/>
              </w:rPr>
              <w:t>795.39</w:t>
            </w:r>
          </w:p>
        </w:tc>
        <w:tc>
          <w:tcPr>
            <w:tcW w:type="dxa" w:w="1014"/>
          </w:tcPr>
          <w:p>
            <w:r/>
            <w:r>
              <w:rPr>
                <w:sz w:val="13"/>
              </w:rPr>
              <w:t>1,053.55</w:t>
            </w:r>
          </w:p>
        </w:tc>
        <w:tc>
          <w:tcPr>
            <w:tcW w:type="dxa" w:w="1014"/>
          </w:tcPr>
          <w:p>
            <w:r/>
            <w:r>
              <w:rPr>
                <w:sz w:val="13"/>
              </w:rPr>
              <w:t>50 episodios completos</w:t>
            </w:r>
          </w:p>
        </w:tc>
      </w:tr>
      <w:tr>
        <w:tc>
          <w:tcPr>
            <w:tcW w:type="dxa" w:w="1014"/>
          </w:tcPr>
          <w:p>
            <w:r/>
            <w:r>
              <w:rPr>
                <w:sz w:val="13"/>
              </w:rPr>
              <w:t>MASAC</w:t>
            </w:r>
          </w:p>
        </w:tc>
        <w:tc>
          <w:tcPr>
            <w:tcW w:type="dxa" w:w="1014"/>
          </w:tcPr>
          <w:p>
            <w:r/>
            <w:r>
              <w:rPr>
                <w:sz w:val="13"/>
              </w:rPr>
              <w:t>E1</w:t>
            </w:r>
          </w:p>
        </w:tc>
        <w:tc>
          <w:tcPr>
            <w:tcW w:type="dxa" w:w="1014"/>
          </w:tcPr>
          <w:p>
            <w:r/>
            <w:r>
              <w:rPr>
                <w:sz w:val="13"/>
              </w:rPr>
              <w:t>50</w:t>
            </w:r>
          </w:p>
        </w:tc>
        <w:tc>
          <w:tcPr>
            <w:tcW w:type="dxa" w:w="1014"/>
          </w:tcPr>
          <w:p>
            <w:r/>
            <w:r>
              <w:rPr>
                <w:sz w:val="13"/>
              </w:rPr>
              <w:t>437950</w:t>
            </w:r>
          </w:p>
        </w:tc>
        <w:tc>
          <w:tcPr>
            <w:tcW w:type="dxa" w:w="1014"/>
          </w:tcPr>
          <w:p>
            <w:r/>
            <w:r>
              <w:rPr>
                <w:sz w:val="13"/>
              </w:rPr>
              <w:t>-0.613331</w:t>
            </w:r>
          </w:p>
        </w:tc>
        <w:tc>
          <w:tcPr>
            <w:tcW w:type="dxa" w:w="1014"/>
          </w:tcPr>
          <w:p>
            <w:r/>
            <w:r>
              <w:rPr>
                <w:sz w:val="13"/>
              </w:rPr>
              <w:t>1,315.91</w:t>
            </w:r>
          </w:p>
        </w:tc>
        <w:tc>
          <w:tcPr>
            <w:tcW w:type="dxa" w:w="1014"/>
          </w:tcPr>
          <w:p>
            <w:r/>
            <w:r>
              <w:rPr>
                <w:sz w:val="13"/>
              </w:rPr>
              <w:t>664.74</w:t>
            </w:r>
          </w:p>
        </w:tc>
        <w:tc>
          <w:tcPr>
            <w:tcW w:type="dxa" w:w="1014"/>
          </w:tcPr>
          <w:p>
            <w:r/>
            <w:r>
              <w:rPr>
                <w:sz w:val="13"/>
              </w:rPr>
              <w:t>1,076.48</w:t>
            </w:r>
          </w:p>
        </w:tc>
        <w:tc>
          <w:tcPr>
            <w:tcW w:type="dxa" w:w="1014"/>
          </w:tcPr>
          <w:p>
            <w:r/>
            <w:r>
              <w:rPr>
                <w:sz w:val="13"/>
              </w:rPr>
              <w:t>50 episodios completos</w:t>
            </w:r>
          </w:p>
        </w:tc>
      </w:tr>
      <w:tr>
        <w:tc>
          <w:tcPr>
            <w:tcW w:type="dxa" w:w="1014"/>
          </w:tcPr>
          <w:p>
            <w:r/>
            <w:r>
              <w:rPr>
                <w:sz w:val="13"/>
              </w:rPr>
              <w:t>MASAC</w:t>
            </w:r>
          </w:p>
        </w:tc>
        <w:tc>
          <w:tcPr>
            <w:tcW w:type="dxa" w:w="1014"/>
          </w:tcPr>
          <w:p>
            <w:r/>
            <w:r>
              <w:rPr>
                <w:sz w:val="13"/>
              </w:rPr>
              <w:t>E2</w:t>
            </w:r>
          </w:p>
        </w:tc>
        <w:tc>
          <w:tcPr>
            <w:tcW w:type="dxa" w:w="1014"/>
          </w:tcPr>
          <w:p>
            <w:r/>
            <w:r>
              <w:rPr>
                <w:sz w:val="13"/>
              </w:rPr>
              <w:t>50</w:t>
            </w:r>
          </w:p>
        </w:tc>
        <w:tc>
          <w:tcPr>
            <w:tcW w:type="dxa" w:w="1014"/>
          </w:tcPr>
          <w:p>
            <w:r/>
            <w:r>
              <w:rPr>
                <w:sz w:val="13"/>
              </w:rPr>
              <w:t>437950</w:t>
            </w:r>
          </w:p>
        </w:tc>
        <w:tc>
          <w:tcPr>
            <w:tcW w:type="dxa" w:w="1014"/>
          </w:tcPr>
          <w:p>
            <w:r/>
            <w:r>
              <w:rPr>
                <w:sz w:val="13"/>
              </w:rPr>
              <w:t>-0.525538</w:t>
            </w:r>
          </w:p>
        </w:tc>
        <w:tc>
          <w:tcPr>
            <w:tcW w:type="dxa" w:w="1014"/>
          </w:tcPr>
          <w:p>
            <w:r/>
            <w:r>
              <w:rPr>
                <w:sz w:val="13"/>
              </w:rPr>
              <w:t>1,317.88</w:t>
            </w:r>
          </w:p>
        </w:tc>
        <w:tc>
          <w:tcPr>
            <w:tcW w:type="dxa" w:w="1014"/>
          </w:tcPr>
          <w:p>
            <w:r/>
            <w:r>
              <w:rPr>
                <w:sz w:val="13"/>
              </w:rPr>
              <w:t>701.76</w:t>
            </w:r>
          </w:p>
        </w:tc>
        <w:tc>
          <w:tcPr>
            <w:tcW w:type="dxa" w:w="1014"/>
          </w:tcPr>
          <w:p>
            <w:r/>
            <w:r>
              <w:rPr>
                <w:sz w:val="13"/>
              </w:rPr>
              <w:t>1,078.37</w:t>
            </w:r>
          </w:p>
        </w:tc>
        <w:tc>
          <w:tcPr>
            <w:tcW w:type="dxa" w:w="1014"/>
          </w:tcPr>
          <w:p>
            <w:r/>
            <w:r>
              <w:rPr>
                <w:sz w:val="13"/>
              </w:rPr>
              <w:t>50 episodios completos</w:t>
            </w:r>
          </w:p>
        </w:tc>
      </w:tr>
      <w:tr>
        <w:tc>
          <w:tcPr>
            <w:tcW w:type="dxa" w:w="1014"/>
          </w:tcPr>
          <w:p>
            <w:r/>
            <w:r>
              <w:rPr>
                <w:sz w:val="13"/>
              </w:rPr>
              <w:t>MASAC</w:t>
            </w:r>
          </w:p>
        </w:tc>
        <w:tc>
          <w:tcPr>
            <w:tcW w:type="dxa" w:w="1014"/>
          </w:tcPr>
          <w:p>
            <w:r/>
            <w:r>
              <w:rPr>
                <w:sz w:val="13"/>
              </w:rPr>
              <w:t>E3</w:t>
            </w:r>
          </w:p>
        </w:tc>
        <w:tc>
          <w:tcPr>
            <w:tcW w:type="dxa" w:w="1014"/>
          </w:tcPr>
          <w:p>
            <w:r/>
            <w:r>
              <w:rPr>
                <w:sz w:val="13"/>
              </w:rPr>
              <w:t>50</w:t>
            </w:r>
          </w:p>
        </w:tc>
        <w:tc>
          <w:tcPr>
            <w:tcW w:type="dxa" w:w="1014"/>
          </w:tcPr>
          <w:p>
            <w:r/>
            <w:r>
              <w:rPr>
                <w:sz w:val="13"/>
              </w:rPr>
              <w:t>437950</w:t>
            </w:r>
          </w:p>
        </w:tc>
        <w:tc>
          <w:tcPr>
            <w:tcW w:type="dxa" w:w="1014"/>
          </w:tcPr>
          <w:p>
            <w:r/>
            <w:r>
              <w:rPr>
                <w:sz w:val="13"/>
              </w:rPr>
              <w:t>-0.540933</w:t>
            </w:r>
          </w:p>
        </w:tc>
        <w:tc>
          <w:tcPr>
            <w:tcW w:type="dxa" w:w="1014"/>
          </w:tcPr>
          <w:p>
            <w:r/>
            <w:r>
              <w:rPr>
                <w:sz w:val="13"/>
              </w:rPr>
              <w:t>1,346.51</w:t>
            </w:r>
          </w:p>
        </w:tc>
        <w:tc>
          <w:tcPr>
            <w:tcW w:type="dxa" w:w="1014"/>
          </w:tcPr>
          <w:p>
            <w:r/>
            <w:r>
              <w:rPr>
                <w:sz w:val="13"/>
              </w:rPr>
              <w:t>812.16</w:t>
            </w:r>
          </w:p>
        </w:tc>
        <w:tc>
          <w:tcPr>
            <w:tcW w:type="dxa" w:w="1014"/>
          </w:tcPr>
          <w:p>
            <w:r/>
            <w:r>
              <w:rPr>
                <w:sz w:val="13"/>
              </w:rPr>
              <w:t>1,082.90</w:t>
            </w:r>
          </w:p>
        </w:tc>
        <w:tc>
          <w:tcPr>
            <w:tcW w:type="dxa" w:w="1014"/>
          </w:tcPr>
          <w:p>
            <w:r/>
            <w:r>
              <w:rPr>
                <w:sz w:val="13"/>
              </w:rPr>
              <w:t>50 episodios completos</w:t>
            </w:r>
          </w:p>
        </w:tc>
      </w:tr>
      <w:tr>
        <w:tc>
          <w:tcPr>
            <w:tcW w:type="dxa" w:w="1014"/>
          </w:tcPr>
          <w:p>
            <w:r/>
            <w:r>
              <w:rPr>
                <w:sz w:val="13"/>
              </w:rPr>
              <w:t>MATD3</w:t>
            </w:r>
          </w:p>
        </w:tc>
        <w:tc>
          <w:tcPr>
            <w:tcW w:type="dxa" w:w="1014"/>
          </w:tcPr>
          <w:p>
            <w:r/>
            <w:r>
              <w:rPr>
                <w:sz w:val="13"/>
              </w:rPr>
              <w:t>E1</w:t>
            </w:r>
          </w:p>
        </w:tc>
        <w:tc>
          <w:tcPr>
            <w:tcW w:type="dxa" w:w="1014"/>
          </w:tcPr>
          <w:p>
            <w:r/>
            <w:r>
              <w:rPr>
                <w:sz w:val="13"/>
              </w:rPr>
              <w:t>50</w:t>
            </w:r>
          </w:p>
        </w:tc>
        <w:tc>
          <w:tcPr>
            <w:tcW w:type="dxa" w:w="1014"/>
          </w:tcPr>
          <w:p>
            <w:r/>
            <w:r>
              <w:rPr>
                <w:sz w:val="13"/>
              </w:rPr>
              <w:t>437988</w:t>
            </w:r>
          </w:p>
        </w:tc>
        <w:tc>
          <w:tcPr>
            <w:tcW w:type="dxa" w:w="1014"/>
          </w:tcPr>
          <w:p>
            <w:r/>
            <w:r>
              <w:rPr>
                <w:sz w:val="13"/>
              </w:rPr>
              <w:t>-0.633044</w:t>
            </w:r>
          </w:p>
        </w:tc>
        <w:tc>
          <w:tcPr>
            <w:tcW w:type="dxa" w:w="1014"/>
          </w:tcPr>
          <w:p>
            <w:r/>
            <w:r>
              <w:rPr>
                <w:sz w:val="13"/>
              </w:rPr>
              <w:t>1,253.46</w:t>
            </w:r>
          </w:p>
        </w:tc>
        <w:tc>
          <w:tcPr>
            <w:tcW w:type="dxa" w:w="1014"/>
          </w:tcPr>
          <w:p>
            <w:r/>
            <w:r>
              <w:rPr>
                <w:sz w:val="13"/>
              </w:rPr>
              <w:t>631.51</w:t>
            </w:r>
          </w:p>
        </w:tc>
        <w:tc>
          <w:tcPr>
            <w:tcW w:type="dxa" w:w="1014"/>
          </w:tcPr>
          <w:p>
            <w:r/>
            <w:r>
              <w:rPr>
                <w:sz w:val="13"/>
              </w:rPr>
              <w:t>1,129.24</w:t>
            </w:r>
          </w:p>
        </w:tc>
        <w:tc>
          <w:tcPr>
            <w:tcW w:type="dxa" w:w="1014"/>
          </w:tcPr>
          <w:p>
            <w:r/>
            <w:r>
              <w:rPr>
                <w:sz w:val="13"/>
              </w:rPr>
              <w:t>50 episodios completos</w:t>
            </w:r>
          </w:p>
        </w:tc>
      </w:tr>
      <w:tr>
        <w:tc>
          <w:tcPr>
            <w:tcW w:type="dxa" w:w="1014"/>
          </w:tcPr>
          <w:p>
            <w:r/>
            <w:r>
              <w:rPr>
                <w:sz w:val="13"/>
              </w:rPr>
              <w:t>MATD3</w:t>
            </w:r>
          </w:p>
        </w:tc>
        <w:tc>
          <w:tcPr>
            <w:tcW w:type="dxa" w:w="1014"/>
          </w:tcPr>
          <w:p>
            <w:r/>
            <w:r>
              <w:rPr>
                <w:sz w:val="13"/>
              </w:rPr>
              <w:t>E2</w:t>
            </w:r>
          </w:p>
        </w:tc>
        <w:tc>
          <w:tcPr>
            <w:tcW w:type="dxa" w:w="1014"/>
          </w:tcPr>
          <w:p>
            <w:r/>
            <w:r>
              <w:rPr>
                <w:sz w:val="13"/>
              </w:rPr>
              <w:t>50</w:t>
            </w:r>
          </w:p>
        </w:tc>
        <w:tc>
          <w:tcPr>
            <w:tcW w:type="dxa" w:w="1014"/>
          </w:tcPr>
          <w:p>
            <w:r/>
            <w:r>
              <w:rPr>
                <w:sz w:val="13"/>
              </w:rPr>
              <w:t>437988</w:t>
            </w:r>
          </w:p>
        </w:tc>
        <w:tc>
          <w:tcPr>
            <w:tcW w:type="dxa" w:w="1014"/>
          </w:tcPr>
          <w:p>
            <w:r/>
            <w:r>
              <w:rPr>
                <w:sz w:val="13"/>
              </w:rPr>
              <w:t>-0.533625</w:t>
            </w:r>
          </w:p>
        </w:tc>
        <w:tc>
          <w:tcPr>
            <w:tcW w:type="dxa" w:w="1014"/>
          </w:tcPr>
          <w:p>
            <w:r/>
            <w:r>
              <w:rPr>
                <w:sz w:val="13"/>
              </w:rPr>
              <w:t>1,257.21</w:t>
            </w:r>
          </w:p>
        </w:tc>
        <w:tc>
          <w:tcPr>
            <w:tcW w:type="dxa" w:w="1014"/>
          </w:tcPr>
          <w:p>
            <w:r/>
            <w:r>
              <w:rPr>
                <w:sz w:val="13"/>
              </w:rPr>
              <w:t>669.46</w:t>
            </w:r>
          </w:p>
        </w:tc>
        <w:tc>
          <w:tcPr>
            <w:tcW w:type="dxa" w:w="1014"/>
          </w:tcPr>
          <w:p>
            <w:r/>
            <w:r>
              <w:rPr>
                <w:sz w:val="13"/>
              </w:rPr>
              <w:t>1,132.19</w:t>
            </w:r>
          </w:p>
        </w:tc>
        <w:tc>
          <w:tcPr>
            <w:tcW w:type="dxa" w:w="1014"/>
          </w:tcPr>
          <w:p>
            <w:r/>
            <w:r>
              <w:rPr>
                <w:sz w:val="13"/>
              </w:rPr>
              <w:t>50 episodios completos</w:t>
            </w:r>
          </w:p>
        </w:tc>
      </w:tr>
      <w:tr>
        <w:tc>
          <w:tcPr>
            <w:tcW w:type="dxa" w:w="1014"/>
          </w:tcPr>
          <w:p>
            <w:r/>
            <w:r>
              <w:rPr>
                <w:sz w:val="13"/>
              </w:rPr>
              <w:t>MATD3</w:t>
            </w:r>
          </w:p>
        </w:tc>
        <w:tc>
          <w:tcPr>
            <w:tcW w:type="dxa" w:w="1014"/>
          </w:tcPr>
          <w:p>
            <w:r/>
            <w:r>
              <w:rPr>
                <w:sz w:val="13"/>
              </w:rPr>
              <w:t>E3</w:t>
            </w:r>
          </w:p>
        </w:tc>
        <w:tc>
          <w:tcPr>
            <w:tcW w:type="dxa" w:w="1014"/>
          </w:tcPr>
          <w:p>
            <w:r/>
            <w:r>
              <w:rPr>
                <w:sz w:val="13"/>
              </w:rPr>
              <w:t>50</w:t>
            </w:r>
          </w:p>
        </w:tc>
        <w:tc>
          <w:tcPr>
            <w:tcW w:type="dxa" w:w="1014"/>
          </w:tcPr>
          <w:p>
            <w:r/>
            <w:r>
              <w:rPr>
                <w:sz w:val="13"/>
              </w:rPr>
              <w:t>437988</w:t>
            </w:r>
          </w:p>
        </w:tc>
        <w:tc>
          <w:tcPr>
            <w:tcW w:type="dxa" w:w="1014"/>
          </w:tcPr>
          <w:p>
            <w:r/>
            <w:r>
              <w:rPr>
                <w:sz w:val="13"/>
              </w:rPr>
              <w:t>-0.550389</w:t>
            </w:r>
          </w:p>
        </w:tc>
        <w:tc>
          <w:tcPr>
            <w:tcW w:type="dxa" w:w="1014"/>
          </w:tcPr>
          <w:p>
            <w:r/>
            <w:r>
              <w:rPr>
                <w:sz w:val="13"/>
              </w:rPr>
              <w:t>1,255.88</w:t>
            </w:r>
          </w:p>
        </w:tc>
        <w:tc>
          <w:tcPr>
            <w:tcW w:type="dxa" w:w="1014"/>
          </w:tcPr>
          <w:p>
            <w:r/>
            <w:r>
              <w:rPr>
                <w:sz w:val="13"/>
              </w:rPr>
              <w:t>759.29</w:t>
            </w:r>
          </w:p>
        </w:tc>
        <w:tc>
          <w:tcPr>
            <w:tcW w:type="dxa" w:w="1014"/>
          </w:tcPr>
          <w:p>
            <w:r/>
            <w:r>
              <w:rPr>
                <w:sz w:val="13"/>
              </w:rPr>
              <w:t>1,131.14</w:t>
            </w:r>
          </w:p>
        </w:tc>
        <w:tc>
          <w:tcPr>
            <w:tcW w:type="dxa" w:w="1014"/>
          </w:tcPr>
          <w:p>
            <w:r/>
            <w:r>
              <w:rPr>
                <w:sz w:val="13"/>
              </w:rPr>
              <w:t>50 episodios completos</w:t>
            </w:r>
          </w:p>
        </w:tc>
      </w:tr>
    </w:tbl>
    <w:p/>
    <w:p>
      <w:pPr>
        <w:spacing w:after="120" w:line="276" w:lineRule="auto"/>
        <w:jc w:val="both"/>
      </w:pPr>
      <w:r>
        <w:t>Interpretacion directa de la tabla: los resultados de 50 episodios completos existen para MAAC, MASAC y MATD3 en los tres escenarios. HAPPO alcanza 49 episodios; reportarlo como 50 seria una alteracion de la evidencia. En lectura descriptiva distrital, el reporte real identifica el mayor reward medio en HAPPO-E2, el menor costo distrital medio en HAPPO-E2 y las menores emisiones distritales medias en HAPPO-E3. Sin embargo, estas conclusiones para HAPPO son distritales y no deben extenderse a KPIs por edificio ni a checkpoints.</w:t>
      </w:r>
    </w:p>
    <w:p>
      <w:pPr>
        <w:spacing w:after="120" w:line="276" w:lineRule="auto"/>
        <w:jc w:val="both"/>
      </w:pPr>
      <w:r>
        <w:t>Para comparaciones completas por edificio y reproducibilidad de modelos, la evidencia cerrada corresponde a MAAC, MASAC y MATD3. Las tablas building_kpis_all.csv, building_behavior_summary_all.csv, checkpoint_summary.csv y controlled_uncontrolled_equipment_by_building.csv preservan 17 edificios por corrida completa y 153 filas de equipamiento controlado/no controlado. Las figuras A.1-A.9 muestran la evidencia grafica generada desde timeseries.csv, trace.csv, building_kpis.csv y checkpoint_manifest.json reales.</w:t>
      </w:r>
    </w:p>
    <w:p>
      <w:pPr>
        <w:pStyle w:val="Heading1"/>
      </w:pPr>
      <w:r>
        <w:t>Capitulo 6. Conclusiones y trabajo futuro</w:t>
      </w:r>
    </w:p>
    <w:p>
      <w:pPr>
        <w:pStyle w:val="Heading2"/>
      </w:pPr>
      <w:r>
        <w:t>6.1 Conclusiones</w:t>
      </w:r>
    </w:p>
    <w:p>
      <w:pPr>
        <w:pStyle w:val="ListBullet"/>
        <w:jc w:val="both"/>
      </w:pPr>
      <w:r>
        <w:t>El OG se responde identificando a MATD3 como el MADRL de mayor efecto coordinado en Colab (score 0,6667).</w:t>
      </w:r>
    </w:p>
    <w:p>
      <w:pPr>
        <w:pStyle w:val="ListBullet"/>
        <w:jc w:val="both"/>
      </w:pPr>
      <w:r>
        <w:t>OE.1 y OE.2: MATD3 lidera flexibilidad compuesta y delta de CO2 en la corrida canonica.</w:t>
      </w:r>
    </w:p>
    <w:p>
      <w:pPr>
        <w:pStyle w:val="ListBullet"/>
        <w:jc w:val="both"/>
      </w:pPr>
      <w:r>
        <w:t>OE.3: MAAC presenta el menor delta de costo energetico (9 515 EUR vs 44 399 EUR de MATD3-E3).</w:t>
      </w:r>
    </w:p>
    <w:p>
      <w:pPr>
        <w:pStyle w:val="ListBullet"/>
        <w:jc w:val="both"/>
      </w:pPr>
      <w:r>
        <w:t>El benchmark unificado Dec-POMDP/CTDE sobre 17 edificios reales es reproducible y auditado.</w:t>
      </w:r>
    </w:p>
    <w:p>
      <w:pPr>
        <w:pStyle w:val="Heading2"/>
      </w:pPr>
      <w:r>
        <w:t>6.2 Limitaciones</w:t>
      </w:r>
    </w:p>
    <w:p>
      <w:pPr>
        <w:pStyle w:val="ListBullet"/>
        <w:jc w:val="both"/>
      </w:pPr>
      <w:r>
        <w:t>Semilla unica (seed 0); inferencia Colab pendiente; HAPPO sin KPIs finales.</w:t>
      </w:r>
    </w:p>
    <w:p>
      <w:pPr>
        <w:pStyle w:val="ListBullet"/>
        <w:jc w:val="both"/>
      </w:pPr>
      <w:r>
        <w:t>Simulacion sin validacion en red fisica; CityLearn v3 propuesto es extension experimental.</w:t>
      </w:r>
    </w:p>
    <w:p>
      <w:pPr>
        <w:pStyle w:val="Heading2"/>
      </w:pPr>
      <w:r>
        <w:t>6.3 Trabajo futuro</w:t>
      </w:r>
    </w:p>
    <w:p>
      <w:pPr>
        <w:pStyle w:val="ListBullet"/>
        <w:jc w:val="both"/>
      </w:pPr>
      <w:r>
        <w:t>Multi-semilla, re-evaluacion HAPPO, pruebas Dunn/Wilcoxon con correccion Bonferroni.</w:t>
      </w:r>
    </w:p>
    <w:p>
      <w:pPr>
        <w:pStyle w:val="ListBullet"/>
        <w:jc w:val="both"/>
      </w:pPr>
      <w:r>
        <w:t>HPO Optuna y transferencia a otros sistemas aislados peruanos.</w:t>
      </w:r>
    </w:p>
    <w:p>
      <w:r>
        <w:br w:type="page"/>
      </w:r>
    </w:p>
    <w:p>
      <w:r>
        <w:br w:type="page"/>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