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permite formalizar decision cooperativa con informacion local incompleta. Oliehoek y Amato (2016) lo definen como una estructura donde multiples agentes comparten una recompensa o criterio cooperativo, pero cada uno recibe observaciones parciales. Esta tesis adopta esa formulacion porque ningun edificio observa completamente el estado interno de los otros edificios durante la ejecucion. Cada agente observa su demanda, PV, BESS, EV, precio, intensidad de carbono y variables locales, pero no controla ni observa directamente las acciones internas de los demas.</w:t>
      </w:r>
    </w:p>
    <w:p>
      <w:pPr>
        <w:spacing w:after="120" w:line="276" w:lineRule="auto"/>
        <w:jc w:val="both"/>
      </w:pPr>
      <w:r>
        <w:t>La tupla teorica usada es M = &lt;S, {A_i}, T, R, {O_i}, Omega, gamma, T&gt;. S representa el estado global concatenado de las observaciones; A_i es el espacio de accion local de cada edificio; T describe la transicion energetica; R es la recompensa cooperativa; O_i son observaciones locales; Omega es la funcion de observacion; gamma es el factor de descuento; y T el horizonte temporal. Esta formalizacion conecta el marco teorico con la arquitectura del Capitulo 4, donde los 17 edificios del SEAI Iquitos se convierten en agentes.</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5.4 Comparacion con linea base CityLearn v2</w:t>
      </w:r>
    </w:p>
    <w:p>
      <w:pPr>
        <w:jc w:val="both"/>
      </w:pPr>
      <w:r>
        <w:rPr>
          <w:b w:val="0"/>
          <w:i w:val="0"/>
        </w:rPr>
        <w:t>Se contrastan los MADRL seleccionados (MATD3, MAAC, MASAC) frente a los agentes baseline y hour_rbc de CityLearn v2 original, con los 54 KPI normalizados y score global HPHI ponderado (pesos 0,34/0,33/0,33 por eje). Fuente: outputs/madrl_v3_20260627_164047/resumen_comparativo/citylearn_v2_baseline/. Hallazgo central: el baseline RBC supera a todos los MADRL en score global en E1, E2 y E3; esto no invalida el benchmark metodologico, pero matiza las conclusiones causales.</w:t>
      </w:r>
    </w:p>
    <w:p>
      <w:r>
        <w:rPr>
          <w:b/>
          <w:color w:val="595959"/>
          <w:sz w:val="19"/>
        </w:rPr>
        <w:t>Tabla 5.4. Ranking global HPHI: CityLearn v2 vs MADRL (ranking_global_weighted.csv).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Escenario</w:t>
            </w:r>
          </w:p>
        </w:tc>
        <w:tc>
          <w:tcPr>
            <w:tcW w:type="dxa" w:w="1417"/>
            <w:shd w:val="clear" w:color="auto" w:fill="1F4E79"/>
          </w:tcPr>
          <w:p>
            <w:r/>
            <w:r>
              <w:rPr>
                <w:b/>
                <w:color w:val="FFFFFF"/>
                <w:sz w:val="18"/>
              </w:rPr>
              <w:t>1.o global</w:t>
            </w:r>
          </w:p>
        </w:tc>
        <w:tc>
          <w:tcPr>
            <w:tcW w:type="dxa" w:w="1134"/>
            <w:shd w:val="clear" w:color="auto" w:fill="1F4E79"/>
          </w:tcPr>
          <w:p>
            <w:r/>
            <w:r>
              <w:rPr>
                <w:b/>
                <w:color w:val="FFFFFF"/>
                <w:sz w:val="18"/>
              </w:rPr>
              <w:t>Score</w:t>
            </w:r>
          </w:p>
        </w:tc>
        <w:tc>
          <w:tcPr>
            <w:tcW w:type="dxa" w:w="1417"/>
            <w:shd w:val="clear" w:color="auto" w:fill="1F4E79"/>
          </w:tcPr>
          <w:p>
            <w:r/>
            <w:r>
              <w:rPr>
                <w:b/>
                <w:color w:val="FFFFFF"/>
                <w:sz w:val="18"/>
              </w:rPr>
              <w:t>2.o</w:t>
            </w:r>
          </w:p>
        </w:tc>
        <w:tc>
          <w:tcPr>
            <w:tcW w:type="dxa" w:w="1134"/>
            <w:shd w:val="clear" w:color="auto" w:fill="1F4E79"/>
          </w:tcPr>
          <w:p>
            <w:r/>
            <w:r>
              <w:rPr>
                <w:b/>
                <w:color w:val="FFFFFF"/>
                <w:sz w:val="18"/>
              </w:rPr>
              <w:t>Score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r>
      <w:tr>
        <w:tc>
          <w:tcPr>
            <w:tcW w:type="dxa" w:w="850"/>
          </w:tcPr>
          <w:p>
            <w:r/>
            <w:r>
              <w:rPr>
                <w:sz w:val="18"/>
              </w:rPr>
              <w:t>E1</w:t>
            </w:r>
          </w:p>
        </w:tc>
        <w:tc>
          <w:tcPr>
            <w:tcW w:type="dxa" w:w="1417"/>
          </w:tcPr>
          <w:p>
            <w:r/>
            <w:r>
              <w:rPr>
                <w:sz w:val="18"/>
              </w:rPr>
              <w:t>baseline v2</w:t>
            </w:r>
          </w:p>
        </w:tc>
        <w:tc>
          <w:tcPr>
            <w:tcW w:type="dxa" w:w="1134"/>
          </w:tcPr>
          <w:p>
            <w:r/>
            <w:r>
              <w:rPr>
                <w:sz w:val="18"/>
              </w:rPr>
              <w:t>0,7289</w:t>
            </w:r>
          </w:p>
        </w:tc>
        <w:tc>
          <w:tcPr>
            <w:tcW w:type="dxa" w:w="1417"/>
          </w:tcPr>
          <w:p>
            <w:r/>
            <w:r>
              <w:rPr>
                <w:sz w:val="18"/>
              </w:rPr>
              <w:t>hour_rbc</w:t>
            </w:r>
          </w:p>
        </w:tc>
        <w:tc>
          <w:tcPr>
            <w:tcW w:type="dxa" w:w="1134"/>
          </w:tcPr>
          <w:p>
            <w:r/>
            <w:r>
              <w:rPr>
                <w:sz w:val="18"/>
              </w:rPr>
              <w:t>0,6821</w:t>
            </w:r>
          </w:p>
        </w:tc>
        <w:tc>
          <w:tcPr>
            <w:tcW w:type="dxa" w:w="1417"/>
          </w:tcPr>
          <w:p>
            <w:r/>
            <w:r>
              <w:rPr>
                <w:sz w:val="18"/>
              </w:rPr>
              <w:t>MAAC</w:t>
            </w:r>
          </w:p>
        </w:tc>
        <w:tc>
          <w:tcPr>
            <w:tcW w:type="dxa" w:w="1417"/>
          </w:tcPr>
          <w:p>
            <w:r/>
            <w:r>
              <w:rPr>
                <w:sz w:val="18"/>
              </w:rPr>
              <w:t>0,4481</w:t>
            </w:r>
          </w:p>
        </w:tc>
      </w:tr>
      <w:tr>
        <w:tc>
          <w:tcPr>
            <w:tcW w:type="dxa" w:w="850"/>
          </w:tcPr>
          <w:p>
            <w:r/>
            <w:r>
              <w:rPr>
                <w:sz w:val="18"/>
              </w:rPr>
              <w:t>E2</w:t>
            </w:r>
          </w:p>
        </w:tc>
        <w:tc>
          <w:tcPr>
            <w:tcW w:type="dxa" w:w="1417"/>
          </w:tcPr>
          <w:p>
            <w:r/>
            <w:r>
              <w:rPr>
                <w:sz w:val="18"/>
              </w:rPr>
              <w:t>baseline v2</w:t>
            </w:r>
          </w:p>
        </w:tc>
        <w:tc>
          <w:tcPr>
            <w:tcW w:type="dxa" w:w="1134"/>
          </w:tcPr>
          <w:p>
            <w:r/>
            <w:r>
              <w:rPr>
                <w:sz w:val="18"/>
              </w:rPr>
              <w:t>0,7866</w:t>
            </w:r>
          </w:p>
        </w:tc>
        <w:tc>
          <w:tcPr>
            <w:tcW w:type="dxa" w:w="1417"/>
          </w:tcPr>
          <w:p>
            <w:r/>
            <w:r>
              <w:rPr>
                <w:sz w:val="18"/>
              </w:rPr>
              <w:t>hour_rbc</w:t>
            </w:r>
          </w:p>
        </w:tc>
        <w:tc>
          <w:tcPr>
            <w:tcW w:type="dxa" w:w="1134"/>
          </w:tcPr>
          <w:p>
            <w:r/>
            <w:r>
              <w:rPr>
                <w:sz w:val="18"/>
              </w:rPr>
              <w:t>0,6551</w:t>
            </w:r>
          </w:p>
        </w:tc>
        <w:tc>
          <w:tcPr>
            <w:tcW w:type="dxa" w:w="1417"/>
          </w:tcPr>
          <w:p>
            <w:r/>
            <w:r>
              <w:rPr>
                <w:sz w:val="18"/>
              </w:rPr>
              <w:t>MATD3</w:t>
            </w:r>
          </w:p>
        </w:tc>
        <w:tc>
          <w:tcPr>
            <w:tcW w:type="dxa" w:w="1417"/>
          </w:tcPr>
          <w:p>
            <w:r/>
            <w:r>
              <w:rPr>
                <w:sz w:val="18"/>
              </w:rPr>
              <w:t>0,3813</w:t>
            </w:r>
          </w:p>
        </w:tc>
      </w:tr>
      <w:tr>
        <w:tc>
          <w:tcPr>
            <w:tcW w:type="dxa" w:w="850"/>
          </w:tcPr>
          <w:p>
            <w:r/>
            <w:r>
              <w:rPr>
                <w:sz w:val="18"/>
              </w:rPr>
              <w:t>E3</w:t>
            </w:r>
          </w:p>
        </w:tc>
        <w:tc>
          <w:tcPr>
            <w:tcW w:type="dxa" w:w="1417"/>
          </w:tcPr>
          <w:p>
            <w:r/>
            <w:r>
              <w:rPr>
                <w:sz w:val="18"/>
              </w:rPr>
              <w:t>baseline v2</w:t>
            </w:r>
          </w:p>
        </w:tc>
        <w:tc>
          <w:tcPr>
            <w:tcW w:type="dxa" w:w="1134"/>
          </w:tcPr>
          <w:p>
            <w:r/>
            <w:r>
              <w:rPr>
                <w:sz w:val="18"/>
              </w:rPr>
              <w:t>0,7293</w:t>
            </w:r>
          </w:p>
        </w:tc>
        <w:tc>
          <w:tcPr>
            <w:tcW w:type="dxa" w:w="1417"/>
          </w:tcPr>
          <w:p>
            <w:r/>
            <w:r>
              <w:rPr>
                <w:sz w:val="18"/>
              </w:rPr>
              <w:t>hour_rbc</w:t>
            </w:r>
          </w:p>
        </w:tc>
        <w:tc>
          <w:tcPr>
            <w:tcW w:type="dxa" w:w="1134"/>
          </w:tcPr>
          <w:p>
            <w:r/>
            <w:r>
              <w:rPr>
                <w:sz w:val="18"/>
              </w:rPr>
              <w:t>0,6823</w:t>
            </w:r>
          </w:p>
        </w:tc>
        <w:tc>
          <w:tcPr>
            <w:tcW w:type="dxa" w:w="1417"/>
          </w:tcPr>
          <w:p>
            <w:r/>
            <w:r>
              <w:rPr>
                <w:sz w:val="18"/>
              </w:rPr>
              <w:t>MAAC</w:t>
            </w:r>
          </w:p>
        </w:tc>
        <w:tc>
          <w:tcPr>
            <w:tcW w:type="dxa" w:w="1417"/>
          </w:tcPr>
          <w:p>
            <w:r/>
            <w:r>
              <w:rPr>
                <w:sz w:val="18"/>
              </w:rPr>
              <w:t>0,4085</w:t>
            </w:r>
          </w:p>
        </w:tc>
      </w:tr>
    </w:tbl>
    <w:p/>
    <w:p>
      <w:pPr>
        <w:jc w:val="both"/>
      </w:pPr>
      <w:r>
        <w:rPr>
          <w:b w:val="0"/>
          <w:i w:val="0"/>
        </w:rPr>
        <w:t>En los tres escenarios, baseline y hour_rbc ocupan los dos primeros puestos. Entre MADRL, MATD3 lidera en E2 y MAAC en E1/E3 segun score global, coherente con Tabla 5.2 pero por debajo de controles basados en reglas. Nweye et al. (2024) reportan que politicas RBC bien calibradas son competidoras fuertes con presupuestos de entrenamiento limitados.</w:t>
      </w:r>
    </w:p>
    <w:p>
      <w:r>
        <w:drawing>
          <wp:inline xmlns:a="http://schemas.openxmlformats.org/drawingml/2006/main" xmlns:pic="http://schemas.openxmlformats.org/drawingml/2006/picture">
            <wp:extent cx="5040000" cy="1800000"/>
            <wp:docPr id="1" name="Picture 1"/>
            <wp:cNvGraphicFramePr>
              <a:graphicFrameLocks noChangeAspect="1"/>
            </wp:cNvGraphicFramePr>
            <a:graphic>
              <a:graphicData uri="http://schemas.openxmlformats.org/drawingml/2006/picture">
                <pic:pic>
                  <pic:nvPicPr>
                    <pic:cNvPr id="0" name="baseline_gain_heatmap.png"/>
                    <pic:cNvPicPr/>
                  </pic:nvPicPr>
                  <pic:blipFill>
                    <a:blip r:embed="rId9"/>
                    <a:stretch>
                      <a:fillRect/>
                    </a:stretch>
                  </pic:blipFill>
                  <pic:spPr>
                    <a:xfrm>
                      <a:off x="0" y="0"/>
                      <a:ext cx="5040000" cy="1800000"/>
                    </a:xfrm>
                    <a:prstGeom prst="rect"/>
                  </pic:spPr>
                </pic:pic>
              </a:graphicData>
            </a:graphic>
          </wp:inline>
        </w:drawing>
      </w:r>
    </w:p>
    <w:p>
      <w:pPr>
        <w:jc w:val="center"/>
      </w:pPr>
      <w:r>
        <w:rPr>
          <w:i/>
          <w:color w:val="595959"/>
          <w:sz w:val="18"/>
        </w:rPr>
        <w:t>Mapa de ganancia vs baseline — escenario E1 (citylearn_v2_baseline/E1/baseline_gain_heatmap.png).</w:t>
      </w:r>
    </w:p>
    <w:p/>
    <w:p>
      <w:r>
        <w:drawing>
          <wp:inline xmlns:a="http://schemas.openxmlformats.org/drawingml/2006/main" xmlns:pic="http://schemas.openxmlformats.org/drawingml/2006/picture">
            <wp:extent cx="5040000" cy="1800000"/>
            <wp:docPr id="2" name="Picture 2"/>
            <wp:cNvGraphicFramePr>
              <a:graphicFrameLocks noChangeAspect="1"/>
            </wp:cNvGraphicFramePr>
            <a:graphic>
              <a:graphicData uri="http://schemas.openxmlformats.org/drawingml/2006/picture">
                <pic:pic>
                  <pic:nvPicPr>
                    <pic:cNvPr id="0" name="baseline_gain_heatmap.png"/>
                    <pic:cNvPicPr/>
                  </pic:nvPicPr>
                  <pic:blipFill>
                    <a:blip r:embed="rId10"/>
                    <a:stretch>
                      <a:fillRect/>
                    </a:stretch>
                  </pic:blipFill>
                  <pic:spPr>
                    <a:xfrm>
                      <a:off x="0" y="0"/>
                      <a:ext cx="5040000" cy="1800000"/>
                    </a:xfrm>
                    <a:prstGeom prst="rect"/>
                  </pic:spPr>
                </pic:pic>
              </a:graphicData>
            </a:graphic>
          </wp:inline>
        </w:drawing>
      </w:r>
    </w:p>
    <w:p>
      <w:pPr>
        <w:jc w:val="center"/>
      </w:pPr>
      <w:r>
        <w:rPr>
          <w:i/>
          <w:color w:val="595959"/>
          <w:sz w:val="18"/>
        </w:rPr>
        <w:t>Mapa de ganancia vs baseline — escenario E2 (citylearn_v2_baseline/E2/baseline_gain_heatmap.png).</w:t>
      </w:r>
    </w:p>
    <w:p/>
    <w:p>
      <w:r>
        <w:drawing>
          <wp:inline xmlns:a="http://schemas.openxmlformats.org/drawingml/2006/main" xmlns:pic="http://schemas.openxmlformats.org/drawingml/2006/picture">
            <wp:extent cx="5040000" cy="1800000"/>
            <wp:docPr id="3" name="Picture 3"/>
            <wp:cNvGraphicFramePr>
              <a:graphicFrameLocks noChangeAspect="1"/>
            </wp:cNvGraphicFramePr>
            <a:graphic>
              <a:graphicData uri="http://schemas.openxmlformats.org/drawingml/2006/picture">
                <pic:pic>
                  <pic:nvPicPr>
                    <pic:cNvPr id="0" name="baseline_gain_heatmap.png"/>
                    <pic:cNvPicPr/>
                  </pic:nvPicPr>
                  <pic:blipFill>
                    <a:blip r:embed="rId11"/>
                    <a:stretch>
                      <a:fillRect/>
                    </a:stretch>
                  </pic:blipFill>
                  <pic:spPr>
                    <a:xfrm>
                      <a:off x="0" y="0"/>
                      <a:ext cx="5040000" cy="1800000"/>
                    </a:xfrm>
                    <a:prstGeom prst="rect"/>
                  </pic:spPr>
                </pic:pic>
              </a:graphicData>
            </a:graphic>
          </wp:inline>
        </w:drawing>
      </w:r>
    </w:p>
    <w:p>
      <w:pPr>
        <w:jc w:val="center"/>
      </w:pPr>
      <w:r>
        <w:rPr>
          <w:i/>
          <w:color w:val="595959"/>
          <w:sz w:val="18"/>
        </w:rPr>
        <w:t>Mapa de ganancia vs baseline — escenario E3 (citylearn_v2_baseline/E3/baseline_gain_heatmap.png).</w:t>
      </w:r>
    </w:p>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4" name="Picture 4"/>
            <wp:cNvGraphicFramePr>
              <a:graphicFrameLocks noChangeAspect="1"/>
            </wp:cNvGraphicFramePr>
            <a:graphic>
              <a:graphicData uri="http://schemas.openxmlformats.org/drawingml/2006/picture">
                <pic:pic>
                  <pic:nvPicPr>
                    <pic:cNvPr id="0" name="comparativo_E1_convergence_reward_mean.png"/>
                    <pic:cNvPicPr/>
                  </pic:nvPicPr>
                  <pic:blipFill>
                    <a:blip r:embed="rId12"/>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Pr>
        <w:jc w:val="both"/>
      </w:pPr>
      <w:r>
        <w:t>La Figura 5.1 muestra la evolucion de reward_mean en E1. MATD3 y MAAC convergen hacia valores estables tras ~20 episodios; MASAC presenta mayor varianza inter-episodio. El patron respalda OE.1 al evidenciar aprendizaje de flexibilidad bajo pesos [0,70; 0,15; 0,15].</w:t>
      </w:r>
    </w:p>
    <w:p/>
    <w:p>
      <w:r>
        <w:br w:type="page"/>
      </w:r>
    </w:p>
    <w:p>
      <w:r>
        <w:drawing>
          <wp:inline xmlns:a="http://schemas.openxmlformats.org/drawingml/2006/main" xmlns:pic="http://schemas.openxmlformats.org/drawingml/2006/picture">
            <wp:extent cx="5580000" cy="2536364"/>
            <wp:docPr id="5" name="Picture 5"/>
            <wp:cNvGraphicFramePr>
              <a:graphicFrameLocks noChangeAspect="1"/>
            </wp:cNvGraphicFramePr>
            <a:graphic>
              <a:graphicData uri="http://schemas.openxmlformats.org/drawingml/2006/picture">
                <pic:pic>
                  <pic:nvPicPr>
                    <pic:cNvPr id="0" name="comparativo_E2_convergence_reward_mean.png"/>
                    <pic:cNvPicPr/>
                  </pic:nvPicPr>
                  <pic:blipFill>
                    <a:blip r:embed="rId13"/>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Pr>
        <w:jc w:val="both"/>
      </w:pPr>
      <w:r>
        <w:t>En E2 (Figura 5.2), las curvas de reward_mean reflejan el eje de emisiones. MATD3 mantiene la trayectoria mas alta al cierre (50 ep), coherente con su liderazgo en delta CO2 de distrito (Tabla 5.3).</w:t>
      </w:r>
    </w:p>
    <w:p/>
    <w:p>
      <w:r>
        <w:br w:type="page"/>
      </w:r>
    </w:p>
    <w:p>
      <w:r>
        <w:drawing>
          <wp:inline xmlns:a="http://schemas.openxmlformats.org/drawingml/2006/main" xmlns:pic="http://schemas.openxmlformats.org/drawingml/2006/picture">
            <wp:extent cx="5580000" cy="2536364"/>
            <wp:docPr id="6" name="Picture 6"/>
            <wp:cNvGraphicFramePr>
              <a:graphicFrameLocks noChangeAspect="1"/>
            </wp:cNvGraphicFramePr>
            <a:graphic>
              <a:graphicData uri="http://schemas.openxmlformats.org/drawingml/2006/picture">
                <pic:pic>
                  <pic:nvPicPr>
                    <pic:cNvPr id="0" name="comparativo_E3_convergence_reward_mean.png"/>
                    <pic:cNvPicPr/>
                  </pic:nvPicPr>
                  <pic:blipFill>
                    <a:blip r:embed="rId14"/>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Pr>
        <w:jc w:val="both"/>
      </w:pPr>
      <w:r>
        <w:t>La Figura 5.3 (E3) exhibe convergencia mas lenta en costos; MAAC alcanza reward competitivo, alineado con su menor delta de costo energetico (9 515 EUR).</w:t>
      </w:r>
    </w:p>
    <w:p/>
    <w:p>
      <w:r>
        <w:br w:type="page"/>
      </w:r>
    </w:p>
    <w:p>
      <w:r>
        <w:drawing>
          <wp:inline xmlns:a="http://schemas.openxmlformats.org/drawingml/2006/main" xmlns:pic="http://schemas.openxmlformats.org/drawingml/2006/picture">
            <wp:extent cx="5580000" cy="2146154"/>
            <wp:docPr id="7" name="Picture 7"/>
            <wp:cNvGraphicFramePr>
              <a:graphicFrameLocks noChangeAspect="1"/>
            </wp:cNvGraphicFramePr>
            <a:graphic>
              <a:graphicData uri="http://schemas.openxmlformats.org/drawingml/2006/picture">
                <pic:pic>
                  <pic:nvPicPr>
                    <pic:cNvPr id="0" name="comparativo_global_ranking_oe.png"/>
                    <pic:cNvPicPr/>
                  </pic:nvPicPr>
                  <pic:blipFill>
                    <a:blip r:embed="rId15"/>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Pr>
        <w:jc w:val="both"/>
      </w:pPr>
      <w:r>
        <w:t>La Figura 5.4 sintetiza el ranking global por eje OE1/OE2/OE3. MATD3 lidera dos ejes y obtiene score global 0,6667 (Tabla 5.2); la dispersion entre algoritmos es visible pero no alcanza significancia inferencial global (KW p=0,155).</w:t>
      </w:r>
    </w:p>
    <w:p/>
    <w:p>
      <w:r>
        <w:br w:type="page"/>
      </w:r>
    </w:p>
    <w:p>
      <w:r>
        <w:drawing>
          <wp:inline xmlns:a="http://schemas.openxmlformats.org/drawingml/2006/main" xmlns:pic="http://schemas.openxmlformats.org/drawingml/2006/picture">
            <wp:extent cx="5580000" cy="2232000"/>
            <wp:docPr id="8" name="Picture 8"/>
            <wp:cNvGraphicFramePr>
              <a:graphicFrameLocks noChangeAspect="1"/>
            </wp:cNvGraphicFramePr>
            <a:graphic>
              <a:graphicData uri="http://schemas.openxmlformats.org/drawingml/2006/picture">
                <pic:pic>
                  <pic:nvPicPr>
                    <pic:cNvPr id="0" name="comparativo_best_worst_por_escenario.png"/>
                    <pic:cNvPicPr/>
                  </pic:nvPicPr>
                  <pic:blipFill>
                    <a:blip r:embed="rId16"/>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Pr>
        <w:jc w:val="both"/>
      </w:pPr>
      <w:r>
        <w:t>La Figura 5.5 contrasta el mejor y peor MADRL por escenario. En E2 y E3 MATD3 aparece como mejor; en E1 MAAC supera a MASAC, evidenciando sensibilidad al vector de pesos.</w:t>
      </w:r>
    </w:p>
    <w:p/>
    <w:p>
      <w:r>
        <w:br w:type="page"/>
      </w:r>
    </w:p>
    <w:p>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comparativo_E1_OE1_kpi.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Pr>
        <w:jc w:val="both"/>
      </w:pPr>
      <w:r>
        <w:t>La Figura 5.6 detalla KPI de flexibilidad en E1. MATD3 presenta flex_composite superior en la corrida canonica, aunque el baseline CityLearn v2 conserva ventaja global (seccion 5.4).</w:t>
      </w:r>
    </w:p>
    <w:p/>
    <w:p>
      <w:r>
        <w:br w:type="page"/>
      </w:r>
    </w:p>
    <w:p>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comparativo_E2_OE2_kpi.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Pr>
        <w:jc w:val="both"/>
      </w:pPr>
      <w:r>
        <w:t>La Figura 5.7 muestra emisiones CO2 en E2. MATD3 reduce delta de carbono a 23 070 kg en distrito, el mejor valor MADRL auditado en Drive.</w:t>
      </w:r>
    </w:p>
    <w:p/>
    <w:p>
      <w:r>
        <w:br w:type="page"/>
      </w:r>
    </w:p>
    <w:p>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comparativo_E3_OE3_kpi.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Pr>
        <w:jc w:val="both"/>
      </w:pPr>
      <w:r>
        <w:t>La Figura 5.8 reporta costos en E3. MAAC minimiza delta de costo frente a MATD3 (9 515 vs 44 399 EUR), matizando la seleccion global hacia MATD3.</w:t>
      </w:r>
    </w:p>
    <w:p/>
    <w:p>
      <w:r>
        <w:br w:type="page"/>
      </w:r>
    </w:p>
    <w:p>
      <w:r>
        <w:drawing>
          <wp:inline xmlns:a="http://schemas.openxmlformats.org/drawingml/2006/main" xmlns:pic="http://schemas.openxmlformats.org/drawingml/2006/picture">
            <wp:extent cx="5580000" cy="2325000"/>
            <wp:docPr id="12" name="Picture 12"/>
            <wp:cNvGraphicFramePr>
              <a:graphicFrameLocks noChangeAspect="1"/>
            </wp:cNvGraphicFramePr>
            <a:graphic>
              <a:graphicData uri="http://schemas.openxmlformats.org/drawingml/2006/picture">
                <pic:pic>
                  <pic:nvPicPr>
                    <pic:cNvPr id="0" name="comparativo_E2_control_trace.png"/>
                    <pic:cNvPicPr/>
                  </pic:nvPicPr>
                  <pic:blipFill>
                    <a:blip r:embed="rId20"/>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Pr>
        <w:jc w:val="both"/>
      </w:pPr>
      <w:r>
        <w:t>La Figura 5.9 presenta trazas de control MADRL por edificio (trace.csv, E2). Se observa heterogeneidad entre B06 (32 EV) y edificios con menor flota, coherente con la variabilidad estructural del SEAI.</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5.5. Inventario multiobjetivo (extracto B01–B08; completo en anexo 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3" name="Picture 13"/>
            <wp:cNvGraphicFramePr>
              <a:graphicFrameLocks noChangeAspect="1"/>
            </wp:cNvGraphicFramePr>
            <a:graphic>
              <a:graphicData uri="http://schemas.openxmlformats.org/drawingml/2006/picture">
                <pic:pic>
                  <pic:nvPicPr>
                    <pic:cNvPr id="0" name="drive_district_objectives.png"/>
                    <pic:cNvPicPr/>
                  </pic:nvPicPr>
                  <pic:blipFill>
                    <a:blip r:embed="rId21"/>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Pr>
        <w:jc w:val="both"/>
      </w:pPr>
      <w:r>
        <w:t>La Figura 5.10 agrega objetivos multiobjetivo a nivel distrito. MATD3 domina flexibilidad y CO2; MAAC destaca en costo, confirmando trade-offs entre ejes.</w:t>
      </w:r>
    </w:p>
    <w:p/>
    <w:p>
      <w:r>
        <w:br w:type="page"/>
      </w:r>
    </w:p>
    <w:p>
      <w:r>
        <w:drawing>
          <wp:inline xmlns:a="http://schemas.openxmlformats.org/drawingml/2006/main" xmlns:pic="http://schemas.openxmlformats.org/drawingml/2006/picture">
            <wp:extent cx="5580000" cy="697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2"/>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Pr>
        <w:jc w:val="both"/>
      </w:pPr>
      <w:r>
        <w:t>La Figura 5.11 desagrega flexibilidad por edificio (E1). Edificios con mayor capacidad BESS/PV muestran mayor margen de mejora relativa.</w:t>
      </w:r>
    </w:p>
    <w:p/>
    <w:p>
      <w:r>
        <w:br w:type="page"/>
      </w:r>
    </w:p>
    <w:p>
      <w:r>
        <w:drawing>
          <wp:inline xmlns:a="http://schemas.openxmlformats.org/drawingml/2006/main" xmlns:pic="http://schemas.openxmlformats.org/drawingml/2006/picture">
            <wp:extent cx="5580000" cy="6975000"/>
            <wp:docPr id="15" name="Picture 15"/>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3"/>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Pr>
        <w:jc w:val="both"/>
      </w:pPr>
      <w:r>
        <w:t>La Figura 5.12 muestra delta CO2 por edificio (E2). La reduccion no es uniforme: hospitales y malls concentran mayor impacto absoluto.</w:t>
      </w:r>
    </w:p>
    <w:p/>
    <w:p>
      <w:r>
        <w:br w:type="page"/>
      </w:r>
    </w:p>
    <w:p>
      <w:r>
        <w:drawing>
          <wp:inline xmlns:a="http://schemas.openxmlformats.org/drawingml/2006/main" xmlns:pic="http://schemas.openxmlformats.org/drawingml/2006/picture">
            <wp:extent cx="5580000" cy="6975000"/>
            <wp:docPr id="16" name="Picture 16"/>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4"/>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Pr>
        <w:jc w:val="both"/>
      </w:pPr>
      <w:r>
        <w:t>La Figura 5.13 presenta delta de costo por edificio (E3). MAAC obtiene valores inferiores en varios edificios institucionales con perfil diurno estable.</w:t>
      </w:r>
    </w:p>
    <w:p/>
    <w:p>
      <w:r>
        <w:br w:type="page"/>
      </w:r>
    </w:p>
    <w:p>
      <w:r>
        <w:drawing>
          <wp:inline xmlns:a="http://schemas.openxmlformats.org/drawingml/2006/main" xmlns:pic="http://schemas.openxmlformats.org/drawingml/2006/picture">
            <wp:extent cx="5580000" cy="1992857"/>
            <wp:docPr id="17" name="Picture 17"/>
            <wp:cNvGraphicFramePr>
              <a:graphicFrameLocks noChangeAspect="1"/>
            </wp:cNvGraphicFramePr>
            <a:graphic>
              <a:graphicData uri="http://schemas.openxmlformats.org/drawingml/2006/picture">
                <pic:pic>
                  <pic:nvPicPr>
                    <pic:cNvPr id="0" name="drive_building_ev_inventory.png"/>
                    <pic:cNvPicPr/>
                  </pic:nvPicPr>
                  <pic:blipFill>
                    <a:blip r:embed="rId25"/>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Pr>
        <w:jc w:val="both"/>
      </w:pPr>
      <w:r>
        <w:t>La Figura 5.14 inventaria 185 cargadores EV. B07 (UNAP, 42) y B06 (Mall, 32) concentran la complejidad de accion del entorno multiagente.</w:t>
      </w:r>
    </w:p>
    <w:p/>
    <w:p>
      <w:r>
        <w:br w:type="page"/>
      </w:r>
    </w:p>
    <w:p>
      <w:r>
        <w:drawing>
          <wp:inline xmlns:a="http://schemas.openxmlformats.org/drawingml/2006/main" xmlns:pic="http://schemas.openxmlformats.org/drawingml/2006/picture">
            <wp:extent cx="5580000" cy="1992857"/>
            <wp:docPr id="18" name="Picture 18"/>
            <wp:cNvGraphicFramePr>
              <a:graphicFrameLocks noChangeAspect="1"/>
            </wp:cNvGraphicFramePr>
            <a:graphic>
              <a:graphicData uri="http://schemas.openxmlformats.org/drawingml/2006/picture">
                <pic:pic>
                  <pic:nvPicPr>
                    <pic:cNvPr id="0" name="drive_building_ev_success_matd3_e2.png"/>
                    <pic:cNvPicPr/>
                  </pic:nvPicPr>
                  <pic:blipFill>
                    <a:blip r:embed="rId26"/>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Pr>
        <w:jc w:val="both"/>
      </w:pPr>
      <w:r>
        <w:t>La Figura 5.15 reporta exito de carga EV con MATD3/E2. Las tasas varian entre 3,9% y 48,2% segun edificio (descriptivo_distrito_colab.csv), indicando margen de mejora en cumplimiento de restricciones de salida.</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5.6. Contrastacion inferencial Colab vs referencia local v4.</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La evidencia descriptiva de la corrida canonica identifica a MATD3 como el MADRL de mayor efecto coordinado (score 0,6667), con liderazgo en flexibilidad y CO2 y MAAC competitivo en costos. Sin embargo, tres matices condicionan la lectura doctoral. Primero, Kruskal-Wallis global no alcanza significancia (p=0,155), por lo que HG no se confirma inferencialmente con una semilla; Wilcoxon MASAC vs MATD3 (p=0,0049) es exploratorio y no sustituye el contraste factorial completo. Segundo, la seccion 5.4 demuestra que baseline y hour_rbc de CityLearn v2 superan a los MADRL en score global HPHI en los tres escenarios, coherente con Nweye et al. (2024) sobre la competitividad de controles basados en reglas. Tercero, HAPPO queda excluido de inferencia por ausencia de KPIs finales (49/50 ep, error VecEnvWrapper). El aporte vigente es metodologico: benchmark unificado, trazable y reproducible sobre datos reales del SEAI, con protocolo estadistico documentado para extension multi-semilla (Colas et al., 2019).</w:t>
      </w:r>
    </w:p>
    <w:p>
      <w:r>
        <w:br w:type="page"/>
      </w:r>
    </w:p>
    <w:p>
      <w:pPr>
        <w:pStyle w:val="Heading1"/>
      </w:pPr>
      <w:r>
        <w:t>Capitulo 6. Conclusiones y trabajo futuro</w:t>
      </w:r>
    </w:p>
    <w:p>
      <w:pPr>
        <w:pStyle w:val="Heading2"/>
      </w:pPr>
      <w:r>
        <w:t>6.1 Conclusiones</w:t>
      </w:r>
    </w:p>
    <w:p>
      <w:pPr>
        <w:jc w:val="both"/>
      </w:pPr>
      <w:r>
        <w:rPr>
          <w:b w:val="0"/>
          <w:i w:val="0"/>
        </w:rPr>
        <w:t>En respuesta al objetivo general, la tesis determina que el algoritmo MADRL produce efectos diferenciados sobre flexibilidad, emisiones y costos en la simulacion del SEAI Iquitos, identificando descriptivamente a MATD3 como el de mayor efecto coordinado (score global 0,6667, corrida madrl_v3_20260627_164047). El objetivo OE.1 se atiende con MATD3 liderando flexibilidad compuesta; OE.2 con menor delta de CO2 (23 070 kg); y OE.3 con MAAC presentando el menor delta de costo (9 515 EUR frente a 44 399 EUR de MATD3-E3). La hipotesis general no se confirma inferencialmente (KW p=0,155), aunque la evidencia descriptiva respalda la seleccion de MATD3 dentro de la familia MADRL.</w:t>
      </w:r>
    </w:p>
    <w:p>
      <w:pPr>
        <w:jc w:val="both"/>
      </w:pPr>
      <w:r>
        <w:rPr>
          <w:b w:val="0"/>
          <w:i w:val="0"/>
        </w:rPr>
        <w:t>La contrastacion con baseline CityLearn v2 (seccion 5.4) revela que los agentes RBC baseline y hour_rbc superan globalmente a los MADRL entrenados, lo cual constituye un hallazgo honesto y relevante: el marco experimental es valido para comparacion inter-algoritmica, pero las politicas aprendidas requieren mayor presupuesto de entrenamiento, hiperparametrizacion u operacionalizacion multi-semilla para superar controles clasicos. Los cuatro aportes al motor CityLearn (BESS Arrhenius, PV tropical, KPI pico OSINERGMIN, CarbonIntensityModel SEAI) y el dataset auditado de 17 edificios constituyen contribuciones metodologicas transferibles a otros sistemas aislados peruanos.</w:t>
      </w:r>
    </w:p>
    <w:p>
      <w:pPr>
        <w:pStyle w:val="Heading2"/>
      </w:pPr>
      <w:r>
        <w:t>6.2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 inferencia Colab ya fue ejecutada (Tabla 5.6); no permanece pendiente.</w:t>
      </w:r>
    </w:p>
    <w:p>
      <w:pPr>
        <w:pStyle w:val="Heading2"/>
      </w:pPr>
      <w:r>
        <w:t>6.3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