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organiza la evidencia experimental de la corrida canonica Colab/Drive (madrl_v3_20260627_164047, 50 episodios) objetivo por objetivo, siguiendo la cadena VI→VD del diseno factorial: cada objetivo especifico (OE.1, OE.2, OE.3) se contrasta en su escenario dominante (E1, E2, E3) con KPIs de distrito y desagregacion por edificio. La sintesis integrada, la comparacion con baseline CityLearn v2 y la inferencia estadistica cierran el capitulo.</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el algoritmo MADRL de mayor efecto sobre D-VD.1 en E1 es MATD3 (Flexibilidad compuesta = 1.0009). El contraste inferencial Kruskal-Wallis sobre KPI-gains en E1 arroja p = 0.281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863636"/>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6300000" cy="2863636"/>
                    </a:xfrm>
                    <a:prstGeom prst="rect"/>
                  </pic:spPr>
                </pic:pic>
              </a:graphicData>
            </a:graphic>
          </wp:inline>
        </w:drawing>
      </w:r>
    </w:p>
    <w:p>
      <w:pPr>
        <w:jc w:val="center"/>
      </w:pPr>
      <w:r>
        <w:rPr>
          <w:i/>
          <w:color w:val="595959"/>
          <w:sz w:val="18"/>
        </w:rPr>
        <w:t>Figura 5.1. Convergencia de reward_mean en e1 — escenario E1, datos reales Drive (300 dpi).</w:t>
      </w:r>
    </w:p>
    <w:p>
      <w:pPr>
        <w:jc w:val="both"/>
      </w:pPr>
      <w:r>
        <w:t>La Figura 5.1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2" name="Picture 2"/>
            <wp:cNvGraphicFramePr>
              <a:graphicFrameLocks noChangeAspect="1"/>
            </wp:cNvGraphicFramePr>
            <a:graphic>
              <a:graphicData uri="http://schemas.openxmlformats.org/drawingml/2006/picture">
                <pic:pic>
                  <pic:nvPicPr>
                    <pic:cNvPr id="0" name="comparativo_E1_OE1_kpi.png"/>
                    <pic:cNvPicPr/>
                  </pic:nvPicPr>
                  <pic:blipFill>
                    <a:blip r:embed="rId10"/>
                    <a:stretch>
                      <a:fillRect/>
                    </a:stretch>
                  </pic:blipFill>
                  <pic:spPr>
                    <a:xfrm>
                      <a:off x="0" y="0"/>
                      <a:ext cx="6300000" cy="3937500"/>
                    </a:xfrm>
                    <a:prstGeom prst="rect"/>
                  </pic:spPr>
                </pic:pic>
              </a:graphicData>
            </a:graphic>
          </wp:inline>
        </w:drawing>
      </w:r>
    </w:p>
    <w:p>
      <w:pPr>
        <w:jc w:val="center"/>
      </w:pPr>
      <w:r>
        <w:rPr>
          <w:i/>
          <w:color w:val="595959"/>
          <w:sz w:val="18"/>
        </w:rPr>
        <w:t>Figura 5.2. Comparativa de kpi oe1 en e1 — escenario E1, datos reales Drive (300 dpi).</w:t>
      </w:r>
    </w:p>
    <w:p>
      <w:pPr>
        <w:jc w:val="both"/>
      </w:pPr>
      <w:r>
        <w:t>La Figura 5.2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3" name="Picture 3"/>
            <wp:cNvGraphicFramePr>
              <a:graphicFrameLocks noChangeAspect="1"/>
            </wp:cNvGraphicFramePr>
            <a:graphic>
              <a:graphicData uri="http://schemas.openxmlformats.org/drawingml/2006/picture">
                <pic:pic>
                  <pic:nvPicPr>
                    <pic:cNvPr id="0" name="drive_building_E1_flex_composite_proxy.png"/>
                    <pic:cNvPicPr/>
                  </pic:nvPicPr>
                  <pic:blipFill>
                    <a:blip r:embed="rId11"/>
                    <a:stretch>
                      <a:fillRect/>
                    </a:stretch>
                  </pic:blipFill>
                  <pic:spPr>
                    <a:xfrm>
                      <a:off x="0" y="0"/>
                      <a:ext cx="5940000" cy="7425000"/>
                    </a:xfrm>
                    <a:prstGeom prst="rect"/>
                  </pic:spPr>
                </pic:pic>
              </a:graphicData>
            </a:graphic>
          </wp:inline>
        </w:drawing>
      </w:r>
    </w:p>
    <w:p>
      <w:pPr>
        <w:jc w:val="center"/>
      </w:pPr>
      <w:r>
        <w:rPr>
          <w:i/>
          <w:color w:val="595959"/>
          <w:sz w:val="18"/>
        </w:rPr>
        <w:t>Figura 5.3. Desagregacion por edificio (d-vd.1) — escenario E1, datos reales Drive (300 dpi).</w:t>
      </w:r>
    </w:p>
    <w:p>
      <w:pPr>
        <w:jc w:val="both"/>
      </w:pPr>
      <w:r>
        <w:t>La Figura 5.3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5.3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el algoritmo MADRL de mayor efecto sobre D-VD.2 en E2 es MATD3 (Delta CO2 (kg) = 23,070). El contraste inferencial Kruskal-Wallis sobre KPI-gains en E2 arroja p = 0.546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863636"/>
            <wp:docPr id="4" name="Picture 4"/>
            <wp:cNvGraphicFramePr>
              <a:graphicFrameLocks noChangeAspect="1"/>
            </wp:cNvGraphicFramePr>
            <a:graphic>
              <a:graphicData uri="http://schemas.openxmlformats.org/drawingml/2006/picture">
                <pic:pic>
                  <pic:nvPicPr>
                    <pic:cNvPr id="0" name="comparativo_E2_convergence_reward_mean.png"/>
                    <pic:cNvPicPr/>
                  </pic:nvPicPr>
                  <pic:blipFill>
                    <a:blip r:embed="rId12"/>
                    <a:stretch>
                      <a:fillRect/>
                    </a:stretch>
                  </pic:blipFill>
                  <pic:spPr>
                    <a:xfrm>
                      <a:off x="0" y="0"/>
                      <a:ext cx="6300000" cy="2863636"/>
                    </a:xfrm>
                    <a:prstGeom prst="rect"/>
                  </pic:spPr>
                </pic:pic>
              </a:graphicData>
            </a:graphic>
          </wp:inline>
        </w:drawing>
      </w:r>
    </w:p>
    <w:p>
      <w:pPr>
        <w:jc w:val="center"/>
      </w:pPr>
      <w:r>
        <w:rPr>
          <w:i/>
          <w:color w:val="595959"/>
          <w:sz w:val="18"/>
        </w:rPr>
        <w:t>Figura 5.4. Convergencia de reward_mean en e2 — escenario E2, datos reales Drive (300 dpi).</w:t>
      </w:r>
    </w:p>
    <w:p>
      <w:pPr>
        <w:jc w:val="both"/>
      </w:pPr>
      <w:r>
        <w:t>La Figura 5.4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5" name="Picture 5"/>
            <wp:cNvGraphicFramePr>
              <a:graphicFrameLocks noChangeAspect="1"/>
            </wp:cNvGraphicFramePr>
            <a:graphic>
              <a:graphicData uri="http://schemas.openxmlformats.org/drawingml/2006/picture">
                <pic:pic>
                  <pic:nvPicPr>
                    <pic:cNvPr id="0" name="comparativo_E2_OE2_kpi.png"/>
                    <pic:cNvPicPr/>
                  </pic:nvPicPr>
                  <pic:blipFill>
                    <a:blip r:embed="rId13"/>
                    <a:stretch>
                      <a:fillRect/>
                    </a:stretch>
                  </pic:blipFill>
                  <pic:spPr>
                    <a:xfrm>
                      <a:off x="0" y="0"/>
                      <a:ext cx="6300000" cy="3937500"/>
                    </a:xfrm>
                    <a:prstGeom prst="rect"/>
                  </pic:spPr>
                </pic:pic>
              </a:graphicData>
            </a:graphic>
          </wp:inline>
        </w:drawing>
      </w:r>
    </w:p>
    <w:p>
      <w:pPr>
        <w:jc w:val="center"/>
      </w:pPr>
      <w:r>
        <w:rPr>
          <w:i/>
          <w:color w:val="595959"/>
          <w:sz w:val="18"/>
        </w:rPr>
        <w:t>Figura 5.5. Comparativa de kpi oe2 en e2 — escenario E2, datos reales Drive (300 dpi).</w:t>
      </w:r>
    </w:p>
    <w:p>
      <w:pPr>
        <w:jc w:val="both"/>
      </w:pPr>
      <w:r>
        <w:t>La Figura 5.5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6" name="Picture 6"/>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14"/>
                    <a:stretch>
                      <a:fillRect/>
                    </a:stretch>
                  </pic:blipFill>
                  <pic:spPr>
                    <a:xfrm>
                      <a:off x="0" y="0"/>
                      <a:ext cx="5940000" cy="7425000"/>
                    </a:xfrm>
                    <a:prstGeom prst="rect"/>
                  </pic:spPr>
                </pic:pic>
              </a:graphicData>
            </a:graphic>
          </wp:inline>
        </w:drawing>
      </w:r>
    </w:p>
    <w:p>
      <w:pPr>
        <w:jc w:val="center"/>
      </w:pPr>
      <w:r>
        <w:rPr>
          <w:i/>
          <w:color w:val="595959"/>
          <w:sz w:val="18"/>
        </w:rPr>
        <w:t>Figura 5.6. Desagregacion por edificio (d-vd.2) — escenario E2, datos reales Drive (300 dpi).</w:t>
      </w:r>
    </w:p>
    <w:p>
      <w:pPr>
        <w:jc w:val="both"/>
      </w:pPr>
      <w:r>
        <w:t>La Figura 5.6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7" name="Picture 7"/>
            <wp:cNvGraphicFramePr>
              <a:graphicFrameLocks noChangeAspect="1"/>
            </wp:cNvGraphicFramePr>
            <a:graphic>
              <a:graphicData uri="http://schemas.openxmlformats.org/drawingml/2006/picture">
                <pic:pic>
                  <pic:nvPicPr>
                    <pic:cNvPr id="0" name="comparativo_E2_control_trace.png"/>
                    <pic:cNvPicPr/>
                  </pic:nvPicPr>
                  <pic:blipFill>
                    <a:blip r:embed="rId15"/>
                    <a:stretch>
                      <a:fillRect/>
                    </a:stretch>
                  </pic:blipFill>
                  <pic:spPr>
                    <a:xfrm>
                      <a:off x="0" y="0"/>
                      <a:ext cx="6300000" cy="2625000"/>
                    </a:xfrm>
                    <a:prstGeom prst="rect"/>
                  </pic:spPr>
                </pic:pic>
              </a:graphicData>
            </a:graphic>
          </wp:inline>
        </w:drawing>
      </w:r>
    </w:p>
    <w:p>
      <w:pPr>
        <w:jc w:val="center"/>
      </w:pPr>
      <w:r>
        <w:rPr>
          <w:i/>
          <w:color w:val="595959"/>
          <w:sz w:val="18"/>
        </w:rPr>
        <w:t>Figura 5.7. Trazas de control madrl (trace.csv) — escenario E2, datos reales Drive (300 dpi).</w:t>
      </w:r>
    </w:p>
    <w:p>
      <w:pPr>
        <w:jc w:val="both"/>
      </w:pPr>
      <w:r>
        <w:t>La Figura 5.7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5.4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el algoritmo MADRL de mayor efecto sobre D-VD.3 en E3 es MAAC (Delta costo electrico (EUR) = 9,515). El contraste inferencial Kruskal-Wallis sobre KPI-gains en E3 arroja p = 0.388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863636"/>
            <wp:docPr id="8" name="Picture 8"/>
            <wp:cNvGraphicFramePr>
              <a:graphicFrameLocks noChangeAspect="1"/>
            </wp:cNvGraphicFramePr>
            <a:graphic>
              <a:graphicData uri="http://schemas.openxmlformats.org/drawingml/2006/picture">
                <pic:pic>
                  <pic:nvPicPr>
                    <pic:cNvPr id="0" name="comparativo_E3_convergence_reward_mean.png"/>
                    <pic:cNvPicPr/>
                  </pic:nvPicPr>
                  <pic:blipFill>
                    <a:blip r:embed="rId16"/>
                    <a:stretch>
                      <a:fillRect/>
                    </a:stretch>
                  </pic:blipFill>
                  <pic:spPr>
                    <a:xfrm>
                      <a:off x="0" y="0"/>
                      <a:ext cx="6300000" cy="2863636"/>
                    </a:xfrm>
                    <a:prstGeom prst="rect"/>
                  </pic:spPr>
                </pic:pic>
              </a:graphicData>
            </a:graphic>
          </wp:inline>
        </w:drawing>
      </w:r>
    </w:p>
    <w:p>
      <w:pPr>
        <w:jc w:val="center"/>
      </w:pPr>
      <w:r>
        <w:rPr>
          <w:i/>
          <w:color w:val="595959"/>
          <w:sz w:val="18"/>
        </w:rPr>
        <w:t>Figura 5.8. Convergencia de reward_mean en e3 — escenario E3, datos reales Drive (300 dpi).</w:t>
      </w:r>
    </w:p>
    <w:p>
      <w:pPr>
        <w:jc w:val="both"/>
      </w:pPr>
      <w:r>
        <w:t>La Figura 5.8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9" name="Picture 9"/>
            <wp:cNvGraphicFramePr>
              <a:graphicFrameLocks noChangeAspect="1"/>
            </wp:cNvGraphicFramePr>
            <a:graphic>
              <a:graphicData uri="http://schemas.openxmlformats.org/drawingml/2006/picture">
                <pic:pic>
                  <pic:nvPicPr>
                    <pic:cNvPr id="0" name="comparativo_E3_OE3_kpi.png"/>
                    <pic:cNvPicPr/>
                  </pic:nvPicPr>
                  <pic:blipFill>
                    <a:blip r:embed="rId17"/>
                    <a:stretch>
                      <a:fillRect/>
                    </a:stretch>
                  </pic:blipFill>
                  <pic:spPr>
                    <a:xfrm>
                      <a:off x="0" y="0"/>
                      <a:ext cx="6300000" cy="3937500"/>
                    </a:xfrm>
                    <a:prstGeom prst="rect"/>
                  </pic:spPr>
                </pic:pic>
              </a:graphicData>
            </a:graphic>
          </wp:inline>
        </w:drawing>
      </w:r>
    </w:p>
    <w:p>
      <w:pPr>
        <w:jc w:val="center"/>
      </w:pPr>
      <w:r>
        <w:rPr>
          <w:i/>
          <w:color w:val="595959"/>
          <w:sz w:val="18"/>
        </w:rPr>
        <w:t>Figura 5.9. Comparativa de kpi oe3 en e3 — escenario E3, datos reales Drive (300 dpi).</w:t>
      </w:r>
    </w:p>
    <w:p>
      <w:pPr>
        <w:jc w:val="both"/>
      </w:pPr>
      <w:r>
        <w:t>La Figura 5.9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10" name="Picture 10"/>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18"/>
                    <a:stretch>
                      <a:fillRect/>
                    </a:stretch>
                  </pic:blipFill>
                  <pic:spPr>
                    <a:xfrm>
                      <a:off x="0" y="0"/>
                      <a:ext cx="5940000" cy="7425000"/>
                    </a:xfrm>
                    <a:prstGeom prst="rect"/>
                  </pic:spPr>
                </pic:pic>
              </a:graphicData>
            </a:graphic>
          </wp:inline>
        </w:drawing>
      </w:r>
    </w:p>
    <w:p>
      <w:pPr>
        <w:jc w:val="center"/>
      </w:pPr>
      <w:r>
        <w:rPr>
          <w:i/>
          <w:color w:val="595959"/>
          <w:sz w:val="18"/>
        </w:rPr>
        <w:t>Figura 5.10. Desagregacion por edificio (d-vd.3) — escenario E3, datos reales Drive (300 dpi).</w:t>
      </w:r>
    </w:p>
    <w:p>
      <w:pPr>
        <w:jc w:val="both"/>
      </w:pPr>
      <w:r>
        <w:t>La Figura 5.10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5.5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5.11.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11" name="Picture 11"/>
            <wp:cNvGraphicFramePr>
              <a:graphicFrameLocks noChangeAspect="1"/>
            </wp:cNvGraphicFramePr>
            <a:graphic>
              <a:graphicData uri="http://schemas.openxmlformats.org/drawingml/2006/picture">
                <pic:pic>
                  <pic:nvPicPr>
                    <pic:cNvPr id="0" name="comparativo_global_ranking_oe.png"/>
                    <pic:cNvPicPr/>
                  </pic:nvPicPr>
                  <pic:blipFill>
                    <a:blip r:embed="rId19"/>
                    <a:stretch>
                      <a:fillRect/>
                    </a:stretch>
                  </pic:blipFill>
                  <pic:spPr>
                    <a:xfrm>
                      <a:off x="0" y="0"/>
                      <a:ext cx="6300000" cy="2423077"/>
                    </a:xfrm>
                    <a:prstGeom prst="rect"/>
                  </pic:spPr>
                </pic:pic>
              </a:graphicData>
            </a:graphic>
          </wp:inline>
        </w:drawing>
      </w:r>
    </w:p>
    <w:p>
      <w:pPr>
        <w:jc w:val="center"/>
      </w:pPr>
      <w:r>
        <w:rPr>
          <w:i/>
          <w:color w:val="595959"/>
          <w:sz w:val="18"/>
        </w:rPr>
        <w:t>Figura 5.11.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12" name="Picture 12"/>
            <wp:cNvGraphicFramePr>
              <a:graphicFrameLocks noChangeAspect="1"/>
            </wp:cNvGraphicFramePr>
            <a:graphic>
              <a:graphicData uri="http://schemas.openxmlformats.org/drawingml/2006/picture">
                <pic:pic>
                  <pic:nvPicPr>
                    <pic:cNvPr id="0" name="comparativo_best_worst_por_escenario.png"/>
                    <pic:cNvPicPr/>
                  </pic:nvPicPr>
                  <pic:blipFill>
                    <a:blip r:embed="rId20"/>
                    <a:stretch>
                      <a:fillRect/>
                    </a:stretch>
                  </pic:blipFill>
                  <pic:spPr>
                    <a:xfrm>
                      <a:off x="0" y="0"/>
                      <a:ext cx="6300000" cy="2520000"/>
                    </a:xfrm>
                    <a:prstGeom prst="rect"/>
                  </pic:spPr>
                </pic:pic>
              </a:graphicData>
            </a:graphic>
          </wp:inline>
        </w:drawing>
      </w:r>
    </w:p>
    <w:p>
      <w:pPr>
        <w:jc w:val="center"/>
      </w:pPr>
      <w:r>
        <w:rPr>
          <w:i/>
          <w:color w:val="595959"/>
          <w:sz w:val="18"/>
        </w:rPr>
        <w:t>Figura 5.12.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13" name="Picture 13"/>
            <wp:cNvGraphicFramePr>
              <a:graphicFrameLocks noChangeAspect="1"/>
            </wp:cNvGraphicFramePr>
            <a:graphic>
              <a:graphicData uri="http://schemas.openxmlformats.org/drawingml/2006/picture">
                <pic:pic>
                  <pic:nvPicPr>
                    <pic:cNvPr id="0" name="drive_district_objectives.png"/>
                    <pic:cNvPicPr/>
                  </pic:nvPicPr>
                  <pic:blipFill>
                    <a:blip r:embed="rId21"/>
                    <a:stretch>
                      <a:fillRect/>
                    </a:stretch>
                  </pic:blipFill>
                  <pic:spPr>
                    <a:xfrm>
                      <a:off x="0" y="0"/>
                      <a:ext cx="6300000" cy="2180769"/>
                    </a:xfrm>
                    <a:prstGeom prst="rect"/>
                  </pic:spPr>
                </pic:pic>
              </a:graphicData>
            </a:graphic>
          </wp:inline>
        </w:drawing>
      </w:r>
    </w:p>
    <w:p>
      <w:pPr>
        <w:jc w:val="center"/>
      </w:pPr>
      <w:r>
        <w:rPr>
          <w:i/>
          <w:color w:val="595959"/>
          <w:sz w:val="18"/>
        </w:rPr>
        <w:t>Figura 5.13.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5.6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14" name="Picture 14"/>
            <wp:cNvGraphicFramePr>
              <a:graphicFrameLocks noChangeAspect="1"/>
            </wp:cNvGraphicFramePr>
            <a:graphic>
              <a:graphicData uri="http://schemas.openxmlformats.org/drawingml/2006/picture">
                <pic:pic>
                  <pic:nvPicPr>
                    <pic:cNvPr id="0" name="baseline_gain_heatmap.png"/>
                    <pic:cNvPicPr/>
                  </pic:nvPicPr>
                  <pic:blipFill>
                    <a:blip r:embed="rId22"/>
                    <a:stretch>
                      <a:fillRect/>
                    </a:stretch>
                  </pic:blipFill>
                  <pic:spPr>
                    <a:xfrm>
                      <a:off x="0" y="0"/>
                      <a:ext cx="6120000" cy="2185714"/>
                    </a:xfrm>
                    <a:prstGeom prst="rect"/>
                  </pic:spPr>
                </pic:pic>
              </a:graphicData>
            </a:graphic>
          </wp:inline>
        </w:drawing>
      </w:r>
    </w:p>
    <w:p>
      <w:pPr>
        <w:jc w:val="center"/>
      </w:pPr>
      <w:r>
        <w:rPr>
          <w:i/>
          <w:color w:val="595959"/>
          <w:sz w:val="18"/>
        </w:rPr>
        <w:t>Figura 5.14.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15" name="Picture 15"/>
            <wp:cNvGraphicFramePr>
              <a:graphicFrameLocks noChangeAspect="1"/>
            </wp:cNvGraphicFramePr>
            <a:graphic>
              <a:graphicData uri="http://schemas.openxmlformats.org/drawingml/2006/picture">
                <pic:pic>
                  <pic:nvPicPr>
                    <pic:cNvPr id="0" name="baseline_gain_heatmap.png"/>
                    <pic:cNvPicPr/>
                  </pic:nvPicPr>
                  <pic:blipFill>
                    <a:blip r:embed="rId23"/>
                    <a:stretch>
                      <a:fillRect/>
                    </a:stretch>
                  </pic:blipFill>
                  <pic:spPr>
                    <a:xfrm>
                      <a:off x="0" y="0"/>
                      <a:ext cx="6120000" cy="2185714"/>
                    </a:xfrm>
                    <a:prstGeom prst="rect"/>
                  </pic:spPr>
                </pic:pic>
              </a:graphicData>
            </a:graphic>
          </wp:inline>
        </w:drawing>
      </w:r>
    </w:p>
    <w:p>
      <w:pPr>
        <w:jc w:val="center"/>
      </w:pPr>
      <w:r>
        <w:rPr>
          <w:i/>
          <w:color w:val="595959"/>
          <w:sz w:val="18"/>
        </w:rPr>
        <w:t>Figura 5.15.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16" name="Picture 16"/>
            <wp:cNvGraphicFramePr>
              <a:graphicFrameLocks noChangeAspect="1"/>
            </wp:cNvGraphicFramePr>
            <a:graphic>
              <a:graphicData uri="http://schemas.openxmlformats.org/drawingml/2006/picture">
                <pic:pic>
                  <pic:nvPicPr>
                    <pic:cNvPr id="0" name="baseline_gain_heatmap.png"/>
                    <pic:cNvPicPr/>
                  </pic:nvPicPr>
                  <pic:blipFill>
                    <a:blip r:embed="rId24"/>
                    <a:stretch>
                      <a:fillRect/>
                    </a:stretch>
                  </pic:blipFill>
                  <pic:spPr>
                    <a:xfrm>
                      <a:off x="0" y="0"/>
                      <a:ext cx="6120000" cy="2185714"/>
                    </a:xfrm>
                    <a:prstGeom prst="rect"/>
                  </pic:spPr>
                </pic:pic>
              </a:graphicData>
            </a:graphic>
          </wp:inline>
        </w:drawing>
      </w:r>
    </w:p>
    <w:p>
      <w:pPr>
        <w:jc w:val="center"/>
      </w:pPr>
      <w:r>
        <w:rPr>
          <w:i/>
          <w:color w:val="595959"/>
          <w:sz w:val="18"/>
        </w:rPr>
        <w:t>Figura 5.16.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5.7 Pruebas estadisticas por objetivo especifico</w:t>
      </w:r>
    </w:p>
    <w:p>
      <w:pPr>
        <w:jc w:val="both"/>
      </w:pPr>
      <w:r>
        <w:rPr>
          <w:b w:val="0"/>
          <w:i w:val="0"/>
        </w:rPr>
        <w:t>La bateria inferencial (tools/run_colab_drive_statistical_analysis.py) se reporta por eje OE y en agregado ALL. HAPPO excluido; semilla unica (seed 0).</w:t>
      </w:r>
    </w:p>
    <w:p>
      <w:r>
        <w:rPr>
          <w:b/>
          <w:color w:val="595959"/>
          <w:sz w:val="19"/>
        </w:rPr>
        <w:t>Tabla 5.13. Inferencia por objetivo especifico (hipotesis_estadisticas_madrl.csv).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 OE</w:t>
            </w:r>
          </w:p>
        </w:tc>
        <w:tc>
          <w:tcPr>
            <w:tcW w:type="dxa" w:w="1417"/>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1417"/>
            <w:shd w:val="clear" w:color="auto" w:fill="1F4E79"/>
          </w:tcPr>
          <w:p>
            <w:r/>
            <w:r>
              <w:rPr>
                <w:b/>
                <w:color w:val="FFFFFF"/>
                <w:sz w:val="18"/>
              </w:rPr>
              <w:t>Signif. alpha=0,05</w:t>
            </w:r>
          </w:p>
        </w:tc>
        <w:tc>
          <w:tcPr>
            <w:tcW w:type="dxa" w:w="1701"/>
            <w:shd w:val="clear" w:color="auto" w:fill="1F4E79"/>
          </w:tcPr>
          <w:p>
            <w:r/>
            <w:r>
              <w:rPr>
                <w:b/>
                <w:color w:val="FFFFFF"/>
                <w:sz w:val="18"/>
              </w:rPr>
              <w:t>Mejor (mediana KPI-gain)</w:t>
            </w:r>
          </w:p>
        </w:tc>
      </w:tr>
      <w:tr>
        <w:tc>
          <w:tcPr>
            <w:tcW w:type="dxa" w:w="1417"/>
          </w:tcPr>
          <w:p>
            <w:r/>
            <w:r>
              <w:rPr>
                <w:sz w:val="18"/>
              </w:rPr>
              <w:t>OE.1 / E1</w:t>
            </w:r>
          </w:p>
        </w:tc>
        <w:tc>
          <w:tcPr>
            <w:tcW w:type="dxa" w:w="1417"/>
          </w:tcPr>
          <w:p>
            <w:r/>
            <w:r>
              <w:rPr>
                <w:sz w:val="18"/>
              </w:rPr>
              <w:t>Kruskal-Wallis</w:t>
            </w:r>
          </w:p>
        </w:tc>
        <w:tc>
          <w:tcPr>
            <w:tcW w:type="dxa" w:w="1984"/>
          </w:tcPr>
          <w:p>
            <w:r/>
            <w:r>
              <w:rPr>
                <w:sz w:val="18"/>
              </w:rPr>
              <w:t>H=2.54, p=0.281</w:t>
            </w:r>
          </w:p>
        </w:tc>
        <w:tc>
          <w:tcPr>
            <w:tcW w:type="dxa" w:w="1417"/>
          </w:tcPr>
          <w:p>
            <w:r/>
            <w:r>
              <w:rPr>
                <w:sz w:val="18"/>
              </w:rPr>
              <w:t>No</w:t>
            </w:r>
          </w:p>
        </w:tc>
        <w:tc>
          <w:tcPr>
            <w:tcW w:type="dxa" w:w="1701"/>
          </w:tcPr>
          <w:p>
            <w:r/>
            <w:r>
              <w:rPr>
                <w:sz w:val="18"/>
              </w:rPr>
              <w:t>MAAC</w:t>
            </w:r>
          </w:p>
        </w:tc>
      </w:tr>
      <w:tr>
        <w:tc>
          <w:tcPr>
            <w:tcW w:type="dxa" w:w="1417"/>
          </w:tcPr>
          <w:p>
            <w:r/>
            <w:r>
              <w:rPr>
                <w:sz w:val="18"/>
              </w:rPr>
              <w:t>OE.2 / E2</w:t>
            </w:r>
          </w:p>
        </w:tc>
        <w:tc>
          <w:tcPr>
            <w:tcW w:type="dxa" w:w="1417"/>
          </w:tcPr>
          <w:p>
            <w:r/>
            <w:r>
              <w:rPr>
                <w:sz w:val="18"/>
              </w:rPr>
              <w:t>Kruskal-Wallis</w:t>
            </w:r>
          </w:p>
        </w:tc>
        <w:tc>
          <w:tcPr>
            <w:tcW w:type="dxa" w:w="1984"/>
          </w:tcPr>
          <w:p>
            <w:r/>
            <w:r>
              <w:rPr>
                <w:sz w:val="18"/>
              </w:rPr>
              <w:t>H=1.21, p=0.546</w:t>
            </w:r>
          </w:p>
        </w:tc>
        <w:tc>
          <w:tcPr>
            <w:tcW w:type="dxa" w:w="1417"/>
          </w:tcPr>
          <w:p>
            <w:r/>
            <w:r>
              <w:rPr>
                <w:sz w:val="18"/>
              </w:rPr>
              <w:t>No</w:t>
            </w:r>
          </w:p>
        </w:tc>
        <w:tc>
          <w:tcPr>
            <w:tcW w:type="dxa" w:w="1701"/>
          </w:tcPr>
          <w:p>
            <w:r/>
            <w:r>
              <w:rPr>
                <w:sz w:val="18"/>
              </w:rPr>
              <w:t>MATD3</w:t>
            </w:r>
          </w:p>
        </w:tc>
      </w:tr>
      <w:tr>
        <w:tc>
          <w:tcPr>
            <w:tcW w:type="dxa" w:w="1417"/>
          </w:tcPr>
          <w:p>
            <w:r/>
            <w:r>
              <w:rPr>
                <w:sz w:val="18"/>
              </w:rPr>
              <w:t>OE.3 / E3</w:t>
            </w:r>
          </w:p>
        </w:tc>
        <w:tc>
          <w:tcPr>
            <w:tcW w:type="dxa" w:w="1417"/>
          </w:tcPr>
          <w:p>
            <w:r/>
            <w:r>
              <w:rPr>
                <w:sz w:val="18"/>
              </w:rPr>
              <w:t>Kruskal-Wallis</w:t>
            </w:r>
          </w:p>
        </w:tc>
        <w:tc>
          <w:tcPr>
            <w:tcW w:type="dxa" w:w="1984"/>
          </w:tcPr>
          <w:p>
            <w:r/>
            <w:r>
              <w:rPr>
                <w:sz w:val="18"/>
              </w:rPr>
              <w:t>H=1.89, p=0.388</w:t>
            </w:r>
          </w:p>
        </w:tc>
        <w:tc>
          <w:tcPr>
            <w:tcW w:type="dxa" w:w="1417"/>
          </w:tcPr>
          <w:p>
            <w:r/>
            <w:r>
              <w:rPr>
                <w:sz w:val="18"/>
              </w:rPr>
              <w:t>No</w:t>
            </w:r>
          </w:p>
        </w:tc>
        <w:tc>
          <w:tcPr>
            <w:tcW w:type="dxa" w:w="1701"/>
          </w:tcPr>
          <w:p>
            <w:r/>
            <w:r>
              <w:rPr>
                <w:sz w:val="18"/>
              </w:rPr>
              <w:t>MAAC</w:t>
            </w:r>
          </w:p>
        </w:tc>
      </w:tr>
      <w:tr>
        <w:tc>
          <w:tcPr>
            <w:tcW w:type="dxa" w:w="1417"/>
          </w:tcPr>
          <w:p>
            <w:r/>
            <w:r>
              <w:rPr>
                <w:sz w:val="18"/>
              </w:rPr>
              <w:t>Global (ALL)</w:t>
            </w:r>
          </w:p>
        </w:tc>
        <w:tc>
          <w:tcPr>
            <w:tcW w:type="dxa" w:w="1417"/>
          </w:tcPr>
          <w:p>
            <w:r/>
            <w:r>
              <w:rPr>
                <w:sz w:val="18"/>
              </w:rPr>
              <w:t>Kruskal-Wallis</w:t>
            </w:r>
          </w:p>
        </w:tc>
        <w:tc>
          <w:tcPr>
            <w:tcW w:type="dxa" w:w="1984"/>
          </w:tcPr>
          <w:p>
            <w:r/>
            <w:r>
              <w:rPr>
                <w:sz w:val="18"/>
              </w:rPr>
              <w:t>H=3.72, p=0.155</w:t>
            </w:r>
          </w:p>
        </w:tc>
        <w:tc>
          <w:tcPr>
            <w:tcW w:type="dxa" w:w="1417"/>
          </w:tcPr>
          <w:p>
            <w:r/>
            <w:r>
              <w:rPr>
                <w:sz w:val="18"/>
              </w:rPr>
              <w:t>No</w:t>
            </w:r>
          </w:p>
        </w:tc>
        <w:tc>
          <w:tcPr>
            <w:tcW w:type="dxa" w:w="1701"/>
          </w:tcPr>
          <w:p>
            <w:r/>
            <w:r>
              <w:rPr>
                <w:sz w:val="18"/>
              </w:rPr>
              <w:t>MATD3</w:t>
            </w:r>
          </w:p>
        </w:tc>
      </w:tr>
      <w:tr>
        <w:tc>
          <w:tcPr>
            <w:tcW w:type="dxa" w:w="1417"/>
          </w:tcPr>
          <w:p>
            <w:r/>
            <w:r>
              <w:rPr>
                <w:sz w:val="18"/>
              </w:rPr>
              <w:t>ALL (pareado)</w:t>
            </w:r>
          </w:p>
        </w:tc>
        <w:tc>
          <w:tcPr>
            <w:tcW w:type="dxa" w:w="1417"/>
          </w:tcPr>
          <w:p>
            <w:r/>
            <w:r>
              <w:rPr>
                <w:sz w:val="18"/>
              </w:rPr>
              <w:t>Wilcoxon</w:t>
            </w:r>
          </w:p>
        </w:tc>
        <w:tc>
          <w:tcPr>
            <w:tcW w:type="dxa" w:w="1984"/>
          </w:tcPr>
          <w:p>
            <w:r/>
            <w:r>
              <w:rPr>
                <w:sz w:val="18"/>
              </w:rPr>
              <w:t>MASAC vs MATD3: p=0,0049</w:t>
            </w:r>
          </w:p>
        </w:tc>
        <w:tc>
          <w:tcPr>
            <w:tcW w:type="dxa" w:w="1417"/>
          </w:tcPr>
          <w:p>
            <w:r/>
            <w:r>
              <w:rPr>
                <w:sz w:val="18"/>
              </w:rPr>
              <w:t>Si</w:t>
            </w:r>
          </w:p>
        </w:tc>
        <w:tc>
          <w:tcPr>
            <w:tcW w:type="dxa" w:w="1701"/>
          </w:tcPr>
          <w:p>
            <w:r/>
            <w:r>
              <w:rPr>
                <w:sz w:val="18"/>
              </w:rPr>
              <w:t>MATD3</w:t>
            </w:r>
          </w:p>
        </w:tc>
      </w:tr>
    </w:tbl>
    <w:p/>
    <w:p>
      <w:pPr>
        <w:jc w:val="both"/>
      </w:pPr>
      <w:r>
        <w:rPr>
          <w:b w:val="0"/>
          <w:i w:val="0"/>
        </w:rPr>
        <w:t>Interpretacion por OE: ningun Kruskal-Wallis por eje alcanza alpha=0,05 con una semilla; por tanto, las respuestas a OE.1–OE.3 en las secciones 5.2–5.4 se sustentan en evidencia descriptiva de KPIs de distrito y edificio. El Wilcoxon global MASAC–MATD3 (p=0,0049) es exploratorio y no reemplaza el contraste factorial completo.</w:t>
      </w:r>
    </w:p>
    <w:p>
      <w:pPr>
        <w:pStyle w:val="Heading2"/>
      </w:pPr>
      <w:r>
        <w:t>5.8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5.6), coherente con Nweye et al. (2024). La coherencia vertical PG→OE→VD se cumple en estructura y evidencia descriptiva; la inferencia causal robusta requiere multi-semilla. HAPPO (49/50 ep) reduce el diseno factorial efectivo a 3×3 en inferencia.</w:t>
      </w:r>
    </w:p>
    <w:p>
      <w:r>
        <w:br w:type="page"/>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5.13);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por OE se reporta en Tabla 5.13.</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