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RECYM: An Automated Multi-Feeder Workflow for Demand Allocation and Load-Flow Studies in CYMDIST Distribution Networks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Mac Tapia Ccosyo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Electro Dunas S.A.A. (distribution concessionaire)  ·  mtapia@electrodunas.com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Abstract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Distribution utilities need repeatable procedures to clean network models, allocate measured substation demand, inject important-customer and prospective spot loads, and compare situational versus projected operating cases. This paper presents RECYM, a multi-feeder software suite that couples CYMDIST/CymPy with a seven-step SPA and a batch pipeline. The workflow integrates network diagnostics, large-customer energy/power mapping to SED nodes, kWh-based load allocation via the CYMDIST COM API, locked three-phase spot loads, dual load-flow scenarios, and automated delivery reports. On feeder PA217 (22.9 kV, Electro Dunas), the campaign closed with zero diagnostic problems, customers verified within tolerances, headroom-balanced allocation (9537.9 kW vs. 9537.88 kW), a 1420 kW prospective spot load, and successful dual load flows. The architecture scales to ~96 feeders sharing one Access database.</w:t>
      </w:r>
    </w:p>
    <w:p>
      <w:pPr>
        <w:spacing w:after="2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Index Terms—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CYMDIST, demand studies, distribution networks, load allocation, load flow analysis, power system modeling, software tools.</w:t>
      </w:r>
    </w:p>
    <w:p>
      <w:pPr>
        <w:spacing w:after="14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INTRODUCTION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Modern distribution planning relies on detailed feeder models [1], [2]. CYMDIST provides load allocation and unbalanced load flow [3], yet campaigns often remain manual. OpenDSS [5] and pandapower [6] support research automation, while many Latin American utilities standardize on .zxst/.mdb assets. RECYM bridges that gap [7], [8] with a layered architecture, a §§1–7 campaign, and validation on PA217 (22.9 kV).</w:t>
      </w:r>
    </w:p>
    <w:p>
      <w:pPr>
        <w:spacing w:after="14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RELATED WORK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Kersting [1] formalizes three-phase modeling. Allocation uses energy/demand/kVA weights [3], [9]. COM automation of commercial tools is critical when the system of record is proprietary [7], [8]. Capacity and interconnection studies motivate situational vs. projected narratives [12]–[14].</w:t>
      </w:r>
    </w:p>
    <w:p>
      <w:pPr>
        <w:spacing w:after="14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III. SYSTEM ARCHITECTURE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Five layers: presentation (React SPA), API (FastAPI jobs/SSE + Flask bridge), domain (pipeline/analysis/optimization), CymPy/COM core, and external data (.zxst/.mdb/Excel). Multi-feeder config via settings.json + feeders/&lt;ID&gt;.json (~96 feeders + ELD study).</w:t>
      </w:r>
    </w:p>
    <w:p>
      <w:pPr>
        <w:spacing w:after="40" w:before="16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fig1_architecture.png" descr="Fig. 1 Architecture" title="Fig. 1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1. RECYM layered architecture (UI → API → domain → CYMDIST core → data).</w:t>
      </w:r>
    </w:p>
    <w:p>
      <w:pPr>
        <w:spacing w:after="14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IV. MATHEMATICAL MODELS AND ALGORITHMS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Model 1 (kWh allocation): Pcab_res = Pcab - sum Pfix; Pi = Pcab_res * Ei / sum Eu; balance error eps_P = |sum Pi - Pcab|/Pcab * 100%. Precision MAE/RMSE of DeltaP, DeltaE (tol. 0.01 kW / 0.5 kWh).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Model 2 (SpotLoad + dual LF): Pphase = P3ph/3, Qphase = Q3ph/3; y_sit = F(x; c=0), y_prj = F(x; c=1); Delta y = y_prj - y_sit; delta_P = 100*DeltaP/Psit. Pseudocode Algorithms 1-3. Sample PA217 validation: eps_P ~ 7.6e-5%, MAE=0, delta_P=+17.17%, closure 21/21.</w:t>
      </w:r>
    </w:p>
    <w:p>
      <w:pPr>
        <w:spacing w:after="14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IV-bis. OPERATIONAL WORKFLOW</w:t>
      </w:r>
    </w:p>
    <w:p>
      <w:pPr>
        <w:spacing w:after="14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IV. PROPOSED WORKFLOW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§1 context/headroom; §2 quality gate; §3 customers EA→KWH / Pot→kW Locked + allocation; §4 SpotLoad P/3 Q/3 Locked (no re-allocation afterward); §5 situational (disconnect §4) / projected (connect §4) LF; §§6–7 reports and suite.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2238375"/>
            <wp:effectExtent t="0" r="0" b="0" l="0"/>
            <wp:docPr id="1" name="fig2_workflow.png" descr="Fig. 2 Workflow" title="Fig. 2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2. RECYM operational campaign §§1–7.</w:t>
      </w:r>
    </w:p>
    <w:p>
      <w:pPr>
        <w:spacing w:after="14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V. CASE STUDY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RECYM is already wired to the Electro Dunas Access database with 97 feeder configurations and multiple .zxst studies; PA217 (22.9 kV) is reported as a representative experimental sample. On PA217: zero diagnostic problems, verified customers, headroom-balanced allocation (9537.9 vs 9537.88 kW), 1420 kW SpotLoad, and dual LF with quantified P/Q/S deltas.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Corpus: 97 feeders + ELD; shared DB; multiple .zxst. PA217 is a sample to validate RECYM (not the delivery report in doc/).</w:t>
      </w:r>
    </w:p>
    <w:p>
      <w:pPr>
        <w:spacing w:after="14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VI. RESULTS AND DISCUSSION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Diagnostics: 0 messages / 0 problems. Customer precision: 11 OK, 0 fails (Table I). COM allocation: ΣP=9537.9 kW vs headroom 9537.88 kW (Δ≈0%), 257 loads. Locked SpotLoad 1420 kW at NODE_1080_320357_MI-17145_2 (Fig. 3). Situational and projected LF OK (Figs. 4–5). Automated closure 21/21 steps.</w:t>
      </w:r>
    </w:p>
    <w:p>
      <w:pPr>
        <w:spacing w:after="80" w:before="12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TABLE I. IMPORTANT-CUSTOMER PRECISION ON PA217 (SAMPLE)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800"/>
        <w:gridCol w:w="1400"/>
        <w:gridCol w:w="1000"/>
        <w:gridCol w:w="1000"/>
        <w:gridCol w:w="960"/>
      </w:tblGrid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Customer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SED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EA (kWh)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Pot (kW)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ΔkWh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ΔkW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Caliza cementos inca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SE30940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1,747,551.27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3800.57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Minerales Paracas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SE30480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678,852.12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1273.76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LJMetales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SE30642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527,079.81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956.49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Emsalsa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SE30353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157,621.44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458.00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Uvica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SE30424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167,101.44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366.30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OK</w:t>
            </w:r>
          </w:p>
        </w:tc>
      </w:tr>
    </w:tbl>
    <w:p>
      <w:pPr>
        <w:spacing w:after="40" w:before="160"/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fig3_topologia.png" descr="Fig. 3 Topology" title="Fig. 3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3. Location of the prospective SpotLoad (1420 kW) on PA217.</w:t>
      </w:r>
    </w:p>
    <w:p>
      <w:pPr>
        <w:spacing w:after="40" w:before="16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fig4a_situacional_tension.png" descr="Fig. 4a" title="Fig. 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4a. Voltage map — situational scenario (SpotLoad §4 disconnected).</w:t>
      </w:r>
    </w:p>
    <w:p>
      <w:pPr>
        <w:spacing w:after="40" w:before="16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fig4b_proyectado_tension.png" descr="Fig. 4b" title="Fig. 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4b. Voltage map — projected scenario (SpotLoad §4 connected).</w:t>
      </w:r>
    </w:p>
    <w:p>
      <w:pPr>
        <w:spacing w:after="40" w:before="16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fig5a_situacional_cargabilidad.png" descr="Fig. 5a" title="Fig. 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5a. Loading — situational scenario.</w:t>
      </w:r>
    </w:p>
    <w:p>
      <w:pPr>
        <w:spacing w:after="40" w:before="16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fig5b_proyectado_cargabilidad.png" descr="Fig. 5b" title="Fig. 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5b. Loading — projected scenario (sample PA217).</w:t>
      </w:r>
    </w:p>
    <w:p>
      <w:pPr>
        <w:spacing w:after="40" w:before="160"/>
        <w:jc w:val="center"/>
      </w:pPr>
      <w:r>
        <w:drawing>
          <wp:inline distT="0" distB="0" distL="0" distR="0">
            <wp:extent cx="4572000" cy="2667000"/>
            <wp:effectExtent t="0" r="0" b="0" l="0"/>
            <wp:docPr id="1" name="fig6_lf_demand_compare.png" descr="Fig. 6" title="Fig.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6. Headroom demand situational vs projected (real COM LF data, PA217).</w:t>
      </w:r>
    </w:p>
    <w:p>
      <w:pPr>
        <w:spacing w:after="40" w:before="160"/>
        <w:jc w:val="center"/>
      </w:pPr>
      <w:r>
        <w:drawing>
          <wp:inline distT="0" distB="0" distL="0" distR="0">
            <wp:extent cx="4572000" cy="2095500"/>
            <wp:effectExtent t="0" r="0" b="0" l="0"/>
            <wp:docPr id="1" name="fig7_lf_voltage_pf_table.png" descr="Fig. 7" title="Fig.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7. Visual Table III: voltage, PF and P/Q/S (sample PA217).</w:t>
      </w:r>
    </w:p>
    <w:p>
      <w:pPr>
        <w:spacing w:after="40" w:before="160"/>
        <w:jc w:val="center"/>
      </w:pPr>
      <w:r>
        <w:drawing>
          <wp:inline distT="0" distB="0" distL="0" distR="0">
            <wp:extent cx="4572000" cy="2476500"/>
            <wp:effectExtent t="0" r="0" b="0" l="0"/>
            <wp:docPr id="1" name="fig8_clientes_pot.png" descr="Fig. 8" title="Fig.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8. Verified important-customer Pot (kW) on sample PA217.</w:t>
      </w:r>
    </w:p>
    <w:p>
      <w:pPr>
        <w:spacing w:after="40" w:before="16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fig9_cierre_steps.png" descr="Fig. 9" title="Fig.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9. Automated §§1–7 closure on PA217 (21/21 OK).</w:t>
      </w:r>
    </w:p>
    <w:p>
      <w:pPr>
        <w:spacing w:after="12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Limitations: Windows/COM; study integrity; COM fallback. Detailed tables are for sample PA217; the catalog already has 97 feeders and multiple studies—fleet KPIs remain future work.</w:t>
      </w:r>
    </w:p>
    <w:p>
      <w:pPr>
        <w:spacing w:after="14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VII. CONCLUSION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RECYM automates multi-feeder CYMDIST campaigns across 97 Electro Dunas feeders and multiple .zxst studies. With PA217 as representative sample: zero diagnostic issues, verified precision, balanced allocation, dual LF for 1420 kW, and 21/21 closure. Future work: fleet KPIs over the full catalog and §7 hardening.</w:t>
      </w:r>
    </w:p>
    <w:p>
      <w:pPr>
        <w:spacing w:after="14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REFERENCES</w:t>
      </w:r>
    </w:p>
    <w:p>
      <w:pPr>
        <w:spacing w:after="7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[1] W. H. Kersting, Distribution System Modeling and Analysis, 4th ed. Boca Raton, FL, USA: CRC Press, 2017.</w:t>
      </w:r>
    </w:p>
    <w:p>
      <w:pPr>
        <w:spacing w:after="7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[2] T. Gönen, Electric Power Distribution Engineering, 3rd ed. Boca Raton, FL, USA: CRC Press, 2014.</w:t>
      </w:r>
    </w:p>
    <w:p>
      <w:pPr>
        <w:spacing w:after="7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[3] Eaton CYME, CYMDIST Reference Manual / How-to Tutorials (Load Allocation, Load Flow), version 9.2. Saint-Bruno, QC, Canada: Eaton, 2022.</w:t>
      </w:r>
    </w:p>
    <w:p>
      <w:pPr>
        <w:spacing w:after="7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[4] R. C. Dugan, M. F. McGranaghan, S. Santoso, and H. W. Beaty, Electrical Power Systems Quality, 3rd ed. New York, NY, USA: McGraw-Hill, 2012.</w:t>
      </w:r>
    </w:p>
    <w:p>
      <w:pPr>
        <w:spacing w:after="7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[5] R. C. Dugan and T. E. McDermott, “An open source platform for collaborating on smart grid research,” in Proc. IEEE Power Energy Soc. Gen. Meeting, Detroit, MI, USA, 2011, pp. 1–7.</w:t>
      </w:r>
    </w:p>
    <w:p>
      <w:pPr>
        <w:spacing w:after="7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[6] L. Thurner et al., “pandapower—An open-source Python tool for convenient modeling, analysis, and optimization of electric power systems,” IEEE Trans. Power Syst., vol. 33, no. 6, pp. 6510–6521, Nov. 2018.</w:t>
      </w:r>
    </w:p>
    <w:p>
      <w:pPr>
        <w:spacing w:after="7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[7] J. Peppanen, M. J. Reno, M. Thakkar, S. Grijalva, and R. G. Harley, “Leveraging AMI data for distribution system model calibration and situational awareness,” IEEE Trans. Smart Grid, vol. 6, no. 4, pp. 2000–2009, Jul. 2015.</w:t>
      </w:r>
    </w:p>
    <w:p>
      <w:pPr>
        <w:spacing w:after="7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[8] Y. Wang, Q. Chen, T. Hong, and C. Kang, “Review of smart meter data analytics: Applications, methodologies, and challenges,” IEEE Trans. Smart Grid, vol. 10, no. 3, pp. 3125–3148, May 2019.</w:t>
      </w:r>
    </w:p>
    <w:p>
      <w:pPr>
        <w:spacing w:after="7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[9] A. K. Ghosh, D. L. Lubkeman, and R. H. Jones, “Load modeling for distribution circuit state estimation,” IEEE Trans. Power Del., vol. 12, no. 2, pp. 999–1005, Apr. 1997.</w:t>
      </w:r>
    </w:p>
    <w:p>
      <w:pPr>
        <w:spacing w:after="7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[10] M. E. Baran and A. W. Kelley, “State estimation for real-time monitoring of distribution systems,” IEEE Trans. Power Syst., vol. 9, no. 3, pp. 1601–1609, Aug. 1994.</w:t>
      </w:r>
    </w:p>
    <w:p>
      <w:pPr>
        <w:spacing w:after="7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[11] T. Brown, J. Hörsch, and D. Schlachtberger, “PyPSA: Python for power system analysis,” J. Open Res. Softw., vol. 6, no. 1, Art. no. 4, 2018.</w:t>
      </w:r>
    </w:p>
    <w:p>
      <w:pPr>
        <w:spacing w:after="7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[12] M. Rylander, J. Smith, and W. Sunderman, “Streamlined method for determining distribution system hosting capacity,” in Proc. IEEE Rural Electric Power Conf., Asheville, NC, USA, 2015, pp. 3–9.</w:t>
      </w:r>
    </w:p>
    <w:p>
      <w:pPr>
        <w:spacing w:after="7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[13] F. Ding and B. Mather, “On distributed PV hosting capacity estimation, sensitivity study, and improvement,” IEEE Trans. Sustain. Energy, vol. 8, no. 3, pp. 1010–1020, Jul. 2017.</w:t>
      </w:r>
    </w:p>
    <w:p>
      <w:pPr>
        <w:spacing w:after="7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[14] IEEE Standard for Interconnection and Interoperability of Distributed Energy Resources with Associated Electric Power Systems Interfaces, IEEE Std 1547-2018, Apr. 2018.</w:t>
      </w:r>
    </w:p>
    <w:p>
      <w:pPr>
        <w:spacing w:after="7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[15] H. L. Willis, Power Distribution Planning Reference Book, 2nd ed. New York, NY, USA: Marcel Dekker, 2004.</w:t>
      </w:r>
    </w:p>
    <w:p>
      <w:pPr>
        <w:spacing w:after="7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[16] J. A. Momoh, Electric Power Distribution, Automation, Protection, and Control. Boca Raton, FL, USA: CRC Press, 2008.</w:t>
      </w:r>
    </w:p>
    <w:p>
      <w:pPr>
        <w:spacing w:after="7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[17] A. Abur and A. G. Expósito, Power System State Estimation: Theory and Implementation. New York, NY, USA: Marcel Dekker, 2004.</w:t>
      </w:r>
    </w:p>
    <w:p>
      <w:pPr>
        <w:spacing w:after="7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[18] OSINERGMIN, Normativa técnica de calidad de servicio eléctrico / distribución (Perú). Lima, Peru. [Online]. Available: https://www.osinergmin.gob.pe</w:t>
      </w:r>
    </w:p>
    <w:p>
      <w:pPr>
        <w:spacing w:after="7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[19] IEEE Guide for Electric Power Distribution Reliability Indices, IEEE Std 1366-2022, 2022.</w:t>
      </w:r>
    </w:p>
    <w:p>
      <w:pPr>
        <w:spacing w:after="7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[20] S. Conti, S. Raiti, G. Tina, and U. Vagliasindi, “Study of the impact of PV generation on voltage profile in LV distribution networks,” in Proc. IEEE Power Tech, St. Petersburg, Russia, 2005, pp. 1–6.</w:t>
      </w:r>
    </w:p>
    <w:p>
      <w:pPr>
        <w:spacing w:after="120" w:before="20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5"/>
          <w:szCs w:val="15"/>
        </w:rPr>
        <w:t xml:space="preserve">Note: paste into the official IEEE template before submission. Text: MANUSCRIPT.md. BibTeX: references.bib. Author: Mac Tapia Ccosyo (Electro Dunas S.A.A.).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4"/>
        <w:szCs w:val="14"/>
      </w:rPr>
      <w:t xml:space="preserve">Page </w:t>
    </w: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66666"/>
        <w:sz w:val="14"/>
        <w:szCs w:val="14"/>
      </w:rPr>
      <w:t xml:space="preserve">RECYM — IEEE draft EN v0.2 (with figures)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6f7c0fee7bdaf218de06fa0bd74f08f05d70ef.png"/><Relationship Id="rId10" Type="http://schemas.openxmlformats.org/officeDocument/2006/relationships/image" Target="media/6f1991285cee9805c487f798fb99f9d51763b5bd.png"/><Relationship Id="rId11" Type="http://schemas.openxmlformats.org/officeDocument/2006/relationships/image" Target="media/5b68a422ad2f026c991401938626e5d83a271d9c.png"/><Relationship Id="rId12" Type="http://schemas.openxmlformats.org/officeDocument/2006/relationships/image" Target="media/b382f81b702cdcc0177c740318017958a2a9d7a9.png"/><Relationship Id="rId13" Type="http://schemas.openxmlformats.org/officeDocument/2006/relationships/image" Target="media/894058386e0e4d64ddce627316fd87db90b02cb2.png"/><Relationship Id="rId14" Type="http://schemas.openxmlformats.org/officeDocument/2006/relationships/image" Target="media/3107b9c5b796d45fecf3475e789792b86ba53e8c.png"/><Relationship Id="rId15" Type="http://schemas.openxmlformats.org/officeDocument/2006/relationships/image" Target="media/a083fcf4fe1c28613a4753c4bf7c710a20ccc2b6.png"/><Relationship Id="rId16" Type="http://schemas.openxmlformats.org/officeDocument/2006/relationships/image" Target="media/f734177a65907683caad04fe09191a2fbe65afd4.png"/><Relationship Id="rId17" Type="http://schemas.openxmlformats.org/officeDocument/2006/relationships/image" Target="media/a53fa27a0acccd5eea2901095bafa20b1b457f34.png"/><Relationship Id="rId18" Type="http://schemas.openxmlformats.org/officeDocument/2006/relationships/image" Target="media/c930d01b4d4cf5ae8c7e30fe83f0489991815e17.png"/><Relationship Id="rId19" Type="http://schemas.openxmlformats.org/officeDocument/2006/relationships/image" Target="media/37ad650d9970aeea701ca63d3acfcabe096f19c0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2026-09-23T04:36:23.147Z</dcterms:created>
  <dcterms:modified xsi:type="dcterms:W3CDTF">2026-09-23T04:36:23.147Z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