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RECYM: Flujo Automatizado Multi-Alimentador para Asignacion de Demanda y Estudios de Flujo de Carga en Redes CYMDIST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Mac Tapia Ccosyo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Electro Dunas S.A.A., Peru</w:t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e-mail: mtapia@electrodunas.com</w:t>
      </w:r>
    </w:p>
    <w:p>
      <w:pPr>
        <w:spacing w:after="160" w:before="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Resumen—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Las empresas de distribucion requieren procedimientos repetibles para limpiar modelos de red, asignar la demanda de cabecera, inyectar clientes importantes y SpotLoads prospectivas, y comparar casos situacional versus proyectado. Este articulo presenta RECYM, una suite multi-alimentador que acopla CYMDIST/CymPy con una SPA de siete pasos y un pipeline por lotes. El flujo integra diagnostico de red, mapeo energia/potencia a SED, asignacion por kWh via API COM, SpotLoads Locked, escenarios duales de flujo y artefactos de campana. RECYM opera sobre la BD Access de Electro Dunas con 97 configuraciones de alimentador y multiples estudios .zxst; PA217 (22,9 kV) es la muestra experimental. En PA217: 0 problemas de diagnostico, precision de clientes verificada, balance de asignacion (eps_P ~ 7.6e-5 %), SpotLoad de 1420 kW y flujos duales con delta_P = +17.17 %.</w:t>
      </w:r>
    </w:p>
    <w:p>
      <w:pPr>
        <w:spacing w:after="200" w:before="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Palabras clave—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asignacion de carga, CYMDIST, estudios de demanda, flujo de carga, modelado de sistemas de potencia, redes de distribucion, herramientas de software.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900" w:bottom="1440" w:left="900" w:header="708" w:footer="708" w:gutter="0"/>
          <w:pgNumType/>
          <w:docGrid w:linePitch="360"/>
        </w:sectPr>
      </w:pP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I. INTRODUCCION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 planificacion de distribucion depende de modelos trifasicos detallados [1], [2]. CYMDIST ofrece asignacion y flujo desbalanceado [3], [4], pero las campanas suelen ser manuales. OpenDSS y pandapower automatizan investigacion [11], [12]; varias tesis migran CYMDIST a esas plataformas [13]-[15]. RECYM orquesta COM/CymPy sobre el .zxst/.mdb nativo, con arquitectura multi-alimentador (97 configs), campaña §§1-7, y validacion en la muestra PA217.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Contribuciones: (i) arquitectura en capas L1-L5; (ii) modelos matematicos de asignacion kWh y LF dual con pseudocodigo; (iii) validacion estadistica experimental en PA217 como muestra del catalogo Electro Dunas.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II. MARCO TEORICO Y TRABAJOS RELATED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Flujo trifasico y asignacion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Kersting [1] y Cheng-Shirmohammadi [9], [10] fundamentan el flujo radial/debilmente mallado. La asignacion por energia suele superar a kVA cuando hay mediciones [7], [8]. CYMDIST implementa plantillas Connected+Total [4].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Posicionamiento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diferencia de conversiones CYMDIST→OpenDSS [13]-[15], RECYM no abandona el sistema de registro. Frente a integraciones utility [16], [17], anade orquestacion SPA/jobs, SpotLoad Locked y escenarios situacional/proyectado [23]-[25].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III. ARQUITECTURA DEL SISTEMA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se organiza en cinco capas L1..L5 (Fig. 1): SPA React; API FastAPI/SSE + puente Flask; dominio pipeline/analysis/optimization; nucleo CymPy/COM; datos .zxst/.mdb/Excel. Configuracion (S, F) con |F|=97 alimentadores + estudio ELD.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2000250"/>
            <wp:effectExtent t="0" r="0" b="0" l="0"/>
            <wp:docPr id="1" name="fig1_architecture.png" descr="Fig. 1" title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1. Arquitectura por capas de RECYM.</w:t>
      </w:r>
    </w:p>
    <w:p>
      <w:pPr>
        <w:spacing w:after="40" w:before="120"/>
        <w:jc w:val="center"/>
      </w:pPr>
      <w:r>
        <w:drawing>
          <wp:inline distT="0" distB="0" distL="0" distR="0">
            <wp:extent cx="3048000" cy="1333500"/>
            <wp:effectExtent t="0" r="0" b="0" l="0"/>
            <wp:docPr id="1" name="fig2_workflow.png" descr="Fig. 2" title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2. Campana operativa §§1-7.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IV. MODELOS MATEMATICOS Y ALGORITMOS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Modelo de asignacion por kWh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Sea Pcab la potencia de cabecera y L = F ∪ U la particion Locked/unlocked. El residual y la asignacion son Pcab_res = Pcab − Σ_j∈F Pj_fix y Pi = Pcab_res · Ei / Σ_u∈U Eu para i∈U. El error de balance es eps_P = |Σ_i Pi − Pcab| / Pcab · 100%. La precision usa MAE_P y RMSE_P de |ΔPi| con tolerancia 0.01 kW (0.5 kWh en energia). Este parrafo establece el primer modelo matematico cerrado [7], [8], [4].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Modelo SpotLoad y LF dual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Para SpotLoad (P3φ, Q3φ): Pφ = P3φ/3, Qφ = Q3φ/3, φ∈{A,B,C}, estado Locked. Con flag c∈{0,1}, y_sit = F(x; c=0) y y_prj = F(x; c=1); Δy = y_prj − y_sit; δP = 100·ΔP/Psit. Este parrafo establece el segundo modelo matematico [9], [10], [23]-[25].</w:t>
      </w:r>
    </w:p>
    <w:p>
      <w:pPr>
        <w:spacing w:after="10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Pseudocodigo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Algoritmo 1 (asignacion): calcular Pcab_res; repartir Pi por Ei; escribir COM; devolver eps_P. Algoritmo 2 (LF dual): desconectar SpotLoad → LF situacional; conectar → LF proyectado; Δy. Algoritmo 3 (campana): cabecera → diagnostico Nmsg=0 → Alg.1 → SpotLoad → Alg.2 → artefactos/cierre.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V. EXPERIMENTACION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Corpus: 97 configs + ELD, BD Access compartida, multiples .zxst. Muestra: PA217 (22.9 kV), 1324 nodos, 253 cargas. Cabecera L-PA235: P=9537.88 kW, Q=2587.65 kvar. Protocolo dry_run=false §§1-7. El informe de expediente (doc/informe.*) es un producto distinto; aqui se validan software y metodo.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VI. RESULTADOS Y VALIDACION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Diagnostico: Nmsg=0. Precision: 11/11 OK, p-hat=1.00 (IC95% Clopper-Pearson [0.72, 1.00]), MAE=RMSE=0. Asignacion: eps_P ≈ 7.6×10^−5 %. SpotLoad 1420 kW; desbalance de fases 0. LF dual: ΔP=+1744 kW (δP=+17.17%), ΔQ=+986 kvar, ΔS=+1969.7 kVA; Vcab=99.84% en ambos. Cierre 21/21.</w:t>
      </w:r>
    </w:p>
    <w:p>
      <w:pPr>
        <w:spacing w:after="60" w:before="10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6"/>
          <w:szCs w:val="16"/>
        </w:rPr>
        <w:t xml:space="preserve">TABLA I. PRECISION CLIENTES (MUESTRA)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100"/>
        <w:gridCol w:w="108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Pot kW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Caliza cementos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SE30940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3800.57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Minerales Paracas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SE30480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1273.76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LJMetales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SE30642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956.49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Emsalsa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SE30353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458.00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OK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857500" cy="1666875"/>
            <wp:effectExtent t="0" r="0" b="0" l="0"/>
            <wp:docPr id="1" name="fig6_lf_demand_compare.png" descr="Fig. 6" title="Fig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3. Demanda situacional vs proyectado (PA217).</w:t>
      </w:r>
    </w:p>
    <w:p>
      <w:pPr>
        <w:spacing w:after="40" w:before="120"/>
        <w:jc w:val="center"/>
      </w:pPr>
      <w:r>
        <w:drawing>
          <wp:inline distT="0" distB="0" distL="0" distR="0">
            <wp:extent cx="2667000" cy="1905000"/>
            <wp:effectExtent t="0" r="0" b="0" l="0"/>
            <wp:docPr id="1" name="fig3_topologia.png" descr="Topo" title="To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4. Ubicacion SpotLoad 1420 kW (campana).</w:t>
      </w:r>
    </w:p>
    <w:p>
      <w:pPr>
        <w:spacing w:after="40" w:before="120"/>
        <w:jc w:val="center"/>
      </w:pPr>
      <w:r>
        <w:drawing>
          <wp:inline distT="0" distB="0" distL="0" distR="0">
            <wp:extent cx="2286000" cy="1619250"/>
            <wp:effectExtent t="0" r="0" b="0" l="0"/>
            <wp:docPr id="1" name="fig4a_situacional_tension.png" descr="Vsit" title="V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5. Tension situacional.</w:t>
      </w:r>
    </w:p>
    <w:p>
      <w:pPr>
        <w:spacing w:after="40" w:before="120"/>
        <w:jc w:val="center"/>
      </w:pPr>
      <w:r>
        <w:drawing>
          <wp:inline distT="0" distB="0" distL="0" distR="0">
            <wp:extent cx="2286000" cy="1619250"/>
            <wp:effectExtent t="0" r="0" b="0" l="0"/>
            <wp:docPr id="1" name="fig4b_proyectado_tension.png" descr="Vprj" title="Vp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Fig. 6. Tension proyectado.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VII. CONCLUSION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RECYM formaliza arquitectura, modelos de asignacion/LF dual, pseudocodigo y validacion sobre un catalogo de 97 alimentadores, con PA217 como muestra. Trabajo futuro: KPIs de flota, plantilla IEEEtran oficial y AMI.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REFERENCIAS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[1] W. H. Kersting, Distribution System Modeling and Analysis, 4th ed. CRC Press, 2017.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[2] T. Gonen, Electric Power Distribution Engineering, 3rd ed. CRC Press, 2014.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[3] H. L. Willis, Power Distribution Planning Reference Book, 2nd ed. Marcel Dekker, 2004.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[4] Eaton CYME, CYMDIST Reference Manual, v9.2, 2022.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[5] A. K. Ghosh et al., IEEE Trans. Power Del., vol. 12, no. 2, pp. 999-1005, 1997.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[6] M. E. Baran and A. W. Kelley, IEEE Trans. Power Syst., vol. 9, no. 3, pp. 1601-1609, 1994.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[7] R. F. Arritt et al., in Proc. IEEE REPC, 2012.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[8] J. Peppanen et al., in Proc. IEEE PSC, 2018.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[9] D. Shirmohammadi et al., IEEE Trans. Power Syst., vol. 3, no. 2, pp. 753-762, 1988.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[10] C. S. Cheng and D. Shirmohammadi, IEEE Trans. Power Syst., vol. 10, no. 2, pp. 671-679, 1995.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[11] R. C. Dugan and T. E. McDermott, in Proc. IEEE PES GM, 2011.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[12] L. Thurner et al., IEEE Trans. Power Syst., vol. 33, no. 6, pp. 6510-6521, 2018.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[13] V. Ramachandran, M.S. thesis, West Virginia Univ., 2011.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[16] R. H. Chumbi and T. I. Verdugo, Tesis, Univ. de Cuenca, 2013.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[17] N. A. Ramos and W. E. Espinoza, Tesis de maestria, UNAC, 2023.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[18] D. W. Puma Ttito, Tesis doctoral, UNI, 2024.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[23] M. Rylander et al., in Proc. IEEE REPC, 2015.</w:t>
      </w:r>
    </w:p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[26] IEEE Std 1547-2018.</w:t>
      </w:r>
    </w:p>
    <w:sectPr>
      <w:headerReference w:type="default" r:id="rId9"/>
      <w:footerReference w:type="default" r:id="rId10"/>
      <w:pgSz w:w="12240" w:h="15840" w:orient="portrait"/>
      <w:pgMar w:top="1080" w:right="900" w:bottom="1440" w:left="90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/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sz w:val="14"/>
        <w:szCs w:val="14"/>
      </w:rPr>
      <w:t xml:space="preserve">RECYM — formato IEEE (revision)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sz w:val="14"/>
        <w:szCs w:val="14"/>
      </w:rPr>
      <w:t xml:space="preserve">Mac Tapia Ccosyo: RECYM multi-feeder CYMDIST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76f7c0fee7bdaf218de06fa0bd74f08f05d70ef.png"/><Relationship Id="rId12" Type="http://schemas.openxmlformats.org/officeDocument/2006/relationships/image" Target="media/6f1991285cee9805c487f798fb99f9d51763b5bd.png"/><Relationship Id="rId13" Type="http://schemas.openxmlformats.org/officeDocument/2006/relationships/image" Target="media/f734177a65907683caad04fe09191a2fbe65afd4.png"/><Relationship Id="rId14" Type="http://schemas.openxmlformats.org/officeDocument/2006/relationships/image" Target="media/5b68a422ad2f026c991401938626e5d83a271d9c.png"/><Relationship Id="rId15" Type="http://schemas.openxmlformats.org/officeDocument/2006/relationships/image" Target="media/b382f81b702cdcc0177c740318017958a2a9d7a9.png"/><Relationship Id="rId16" Type="http://schemas.openxmlformats.org/officeDocument/2006/relationships/image" Target="media/894058386e0e4d64ddce627316fd87db90b02cb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2026-09-23T04:38:58.473Z</dcterms:created>
  <dcterms:modified xsi:type="dcterms:W3CDTF">2026-09-23T04:38:58.473Z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