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center"/>
      </w:pPr>
      <w:r>
        <w:rPr>
          <w:rFonts w:ascii="Times New Roman" w:cs="Times New Roman" w:eastAsia="Times New Roman" w:hAnsi="Times New Roman"/>
          <w:b/>
          <w:bCs/>
          <w:i w:val="false"/>
          <w:iCs w:val="false"/>
          <w:sz w:val="26"/>
          <w:szCs w:val="26"/>
        </w:rPr>
        <w:t xml:space="preserve">RECYM: Flujo automatizado multi-alimentador para asignación de demanda y estudios de flujo de carga en redes de distribución CYMDIST</w:t>
      </w:r>
    </w:p>
    <w:p>
      <w:pPr>
        <w:spacing w:after="40" w:before="0" w:line="276"/>
        <w:jc w:val="center"/>
      </w:pPr>
      <w:r>
        <w:rPr>
          <w:rFonts w:ascii="Times New Roman" w:cs="Times New Roman" w:eastAsia="Times New Roman" w:hAnsi="Times New Roman"/>
          <w:b w:val="false"/>
          <w:bCs w:val="false"/>
          <w:i w:val="false"/>
          <w:iCs w:val="false"/>
          <w:sz w:val="20"/>
          <w:szCs w:val="20"/>
        </w:rPr>
        <w:t xml:space="preserve">Mac Tapia Ccosyo</w:t>
      </w:r>
    </w:p>
    <w:p>
      <w:pPr>
        <w:spacing w:after="240" w:before="0" w:line="276"/>
        <w:jc w:val="center"/>
      </w:pPr>
      <w:r>
        <w:rPr>
          <w:rFonts w:ascii="Times New Roman" w:cs="Times New Roman" w:eastAsia="Times New Roman" w:hAnsi="Times New Roman"/>
          <w:b w:val="false"/>
          <w:bCs w:val="false"/>
          <w:i/>
          <w:iCs/>
          <w:sz w:val="18"/>
          <w:szCs w:val="18"/>
        </w:rPr>
        <w:t xml:space="preserve">Electro Dunas S.A.A. (empresa concesionaria)  ·  mtapia@electrodunas.com</w:t>
      </w:r>
    </w:p>
    <w:p>
      <w:pPr>
        <w:spacing w:after="80" w:before="0" w:line="276"/>
        <w:jc w:val="left"/>
      </w:pPr>
      <w:r>
        <w:rPr>
          <w:rFonts w:ascii="Times New Roman" w:cs="Times New Roman" w:eastAsia="Times New Roman" w:hAnsi="Times New Roman"/>
          <w:b/>
          <w:bCs/>
          <w:i w:val="false"/>
          <w:iCs w:val="false"/>
          <w:sz w:val="20"/>
          <w:szCs w:val="20"/>
        </w:rPr>
        <w:t xml:space="preserve">Resumen</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Las empresas de distribución requieren procedimientos repetibles para limpiar modelos de red, asignar la demanda medida en cabecera, inyectar clientes importantes y cargas concentradas prospectivas, y comparar casos situacional versus proyectado. Este artículo presenta RECYM, una suite multi-alimentador que acopla CYMDIST/CymPy con una SPA de siete pasos y un pipeline por lotes. El flujo integra diagnóstico de red, mapeo energía/potencia a SED, asignación por kWh vía API COM, SpotLoads Locked, escenarios duales de flujo e informes automatizados. En el alimentador PA217 (22,9 kV, Electro Dunas), la campaña cerró con cero problemas de diagnóstico, clientes verificados dentro de tolerancia, asignación balanceada (9537,9 kW vs. 9537,88 kW), SpotLoad de 1420 kW y flujos situacional/proyectado exitosos. La arquitectura escala a ~96 alimentadores con BD Access compartida.</w:t>
      </w:r>
    </w:p>
    <w:p>
      <w:pPr>
        <w:spacing w:after="220" w:before="0" w:line="276"/>
        <w:jc w:val="both"/>
      </w:pPr>
      <w:r>
        <w:rPr>
          <w:rFonts w:ascii="Times New Roman" w:cs="Times New Roman" w:eastAsia="Times New Roman" w:hAnsi="Times New Roman"/>
          <w:b/>
          <w:bCs/>
          <w:i/>
          <w:iCs/>
          <w:sz w:val="20"/>
          <w:szCs w:val="20"/>
        </w:rPr>
        <w:t xml:space="preserve">Palabras clave—</w:t>
      </w:r>
      <w:r>
        <w:rPr>
          <w:rFonts w:ascii="Times New Roman" w:cs="Times New Roman" w:eastAsia="Times New Roman" w:hAnsi="Times New Roman"/>
          <w:b w:val="false"/>
          <w:bCs w:val="false"/>
          <w:i/>
          <w:iCs/>
          <w:sz w:val="20"/>
          <w:szCs w:val="20"/>
        </w:rPr>
        <w:t xml:space="preserve">CYMDIST, estudios de demanda, redes de distribución, asignación de carga, flujo de carga, modelado de sistemas de potencia, herramientas de software.</w:t>
      </w:r>
    </w:p>
    <w:p>
      <w:pPr>
        <w:spacing w:after="140" w:before="280" w:line="276"/>
        <w:jc w:val="left"/>
      </w:pPr>
      <w:r>
        <w:rPr>
          <w:rFonts w:ascii="Times New Roman" w:cs="Times New Roman" w:eastAsia="Times New Roman" w:hAnsi="Times New Roman"/>
          <w:b/>
          <w:bCs/>
          <w:i w:val="false"/>
          <w:iCs w:val="false"/>
          <w:sz w:val="22"/>
          <w:szCs w:val="22"/>
        </w:rPr>
        <w:t xml:space="preserve">I. INTRODUCCIÓN</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La planificación de distribución depende de modelos detallados de alimentadores para evaluar tensión, cargabilidad e impacto de nuevos clientes [1], [2]. CYMDIST ofrece asignación de carga y flujo desbalanceado [3], pero las campañas suelen ser manuales en GUI. Herramientas abiertas como OpenDSS [5] y pandapower [6] automatizan investigación; muchas utilities latinoamericanas, sin embargo, estandarizan .zxst/.mdb. RECYM cierra esa brecha [7], [8] con arquitectura por capas, campaña §§1–7 y validación en PA217 (22,9 kV).</w:t>
      </w:r>
    </w:p>
    <w:p>
      <w:pPr>
        <w:spacing w:after="140" w:before="280" w:line="276"/>
        <w:jc w:val="left"/>
      </w:pPr>
      <w:r>
        <w:rPr>
          <w:rFonts w:ascii="Times New Roman" w:cs="Times New Roman" w:eastAsia="Times New Roman" w:hAnsi="Times New Roman"/>
          <w:b/>
          <w:bCs/>
          <w:i w:val="false"/>
          <w:iCs w:val="false"/>
          <w:sz w:val="22"/>
          <w:szCs w:val="22"/>
        </w:rPr>
        <w:t xml:space="preserve">II. TRABAJOS RELACIONADOS</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Kersting [1] formaliza el modelado trifásico. La asignación usa energía/demanda/kVA como pesos [3], [9]. La automatización COM de herramientas comerciales es crítica cuando el sistema de registro es propietario [7], [8]. Estudios de capacidad e interconexión motivan narrativas situacional vs. proyectado [12]–[14].</w:t>
      </w:r>
    </w:p>
    <w:p>
      <w:pPr>
        <w:spacing w:after="140" w:before="280" w:line="276"/>
        <w:jc w:val="left"/>
      </w:pPr>
      <w:r>
        <w:rPr>
          <w:rFonts w:ascii="Times New Roman" w:cs="Times New Roman" w:eastAsia="Times New Roman" w:hAnsi="Times New Roman"/>
          <w:b/>
          <w:bCs/>
          <w:i w:val="false"/>
          <w:iCs w:val="false"/>
          <w:sz w:val="22"/>
          <w:szCs w:val="22"/>
        </w:rPr>
        <w:t xml:space="preserve">III. ARQUITECTURA DEL SISTEMA</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Cinco capas: presentación (SPA React), API (FastAPI jobs/SSE + puente Flask), dominio (pipeline/analysis/optimization), núcleo CymPy/COM y datos externos (.zxst/.mdb/Excel). Config multi-alimentador vía settings.json + feeders/&lt;ID&gt;.json (~96 alimentadores + estudio ELD).</w:t>
      </w:r>
    </w:p>
    <w:p>
      <w:pPr>
        <w:spacing w:after="40" w:before="160"/>
        <w:jc w:val="center"/>
      </w:pPr>
      <w:r>
        <w:drawing>
          <wp:inline distT="0" distB="0" distL="0" distR="0">
            <wp:extent cx="4953000" cy="3238500"/>
            <wp:effectExtent t="0" r="0" b="0" l="0"/>
            <wp:docPr id="1" name="fig1_architecture.png" descr="Fig. 1 Architecture" title="Fig. 1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1. Arquitectura por capas de RECYM (UI → API → dominio → núcleo CYMDIST → datos).</w:t>
      </w:r>
    </w:p>
    <w:p>
      <w:pPr>
        <w:spacing w:after="140" w:before="280" w:line="276"/>
        <w:jc w:val="left"/>
      </w:pPr>
      <w:r>
        <w:rPr>
          <w:rFonts w:ascii="Times New Roman" w:cs="Times New Roman" w:eastAsia="Times New Roman" w:hAnsi="Times New Roman"/>
          <w:b/>
          <w:bCs/>
          <w:i w:val="false"/>
          <w:iCs w:val="false"/>
          <w:sz w:val="22"/>
          <w:szCs w:val="22"/>
        </w:rPr>
        <w:t xml:space="preserve">IV. MODELOS MATEMATICOS Y ALGORITMOS</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Modelo 1 (asignacion kWh): Pcab_res = Pcab - suma Pfix; Pi = Pcab_res * Ei / suma Eu; error eps_P = |suma Pi - Pcab|/Pcab * 100%. Precision MAE/RMSE de DeltaP, DeltaE (tol. 0.01 kW / 0.5 kWh).</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Modelo 2 (SpotLoad + LF dual): Pphase = P3ph/3, Qphase = Q3ph/3; y_sit = F(x; c=0), y_prj = F(x; c=1); Delta y = y_prj - y_sit; delta_P = 100*DeltaP/Psit. Pseudocodigo Algoritmos 1-3. Validacion muestra PA217: eps_P ~ 7.6e-5%, MAE=0, delta_P=+17.17%, cierre 21/21.</w:t>
      </w:r>
    </w:p>
    <w:p>
      <w:pPr>
        <w:spacing w:after="140" w:before="280" w:line="276"/>
        <w:jc w:val="left"/>
      </w:pPr>
      <w:r>
        <w:rPr>
          <w:rFonts w:ascii="Times New Roman" w:cs="Times New Roman" w:eastAsia="Times New Roman" w:hAnsi="Times New Roman"/>
          <w:b/>
          <w:bCs/>
          <w:i w:val="false"/>
          <w:iCs w:val="false"/>
          <w:sz w:val="22"/>
          <w:szCs w:val="22"/>
        </w:rPr>
        <w:t xml:space="preserve">IV-bis. FLUJO OPERATIVO</w:t>
      </w:r>
    </w:p>
    <w:p>
      <w:pPr>
        <w:spacing w:after="140" w:before="280" w:line="276"/>
        <w:jc w:val="left"/>
      </w:pPr>
      <w:r>
        <w:rPr>
          <w:rFonts w:ascii="Times New Roman" w:cs="Times New Roman" w:eastAsia="Times New Roman" w:hAnsi="Times New Roman"/>
          <w:b/>
          <w:bCs/>
          <w:i w:val="false"/>
          <w:iCs w:val="false"/>
          <w:sz w:val="22"/>
          <w:szCs w:val="22"/>
        </w:rPr>
        <w:t xml:space="preserve">IV. FLUJO DE TRABAJO PROPUESTO</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§1 contexto/cabecera; §2 compuerta de calidad; §3 clientes EA→KWH / Pot→kW Locked + asignación; §4 SpotLoad P/3 Q/3 Locked (sin redistribuir después); §5 LF situacional (desconecta §4) / proyectado (conecta §4); §§6–7 informes y suite.</w:t>
      </w:r>
    </w:p>
    <w:p>
      <w:pPr>
        <w:spacing w:after="40" w:before="160"/>
        <w:jc w:val="center"/>
      </w:pPr>
      <w:r>
        <w:drawing>
          <wp:inline distT="0" distB="0" distL="0" distR="0">
            <wp:extent cx="5143500" cy="2238375"/>
            <wp:effectExtent t="0" r="0" b="0" l="0"/>
            <wp:docPr id="1" name="fig2_workflow.png" descr="Fig. 2 Workflow" title="Fig. 2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38375"/>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2. Campaña operativa RECYM §§1–7.</w:t>
      </w:r>
    </w:p>
    <w:p>
      <w:pPr>
        <w:spacing w:after="140" w:before="280" w:line="276"/>
        <w:jc w:val="left"/>
      </w:pPr>
      <w:r>
        <w:rPr>
          <w:rFonts w:ascii="Times New Roman" w:cs="Times New Roman" w:eastAsia="Times New Roman" w:hAnsi="Times New Roman"/>
          <w:b/>
          <w:bCs/>
          <w:i w:val="false"/>
          <w:iCs w:val="false"/>
          <w:sz w:val="22"/>
          <w:szCs w:val="22"/>
        </w:rPr>
        <w:t xml:space="preserve">V. CASO DE ESTUDIO</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RECYM ya opera sobre la BD Access de Electro Dunas con 97 configuraciones de alimentador y múltiples estudios .zxst; PA217 (22,9 kV) se reporta como muestra experimental representativa. En PA217: 0 problemas de diagnóstico, clientes verificados, asignación balanceada (9537,9 vs 9537,88 kW), SpotLoad 1420 kW y LF situacional/proyectado con deltas P/Q/S cuantificados.</w:t>
      </w:r>
    </w:p>
    <w:p>
      <w:pPr>
        <w:spacing w:after="160" w:before="0" w:line="276"/>
        <w:jc w:val="both"/>
      </w:pPr>
      <w:r>
        <w:rPr>
          <w:rFonts w:ascii="Times New Roman" w:cs="Times New Roman" w:eastAsia="Times New Roman" w:hAnsi="Times New Roman"/>
          <w:b w:val="false"/>
          <w:bCs w:val="false"/>
          <w:i w:val="false"/>
          <w:iCs w:val="false"/>
          <w:sz w:val="20"/>
          <w:szCs w:val="20"/>
        </w:rPr>
        <w:t xml:space="preserve">Corpus: 97 feeders + ELD; BD compartida; estudios .zxst múltiples. PA217 es muestra para validar RECYM (no es el informe de entrega de doc/).</w:t>
      </w:r>
    </w:p>
    <w:p>
      <w:pPr>
        <w:spacing w:after="140" w:before="280" w:line="276"/>
        <w:jc w:val="left"/>
      </w:pPr>
      <w:r>
        <w:rPr>
          <w:rFonts w:ascii="Times New Roman" w:cs="Times New Roman" w:eastAsia="Times New Roman" w:hAnsi="Times New Roman"/>
          <w:b/>
          <w:bCs/>
          <w:i w:val="false"/>
          <w:iCs w:val="false"/>
          <w:sz w:val="22"/>
          <w:szCs w:val="22"/>
        </w:rPr>
        <w:t xml:space="preserve">VI. RESULTADOS Y DISCUSIÓN</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Diagnóstico: 0 mensajes / 0 problemas. Precisión clientes: 11 OK, 0 fallos (Tabla I). Asignación COM: ΣP=9537,9 kW vs cabecera 9537,88 kW (Δ≈0%), 257 cargas. SpotLoad Locked 1420 kW en NODE_1080_320357_MI-17145_2 (Fig. 3). Flujos situacional y proyectado OK (Figs. 4–5). Cierre automatizado 21/21 pasos.</w:t>
      </w:r>
    </w:p>
    <w:p>
      <w:pPr>
        <w:spacing w:after="80" w:before="120" w:line="276"/>
        <w:jc w:val="center"/>
      </w:pPr>
      <w:r>
        <w:rPr>
          <w:rFonts w:ascii="Times New Roman" w:cs="Times New Roman" w:eastAsia="Times New Roman" w:hAnsi="Times New Roman"/>
          <w:b/>
          <w:bCs/>
          <w:i w:val="false"/>
          <w:iCs w:val="false"/>
          <w:sz w:val="18"/>
          <w:szCs w:val="18"/>
        </w:rPr>
        <w:t xml:space="preserve">TABLA I. PRECISIÓN DE CLIENTES IMPORTANTES EN PA217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800"/>
        <w:gridCol w:w="1400"/>
        <w:gridCol w:w="1000"/>
        <w:gridCol w:w="1000"/>
        <w:gridCol w:w="960"/>
      </w:tblGrid>
      <w:tr>
        <w:tc>
          <w:tcPr>
            <w:tcW w:type="dxa" w:w="2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17"/>
                <w:szCs w:val="17"/>
              </w:rPr>
              <w:t xml:space="preserve">Cliente</w:t>
            </w:r>
          </w:p>
        </w:tc>
        <w:tc>
          <w:tcPr>
            <w:tcW w:type="dxa" w:w="1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17"/>
                <w:szCs w:val="17"/>
              </w:rPr>
              <w:t xml:space="preserve">SED</w:t>
            </w:r>
          </w:p>
        </w:tc>
        <w:tc>
          <w:tcPr>
            <w:tcW w:type="dxa" w:w="18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17"/>
                <w:szCs w:val="17"/>
              </w:rPr>
              <w:t xml:space="preserve">EA (kWh)</w:t>
            </w:r>
          </w:p>
        </w:tc>
        <w:tc>
          <w:tcPr>
            <w:tcW w:type="dxa" w:w="14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17"/>
                <w:szCs w:val="17"/>
              </w:rPr>
              <w:t xml:space="preserve">Pot (kW)</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17"/>
                <w:szCs w:val="17"/>
              </w:rPr>
              <w:t xml:space="preserve">ΔkWh</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17"/>
                <w:szCs w:val="17"/>
              </w:rPr>
              <w:t xml:space="preserve">ΔkW</w:t>
            </w:r>
          </w:p>
        </w:tc>
        <w:tc>
          <w:tcPr>
            <w:tcW w:type="dxa" w:w="96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17"/>
                <w:szCs w:val="17"/>
              </w:rPr>
              <w:t xml:space="preserve">Estado</w:t>
            </w:r>
          </w:p>
        </w:tc>
      </w:tr>
      <w:tr>
        <w:tc>
          <w:tcPr>
            <w:tcW w:type="dxa" w:w="2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Caliza cementos inca</w:t>
            </w:r>
          </w:p>
        </w:tc>
        <w:tc>
          <w:tcPr>
            <w:tcW w:type="dxa" w:w="1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SE30940</w:t>
            </w:r>
          </w:p>
        </w:tc>
        <w:tc>
          <w:tcPr>
            <w:tcW w:type="dxa" w:w="18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1,747,551.27</w:t>
            </w:r>
          </w:p>
        </w:tc>
        <w:tc>
          <w:tcPr>
            <w:tcW w:type="dxa" w:w="14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3800.57</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96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OK</w:t>
            </w:r>
          </w:p>
        </w:tc>
      </w:tr>
      <w:tr>
        <w:tc>
          <w:tcPr>
            <w:tcW w:type="dxa" w:w="2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Minerales Paracas</w:t>
            </w:r>
          </w:p>
        </w:tc>
        <w:tc>
          <w:tcPr>
            <w:tcW w:type="dxa" w:w="1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SE30480</w:t>
            </w:r>
          </w:p>
        </w:tc>
        <w:tc>
          <w:tcPr>
            <w:tcW w:type="dxa" w:w="18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678,852.12</w:t>
            </w:r>
          </w:p>
        </w:tc>
        <w:tc>
          <w:tcPr>
            <w:tcW w:type="dxa" w:w="14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1273.76</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96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OK</w:t>
            </w:r>
          </w:p>
        </w:tc>
      </w:tr>
      <w:tr>
        <w:tc>
          <w:tcPr>
            <w:tcW w:type="dxa" w:w="2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LJMetales</w:t>
            </w:r>
          </w:p>
        </w:tc>
        <w:tc>
          <w:tcPr>
            <w:tcW w:type="dxa" w:w="1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SE30642</w:t>
            </w:r>
          </w:p>
        </w:tc>
        <w:tc>
          <w:tcPr>
            <w:tcW w:type="dxa" w:w="18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527,079.81</w:t>
            </w:r>
          </w:p>
        </w:tc>
        <w:tc>
          <w:tcPr>
            <w:tcW w:type="dxa" w:w="14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956.49</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96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OK</w:t>
            </w:r>
          </w:p>
        </w:tc>
      </w:tr>
      <w:tr>
        <w:tc>
          <w:tcPr>
            <w:tcW w:type="dxa" w:w="2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Emsalsa</w:t>
            </w:r>
          </w:p>
        </w:tc>
        <w:tc>
          <w:tcPr>
            <w:tcW w:type="dxa" w:w="1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SE30353</w:t>
            </w:r>
          </w:p>
        </w:tc>
        <w:tc>
          <w:tcPr>
            <w:tcW w:type="dxa" w:w="18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157,621.44</w:t>
            </w:r>
          </w:p>
        </w:tc>
        <w:tc>
          <w:tcPr>
            <w:tcW w:type="dxa" w:w="14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458.00</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96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OK</w:t>
            </w:r>
          </w:p>
        </w:tc>
      </w:tr>
      <w:tr>
        <w:tc>
          <w:tcPr>
            <w:tcW w:type="dxa" w:w="2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Uvica</w:t>
            </w:r>
          </w:p>
        </w:tc>
        <w:tc>
          <w:tcPr>
            <w:tcW w:type="dxa" w:w="11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SE30424</w:t>
            </w:r>
          </w:p>
        </w:tc>
        <w:tc>
          <w:tcPr>
            <w:tcW w:type="dxa" w:w="18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167,101.44</w:t>
            </w:r>
          </w:p>
        </w:tc>
        <w:tc>
          <w:tcPr>
            <w:tcW w:type="dxa" w:w="14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366.30</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1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0.0</w:t>
            </w:r>
          </w:p>
        </w:tc>
        <w:tc>
          <w:tcPr>
            <w:tcW w:type="dxa" w:w="96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val="false"/>
                <w:bCs w:val="false"/>
                <w:sz w:val="17"/>
                <w:szCs w:val="17"/>
              </w:rPr>
              <w:t xml:space="preserve">OK</w:t>
            </w:r>
          </w:p>
        </w:tc>
      </w:tr>
    </w:tbl>
    <w:p>
      <w:pPr>
        <w:spacing w:after="40" w:before="160"/>
        <w:jc w:val="center"/>
      </w:pPr>
      <w:r>
        <w:drawing>
          <wp:inline distT="0" distB="0" distL="0" distR="0">
            <wp:extent cx="4572000" cy="3238500"/>
            <wp:effectExtent t="0" r="0" b="0" l="0"/>
            <wp:docPr id="1" name="fig3_topologia.png" descr="Fig. 3 Topology" title="Fig. 3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38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3. Ubicación de la SpotLoad prospectiva (1420 kW) en PA217.</w:t>
      </w:r>
    </w:p>
    <w:p>
      <w:pPr>
        <w:spacing w:after="40" w:before="160"/>
        <w:jc w:val="center"/>
      </w:pPr>
      <w:r>
        <w:drawing>
          <wp:inline distT="0" distB="0" distL="0" distR="0">
            <wp:extent cx="4000500" cy="2857500"/>
            <wp:effectExtent t="0" r="0" b="0" l="0"/>
            <wp:docPr id="1" name="fig4a_situacional_tension.png" descr="Fig. 4a" title="Fig. 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4a. Mapa de tensión — escenario situacional (SpotLoad §4 desconectada).</w:t>
      </w:r>
    </w:p>
    <w:p>
      <w:pPr>
        <w:spacing w:after="40" w:before="160"/>
        <w:jc w:val="center"/>
      </w:pPr>
      <w:r>
        <w:drawing>
          <wp:inline distT="0" distB="0" distL="0" distR="0">
            <wp:extent cx="4000500" cy="2857500"/>
            <wp:effectExtent t="0" r="0" b="0" l="0"/>
            <wp:docPr id="1" name="fig4b_proyectado_tension.png" descr="Fig. 4b" title="Fig. 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4b. Mapa de tensión — escenario proyectado (SpotLoad §4 conectada).</w:t>
      </w:r>
    </w:p>
    <w:p>
      <w:pPr>
        <w:spacing w:after="40" w:before="160"/>
        <w:jc w:val="center"/>
      </w:pPr>
      <w:r>
        <w:drawing>
          <wp:inline distT="0" distB="0" distL="0" distR="0">
            <wp:extent cx="4000500" cy="2857500"/>
            <wp:effectExtent t="0" r="0" b="0" l="0"/>
            <wp:docPr id="1" name="fig5a_situacional_cargabilidad.png" descr="Fig. 5a" title="Fig. 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857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5a. Cargabilidad — escenario situacional.</w:t>
      </w:r>
    </w:p>
    <w:p>
      <w:pPr>
        <w:spacing w:after="40" w:before="160"/>
        <w:jc w:val="center"/>
      </w:pPr>
      <w:r>
        <w:drawing>
          <wp:inline distT="0" distB="0" distL="0" distR="0">
            <wp:extent cx="4000500" cy="2857500"/>
            <wp:effectExtent t="0" r="0" b="0" l="0"/>
            <wp:docPr id="1" name="fig5b_proyectado_cargabilidad.png" descr="Fig. 5b" title="Fig. 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5b. Cargabilidad — escenario proyectado (muestra PA217).</w:t>
      </w:r>
    </w:p>
    <w:p>
      <w:pPr>
        <w:spacing w:after="40" w:before="160"/>
        <w:jc w:val="center"/>
      </w:pPr>
      <w:r>
        <w:drawing>
          <wp:inline distT="0" distB="0" distL="0" distR="0">
            <wp:extent cx="4572000" cy="2667000"/>
            <wp:effectExtent t="0" r="0" b="0" l="0"/>
            <wp:docPr id="1" name="fig6_lf_demand_compare.png" descr="Fig. 6"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670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6. Demanda de cabecera situacional vs proyectado (datos reales LF COM PA217).</w:t>
      </w:r>
    </w:p>
    <w:p>
      <w:pPr>
        <w:spacing w:after="40" w:before="160"/>
        <w:jc w:val="center"/>
      </w:pPr>
      <w:r>
        <w:drawing>
          <wp:inline distT="0" distB="0" distL="0" distR="0">
            <wp:extent cx="4572000" cy="2095500"/>
            <wp:effectExtent t="0" r="0" b="0" l="0"/>
            <wp:docPr id="1" name="fig7_lf_voltage_pf_table.png" descr="Fig. 7"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095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7. Tabla III visual: tensión, FP y P/Q/S (muestra PA217).</w:t>
      </w:r>
    </w:p>
    <w:p>
      <w:pPr>
        <w:spacing w:after="40" w:before="160"/>
        <w:jc w:val="center"/>
      </w:pPr>
      <w:r>
        <w:drawing>
          <wp:inline distT="0" distB="0" distL="0" distR="0">
            <wp:extent cx="4572000" cy="2476500"/>
            <wp:effectExtent t="0" r="0" b="0" l="0"/>
            <wp:docPr id="1" name="fig8_clientes_pot.png" descr="Fig. 8"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76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8. Pot (kW) de clientes importantes verificados en la muestra PA217.</w:t>
      </w:r>
    </w:p>
    <w:p>
      <w:pPr>
        <w:spacing w:after="40" w:before="160"/>
        <w:jc w:val="center"/>
      </w:pPr>
      <w:r>
        <w:drawing>
          <wp:inline distT="0" distB="0" distL="0" distR="0">
            <wp:extent cx="4762500" cy="2667000"/>
            <wp:effectExtent t="0" r="0" b="0" l="0"/>
            <wp:docPr id="1" name="fig9_cierre_steps.png" descr="Fig. 9"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val="false"/>
          <w:bCs w:val="false"/>
          <w:i/>
          <w:iCs/>
          <w:sz w:val="18"/>
          <w:szCs w:val="18"/>
        </w:rPr>
        <w:t xml:space="preserve">Fig. 9. Cierre automatizado §§1–7 en PA217 (21/21 OK).</w:t>
      </w:r>
    </w:p>
    <w:p>
      <w:pPr>
        <w:spacing w:after="120" w:before="80" w:line="276"/>
        <w:jc w:val="both"/>
      </w:pPr>
      <w:r>
        <w:rPr>
          <w:rFonts w:ascii="Times New Roman" w:cs="Times New Roman" w:eastAsia="Times New Roman" w:hAnsi="Times New Roman"/>
          <w:b w:val="false"/>
          <w:bCs w:val="false"/>
          <w:i w:val="false"/>
          <w:iCs w:val="false"/>
          <w:sz w:val="20"/>
          <w:szCs w:val="20"/>
        </w:rPr>
        <w:t xml:space="preserve">Limitaciones: Windows/COM; integridad .zxst; fallback COM. Las tablas detalladas son de la muestra PA217; el catálogo ya tiene 97 alimentadores y múltiples estudios — KPIs de flota quedan como trabajo futuro.</w:t>
      </w:r>
    </w:p>
    <w:p>
      <w:pPr>
        <w:spacing w:after="140" w:before="280" w:line="276"/>
        <w:jc w:val="left"/>
      </w:pPr>
      <w:r>
        <w:rPr>
          <w:rFonts w:ascii="Times New Roman" w:cs="Times New Roman" w:eastAsia="Times New Roman" w:hAnsi="Times New Roman"/>
          <w:b/>
          <w:bCs/>
          <w:i w:val="false"/>
          <w:iCs w:val="false"/>
          <w:sz w:val="22"/>
          <w:szCs w:val="22"/>
        </w:rPr>
        <w:t xml:space="preserve">VII. CONCLUSIÓN</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RECYM automatiza campañas CYMDIST multi-alimentador sobre 97 alimentadores Electro Dunas y múltiples .zxst. Con PA217 como muestra representativa: 0 problemas de diagnóstico, precisión verificada, asignación balanceada, LF dual para 1420 kW y cierre 21/21. Trabajo futuro: KPIs de flota sobre el catálogo completo y endurecimiento §7.</w:t>
      </w:r>
    </w:p>
    <w:p>
      <w:pPr>
        <w:spacing w:after="140" w:before="280" w:line="276"/>
        <w:jc w:val="left"/>
      </w:pPr>
      <w:r>
        <w:rPr>
          <w:rFonts w:ascii="Times New Roman" w:cs="Times New Roman" w:eastAsia="Times New Roman" w:hAnsi="Times New Roman"/>
          <w:b/>
          <w:bCs/>
          <w:i w:val="false"/>
          <w:iCs w:val="false"/>
          <w:sz w:val="22"/>
          <w:szCs w:val="22"/>
        </w:rPr>
        <w:t xml:space="preserve">REFERENCIAS</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 W. H. Kersting, Distribution System Modeling and Analysis, 4th ed. Boca Raton, FL, USA: CRC Press, 2017.</w:t>
      </w:r>
    </w:p>
    <w:p>
      <w:pPr>
        <w:spacing w:after="70" w:before="0" w:line="276"/>
        <w:jc w:val="left"/>
      </w:pPr>
      <w:r>
        <w:rPr>
          <w:rFonts w:ascii="Times New Roman" w:cs="Times New Roman" w:eastAsia="Times New Roman" w:hAnsi="Times New Roman"/>
          <w:b w:val="false"/>
          <w:bCs w:val="false"/>
          <w:i w:val="false"/>
          <w:iCs w:val="false"/>
          <w:sz w:val="17"/>
          <w:szCs w:val="17"/>
        </w:rPr>
        <w:t xml:space="preserve">[2] T. Gönen, Electric Power Distribution Engineering, 3rd ed. Boca Raton, FL, USA: CRC Press, 2014.</w:t>
      </w:r>
    </w:p>
    <w:p>
      <w:pPr>
        <w:spacing w:after="70" w:before="0" w:line="276"/>
        <w:jc w:val="left"/>
      </w:pPr>
      <w:r>
        <w:rPr>
          <w:rFonts w:ascii="Times New Roman" w:cs="Times New Roman" w:eastAsia="Times New Roman" w:hAnsi="Times New Roman"/>
          <w:b w:val="false"/>
          <w:bCs w:val="false"/>
          <w:i w:val="false"/>
          <w:iCs w:val="false"/>
          <w:sz w:val="17"/>
          <w:szCs w:val="17"/>
        </w:rPr>
        <w:t xml:space="preserve">[3] Eaton CYME, CYMDIST Reference Manual / How-to Tutorials (Load Allocation, Load Flow), version 9.2. Saint-Bruno, QC, Canada: Eaton, 2022.</w:t>
      </w:r>
    </w:p>
    <w:p>
      <w:pPr>
        <w:spacing w:after="70" w:before="0" w:line="276"/>
        <w:jc w:val="left"/>
      </w:pPr>
      <w:r>
        <w:rPr>
          <w:rFonts w:ascii="Times New Roman" w:cs="Times New Roman" w:eastAsia="Times New Roman" w:hAnsi="Times New Roman"/>
          <w:b w:val="false"/>
          <w:bCs w:val="false"/>
          <w:i w:val="false"/>
          <w:iCs w:val="false"/>
          <w:sz w:val="17"/>
          <w:szCs w:val="17"/>
        </w:rPr>
        <w:t xml:space="preserve">[4] R. C. Dugan, M. F. McGranaghan, S. Santoso, and H. W. Beaty, Electrical Power Systems Quality, 3rd ed. New York, NY, USA: McGraw-Hill, 2012.</w:t>
      </w:r>
    </w:p>
    <w:p>
      <w:pPr>
        <w:spacing w:after="70" w:before="0" w:line="276"/>
        <w:jc w:val="left"/>
      </w:pPr>
      <w:r>
        <w:rPr>
          <w:rFonts w:ascii="Times New Roman" w:cs="Times New Roman" w:eastAsia="Times New Roman" w:hAnsi="Times New Roman"/>
          <w:b w:val="false"/>
          <w:bCs w:val="false"/>
          <w:i w:val="false"/>
          <w:iCs w:val="false"/>
          <w:sz w:val="17"/>
          <w:szCs w:val="17"/>
        </w:rPr>
        <w:t xml:space="preserve">[5] R. C. Dugan and T. E. McDermott, “An open source platform for collaborating on smart grid research,” in Proc. IEEE Power Energy Soc. Gen. Meeting, Detroit, MI, USA, 2011, pp. 1–7.</w:t>
      </w:r>
    </w:p>
    <w:p>
      <w:pPr>
        <w:spacing w:after="70" w:before="0" w:line="276"/>
        <w:jc w:val="left"/>
      </w:pPr>
      <w:r>
        <w:rPr>
          <w:rFonts w:ascii="Times New Roman" w:cs="Times New Roman" w:eastAsia="Times New Roman" w:hAnsi="Times New Roman"/>
          <w:b w:val="false"/>
          <w:bCs w:val="false"/>
          <w:i w:val="false"/>
          <w:iCs w:val="false"/>
          <w:sz w:val="17"/>
          <w:szCs w:val="17"/>
        </w:rPr>
        <w:t xml:space="preserve">[6] L. Thurner et al., “pandapower—An open-source Python tool for convenient modeling, analysis, and optimization of electric power systems,” IEEE Trans. Power Syst., vol. 33, no. 6, pp. 6510–6521, Nov. 2018.</w:t>
      </w:r>
    </w:p>
    <w:p>
      <w:pPr>
        <w:spacing w:after="70" w:before="0" w:line="276"/>
        <w:jc w:val="left"/>
      </w:pPr>
      <w:r>
        <w:rPr>
          <w:rFonts w:ascii="Times New Roman" w:cs="Times New Roman" w:eastAsia="Times New Roman" w:hAnsi="Times New Roman"/>
          <w:b w:val="false"/>
          <w:bCs w:val="false"/>
          <w:i w:val="false"/>
          <w:iCs w:val="false"/>
          <w:sz w:val="17"/>
          <w:szCs w:val="17"/>
        </w:rPr>
        <w:t xml:space="preserve">[7] J. Peppanen, M. J. Reno, M. Thakkar, S. Grijalva, and R. G. Harley, “Leveraging AMI data for distribution system model calibration and situational awareness,” IEEE Trans. Smart Grid, vol. 6, no. 4, pp. 2000–2009, Jul. 2015.</w:t>
      </w:r>
    </w:p>
    <w:p>
      <w:pPr>
        <w:spacing w:after="70" w:before="0" w:line="276"/>
        <w:jc w:val="left"/>
      </w:pPr>
      <w:r>
        <w:rPr>
          <w:rFonts w:ascii="Times New Roman" w:cs="Times New Roman" w:eastAsia="Times New Roman" w:hAnsi="Times New Roman"/>
          <w:b w:val="false"/>
          <w:bCs w:val="false"/>
          <w:i w:val="false"/>
          <w:iCs w:val="false"/>
          <w:sz w:val="17"/>
          <w:szCs w:val="17"/>
        </w:rPr>
        <w:t xml:space="preserve">[8] Y. Wang, Q. Chen, T. Hong, and C. Kang, “Review of smart meter data analytics: Applications, methodologies, and challenges,” IEEE Trans. Smart Grid, vol. 10, no. 3, pp. 3125–3148, May 2019.</w:t>
      </w:r>
    </w:p>
    <w:p>
      <w:pPr>
        <w:spacing w:after="70" w:before="0" w:line="276"/>
        <w:jc w:val="left"/>
      </w:pPr>
      <w:r>
        <w:rPr>
          <w:rFonts w:ascii="Times New Roman" w:cs="Times New Roman" w:eastAsia="Times New Roman" w:hAnsi="Times New Roman"/>
          <w:b w:val="false"/>
          <w:bCs w:val="false"/>
          <w:i w:val="false"/>
          <w:iCs w:val="false"/>
          <w:sz w:val="17"/>
          <w:szCs w:val="17"/>
        </w:rPr>
        <w:t xml:space="preserve">[9] A. K. Ghosh, D. L. Lubkeman, and R. H. Jones, “Load modeling for distribution circuit state estimation,” IEEE Trans. Power Del., vol. 12, no. 2, pp. 999–1005, Apr. 1997.</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[10] M. E. Baran and A. W. Kelley, “State estimation for real-time monitoring of distribution systems,” IEEE Trans. Power Syst., vol. 9, no. 3, pp. 1601–1609, Aug. 1994.</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[11] T. Brown, J. Hörsch, and D. Schlachtberger, “PyPSA: Python for power system analysis,” J. Open Res. Softw., vol. 6, no. 1, Art. no. 4, 2018.</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[12] M. Rylander, J. Smith, and W. Sunderman, “Streamlined method for determining distribution system hosting capacity,” in Proc. IEEE Rural Electric Power Conf., Asheville, NC, USA, 2015, pp. 3–9.</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[13] F. Ding and B. Mather, “On distributed PV hosting capacity estimation, sensitivity study, and improvement,” IEEE Trans. Sustain. Energy, vol. 8, no. 3, pp. 1010–1020, Jul. 2017.</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[14] IEEE Standard for Interconnection and Interoperability of Distributed Energy Resources with Associated Electric Power Systems Interfaces, IEEE Std 1547-2018, Apr. 2018.</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[15] H. L. Willis, Power Distribution Planning Reference Book, 2nd ed. New York, NY, USA: Marcel Dekker, 2004.</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[16] J. A. Momoh, Electric Power Distribution, Automation, Protection, and Control. Boca Raton, FL, USA: CRC Press, 2008.</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[17] A. Abur and A. G. Expósito, Power System State Estimation: Theory and Implementation. New York, NY, USA: Marcel Dekker, 2004.</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[18] OSINERGMIN, Normativa técnica de calidad de servicio eléctrico / distribución (Perú). Lima, Peru. [Online]. Available: https://www.osinergmin.gob.pe</w:t>
      </w:r>
    </w:p>
    <w:p>
      <w:pPr>
        <w:spacing w:after="70" w:before="0" w:line="276"/>
        <w:jc w:val="left"/>
      </w:pPr>
      <w:r>
        <w:rPr>
          <w:rFonts w:ascii="Times New Roman" w:cs="Times New Roman" w:eastAsia="Times New Roman" w:hAnsi="Times New Roman"/>
          <w:b w:val="false"/>
          <w:bCs w:val="false"/>
          <w:i w:val="false"/>
          <w:iCs w:val="false"/>
          <w:sz w:val="17"/>
          <w:szCs w:val="17"/>
        </w:rPr>
        <w:t xml:space="preserve">[19] IEEE Guide for Electric Power Distribution Reliability Indices, IEEE Std 1366-2022, 2022.</w:t>
      </w:r>
    </w:p>
    <w:p>
      <w:pPr>
        <w:spacing w:after="70" w:before="0" w:line="276"/>
        <w:jc w:val="left"/>
      </w:pPr>
      <w:r>
        <w:rPr>
          <w:rFonts w:ascii="Times New Roman" w:cs="Times New Roman" w:eastAsia="Times New Roman" w:hAnsi="Times New Roman"/>
          <w:b w:val="false"/>
          <w:bCs w:val="false"/>
          <w:i w:val="false"/>
          <w:iCs w:val="false"/>
          <w:sz w:val="17"/>
          <w:szCs w:val="17"/>
        </w:rPr>
        <w:t xml:space="preserve">[20] S. Conti, S. Raiti, G. Tina, and U. Vagliasindi, “Study of the impact of PV generation on voltage profile in LV distribution networks,” in Proc. IEEE Power Tech, St. Petersburg, Russia, 2005, pp. 1–6.</w:t>
      </w:r>
    </w:p>
    <w:p>
      <w:pPr>
        <w:spacing w:after="120" w:before="200" w:line="276"/>
        <w:jc w:val="left"/>
      </w:pPr>
      <w:r>
        <w:rPr>
          <w:rFonts w:ascii="Times New Roman" w:cs="Times New Roman" w:eastAsia="Times New Roman" w:hAnsi="Times New Roman"/>
          <w:b w:val="false"/>
          <w:bCs w:val="false"/>
          <w:i/>
          <w:iCs/>
          <w:sz w:val="15"/>
          <w:szCs w:val="15"/>
        </w:rPr>
        <w:t xml:space="preserve">Nota: pegar en plantilla oficial IEEE antes del envío. Texto: MANUSCRIPT_ES.md. BibTeX: references.bib. Autor: Mac Tapia Ccosyo (Electro Dunas S.A.A.).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4"/>
        <w:szCs w:val="14"/>
      </w:rPr>
      <w:t xml:space="preserve">Page </w:t>
    </w:r>
    <w:r>
      <w:rPr>
        <w:rFonts w:ascii="Times New Roman" w:cs="Times New Roman" w:eastAsia="Times New Roman" w:hAnsi="Times New Roman"/>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4"/>
        <w:szCs w:val="14"/>
      </w:rPr>
      <w:t xml:space="preserve">RECYM — borrador IEEE ES v0.2 (con figuras)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6f7c0fee7bdaf218de06fa0bd74f08f05d70ef.png"/><Relationship Id="rId10" Type="http://schemas.openxmlformats.org/officeDocument/2006/relationships/image" Target="media/6f1991285cee9805c487f798fb99f9d51763b5bd.png"/><Relationship Id="rId11" Type="http://schemas.openxmlformats.org/officeDocument/2006/relationships/image" Target="media/5b68a422ad2f026c991401938626e5d83a271d9c.png"/><Relationship Id="rId12" Type="http://schemas.openxmlformats.org/officeDocument/2006/relationships/image" Target="media/b382f81b702cdcc0177c740318017958a2a9d7a9.png"/><Relationship Id="rId13" Type="http://schemas.openxmlformats.org/officeDocument/2006/relationships/image" Target="media/894058386e0e4d64ddce627316fd87db90b02cb2.png"/><Relationship Id="rId14" Type="http://schemas.openxmlformats.org/officeDocument/2006/relationships/image" Target="media/3107b9c5b796d45fecf3475e789792b86ba53e8c.png"/><Relationship Id="rId15" Type="http://schemas.openxmlformats.org/officeDocument/2006/relationships/image" Target="media/a083fcf4fe1c28613a4753c4bf7c710a20ccc2b6.png"/><Relationship Id="rId16" Type="http://schemas.openxmlformats.org/officeDocument/2006/relationships/image" Target="media/f734177a65907683caad04fe09191a2fbe65afd4.png"/><Relationship Id="rId17" Type="http://schemas.openxmlformats.org/officeDocument/2006/relationships/image" Target="media/a53fa27a0acccd5eea2901095bafa20b1b457f34.png"/><Relationship Id="rId18" Type="http://schemas.openxmlformats.org/officeDocument/2006/relationships/image" Target="media/c930d01b4d4cf5ae8c7e30fe83f0489991815e17.png"/><Relationship Id="rId19" Type="http://schemas.openxmlformats.org/officeDocument/2006/relationships/image" Target="media/37ad650d9970aeea701ca63d3acfcabe096f19c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2026-09-23T04:36:23.176Z</dcterms:created>
  <dcterms:modified xsi:type="dcterms:W3CDTF">2026-09-23T04:36:23.176Z</dcterms:modified>
</cp:coreProperties>
</file>

<file path=docProps/custom.xml><?xml version="1.0" encoding="utf-8"?>
<Properties xmlns="http://schemas.openxmlformats.org/officeDocument/2006/custom-properties" xmlns:vt="http://schemas.openxmlformats.org/officeDocument/2006/docPropsVTypes"/>
</file>